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r>
        <w:rPr>
          <w:rFonts w:hint="eastAsia"/>
          <w:b/>
          <w:bCs/>
          <w:sz w:val="52"/>
          <w:szCs w:val="52"/>
          <w:lang w:eastAsia="zh-CN"/>
        </w:rPr>
        <w:t>年产</w:t>
      </w:r>
      <w:r>
        <w:rPr>
          <w:rFonts w:hint="eastAsia"/>
          <w:b/>
          <w:bCs/>
          <w:sz w:val="52"/>
          <w:szCs w:val="52"/>
          <w:lang w:val="en-US" w:eastAsia="zh-CN"/>
        </w:rPr>
        <w:t>10万吨新型增碳剂项目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r>
        <w:rPr>
          <w:rFonts w:hint="eastAsia"/>
          <w:b/>
          <w:bCs/>
          <w:sz w:val="52"/>
          <w:szCs w:val="52"/>
          <w:lang w:val="en-US" w:eastAsia="zh-CN"/>
        </w:rPr>
        <w:t>环境影响报告书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r>
        <w:rPr>
          <w:rFonts w:hint="eastAsia"/>
          <w:b/>
          <w:bCs/>
          <w:sz w:val="52"/>
          <w:szCs w:val="52"/>
          <w:lang w:val="en-US" w:eastAsia="zh-CN"/>
        </w:rPr>
        <w:t>（送审稿）</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建设单位：江苏恒贵信新材料有限公司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pPr>
      <w:r>
        <w:rPr>
          <w:rFonts w:hint="eastAsia"/>
          <w:lang w:val="en-US" w:eastAsia="zh-CN"/>
        </w:rPr>
        <w:t>评价单位：江苏拓孚工程设计研究有限公司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lang w:val="en-US" w:eastAsia="zh-CN"/>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二零二零年四月</w:t>
      </w:r>
    </w:p>
    <w:p>
      <w:pPr>
        <w:pStyle w:val="3"/>
        <w:bidi w:val="0"/>
        <w:rPr>
          <w:rFonts w:hint="eastAsia"/>
          <w:lang w:val="en-US" w:eastAsia="zh-CN"/>
        </w:rPr>
      </w:pPr>
      <w:bookmarkStart w:id="0" w:name="_Toc27184"/>
      <w:r>
        <w:rPr>
          <w:rFonts w:hint="eastAsia"/>
          <w:lang w:val="en-US" w:eastAsia="zh-CN"/>
        </w:rPr>
        <w:t>1 概述</w:t>
      </w:r>
      <w:bookmarkEnd w:id="0"/>
    </w:p>
    <w:p>
      <w:pPr>
        <w:pStyle w:val="4"/>
        <w:numPr>
          <w:ilvl w:val="1"/>
          <w:numId w:val="1"/>
        </w:numPr>
        <w:bidi w:val="0"/>
        <w:rPr>
          <w:rFonts w:hint="eastAsia"/>
          <w:lang w:val="en-US" w:eastAsia="zh-CN"/>
        </w:rPr>
      </w:pPr>
      <w:bookmarkStart w:id="1" w:name="_Toc3353"/>
      <w:r>
        <w:rPr>
          <w:rFonts w:hint="eastAsia"/>
          <w:lang w:val="en-US" w:eastAsia="zh-CN"/>
        </w:rPr>
        <w:t>项目由来</w:t>
      </w:r>
      <w:bookmarkEnd w:id="1"/>
    </w:p>
    <w:p>
      <w:pPr>
        <w:bidi w:val="0"/>
      </w:pPr>
      <w:r>
        <w:t>增碳剂是钢铁冶炼和铸造中不可缺少的添加剂，它的使用可以节省大量的铁矿石的使用量，同时增加了废钢、废铁的使用量，降低</w:t>
      </w:r>
      <w:r>
        <w:rPr>
          <w:rFonts w:hint="eastAsia"/>
          <w:lang w:eastAsia="zh-CN"/>
        </w:rPr>
        <w:t>了</w:t>
      </w:r>
      <w:r>
        <w:t>生产能耗，节省了不可再生资源。随着近年来电炉炼钢技术的发展，金属冶炼炉里加入一定比例的优质增碳剂，提高铁液里碳的含量，不仅可以降低铁液里氧的含量；还可以提高冶炼金属或者铸件的力学性能。</w:t>
      </w:r>
      <w:r>
        <w:rPr>
          <w:rFonts w:hint="eastAsia"/>
          <w:lang w:eastAsia="zh-CN"/>
        </w:rPr>
        <w:t>新型</w:t>
      </w:r>
      <w:r>
        <w:t>增碳剂在炼钢工艺过程中具有上述特殊作用，成为了现代生产优质钢材必不可少的辅助添加剂。</w:t>
      </w:r>
    </w:p>
    <w:p>
      <w:pPr>
        <w:bidi w:val="0"/>
        <w:rPr>
          <w:rFonts w:hint="eastAsia"/>
          <w:lang w:val="en-US" w:eastAsia="zh-CN"/>
        </w:rPr>
      </w:pPr>
      <w:r>
        <w:t>201</w:t>
      </w:r>
      <w:r>
        <w:rPr>
          <w:rFonts w:hint="eastAsia"/>
          <w:lang w:val="en-US" w:eastAsia="zh-CN"/>
        </w:rPr>
        <w:t>8</w:t>
      </w:r>
      <w:r>
        <w:t>年，世界各国废弃的碳素制品总共超过6000万吨，我国废弃碳素制品超过2000万吨，随着工业的发展，废弃碳素制品量呈迅猛增加的势头，造成巨大的环境污染和资源浪费</w:t>
      </w:r>
      <w:r>
        <w:rPr>
          <w:rFonts w:hint="eastAsia"/>
          <w:lang w:eastAsia="zh-CN"/>
        </w:rPr>
        <w:t>。</w:t>
      </w:r>
      <w:r>
        <w:t>将废弃的碳素制品进行再开发和利用具有重要的经济价值和环保意义。</w:t>
      </w:r>
    </w:p>
    <w:p>
      <w:pPr>
        <w:bidi w:val="0"/>
      </w:pPr>
      <w:r>
        <w:t>为顺应</w:t>
      </w:r>
      <w:r>
        <w:rPr>
          <w:rFonts w:hint="eastAsia"/>
          <w:lang w:eastAsia="zh-CN"/>
        </w:rPr>
        <w:t>环保、社会经济的</w:t>
      </w:r>
      <w:r>
        <w:t>发展需要，江苏</w:t>
      </w:r>
      <w:r>
        <w:rPr>
          <w:rFonts w:hint="eastAsia"/>
          <w:lang w:eastAsia="zh-CN"/>
        </w:rPr>
        <w:t>恒贵信</w:t>
      </w:r>
      <w:r>
        <w:t>新材料有限公司计划投资</w:t>
      </w:r>
      <w:r>
        <w:rPr>
          <w:rFonts w:hint="eastAsia"/>
          <w:lang w:val="en-US" w:eastAsia="zh-CN"/>
        </w:rPr>
        <w:t>10</w:t>
      </w:r>
      <w:r>
        <w:t>0000万元，在</w:t>
      </w:r>
      <w:r>
        <w:rPr>
          <w:rFonts w:hint="eastAsia"/>
          <w:lang w:eastAsia="zh-CN"/>
        </w:rPr>
        <w:t>连云港市东海县青湖镇工业集中区</w:t>
      </w:r>
      <w:r>
        <w:t>建设</w:t>
      </w:r>
      <w:r>
        <w:rPr>
          <w:rFonts w:hint="eastAsia"/>
          <w:lang w:val="en-US" w:eastAsia="zh-CN"/>
        </w:rPr>
        <w:t>10</w:t>
      </w:r>
      <w:r>
        <w:t>万吨</w:t>
      </w:r>
      <w:r>
        <w:rPr>
          <w:rFonts w:hint="eastAsia"/>
          <w:lang w:eastAsia="zh-CN"/>
        </w:rPr>
        <w:t>新型</w:t>
      </w:r>
      <w:r>
        <w:t>增碳剂项目。</w:t>
      </w:r>
      <w:r>
        <w:rPr>
          <w:rFonts w:hint="eastAsia"/>
          <w:lang w:eastAsia="zh-CN"/>
        </w:rPr>
        <w:t>利用</w:t>
      </w:r>
      <w:r>
        <w:t>煅后焦（普通增碳剂）为原料，占地面积</w:t>
      </w:r>
      <w:r>
        <w:rPr>
          <w:rFonts w:hint="eastAsia"/>
          <w:lang w:val="en-US" w:eastAsia="zh-CN"/>
        </w:rPr>
        <w:t>60</w:t>
      </w:r>
      <w:r>
        <w:t>亩，拟建设</w:t>
      </w:r>
      <w:r>
        <w:rPr>
          <w:rFonts w:hint="eastAsia"/>
          <w:lang w:val="en-US" w:eastAsia="zh-CN"/>
        </w:rPr>
        <w:t>24</w:t>
      </w:r>
      <w:r>
        <w:t>条</w:t>
      </w:r>
      <w:r>
        <w:rPr>
          <w:rFonts w:hint="eastAsia"/>
          <w:lang w:eastAsia="zh-CN"/>
        </w:rPr>
        <w:t>新型</w:t>
      </w:r>
      <w:r>
        <w:t>增碳剂生产线，同时配置脱硫除尘系统及其他辅助设备。项目建设期分二期建设完成，其中：一期</w:t>
      </w:r>
      <w:r>
        <w:rPr>
          <w:rFonts w:hint="eastAsia"/>
          <w:lang w:eastAsia="zh-CN"/>
        </w:rPr>
        <w:t>建设</w:t>
      </w:r>
      <w:r>
        <w:rPr>
          <w:rFonts w:hint="eastAsia"/>
          <w:lang w:val="en-US" w:eastAsia="zh-CN"/>
        </w:rPr>
        <w:t>12</w:t>
      </w:r>
      <w:r>
        <w:t>台</w:t>
      </w:r>
      <w:r>
        <w:rPr>
          <w:rFonts w:hint="eastAsia"/>
        </w:rPr>
        <w:t>埋弧电煅炉</w:t>
      </w:r>
      <w:r>
        <w:t>（产能为</w:t>
      </w:r>
      <w:r>
        <w:rPr>
          <w:rFonts w:hint="eastAsia"/>
          <w:lang w:val="en-US" w:eastAsia="zh-CN"/>
        </w:rPr>
        <w:t>5</w:t>
      </w:r>
      <w:r>
        <w:t>万吨</w:t>
      </w:r>
      <w:r>
        <w:rPr>
          <w:rFonts w:hint="eastAsia"/>
          <w:lang w:eastAsia="zh-CN"/>
        </w:rPr>
        <w:t>新型</w:t>
      </w:r>
      <w:r>
        <w:t>增碳剂）</w:t>
      </w:r>
      <w:r>
        <w:rPr>
          <w:rFonts w:hint="eastAsia"/>
          <w:lang w:eastAsia="zh-CN"/>
        </w:rPr>
        <w:t>生产线</w:t>
      </w:r>
      <w:r>
        <w:t>，二期</w:t>
      </w:r>
      <w:r>
        <w:rPr>
          <w:rFonts w:hint="eastAsia"/>
          <w:lang w:eastAsia="zh-CN"/>
        </w:rPr>
        <w:t>建设</w:t>
      </w:r>
      <w:r>
        <w:rPr>
          <w:rFonts w:hint="eastAsia"/>
          <w:lang w:val="en-US" w:eastAsia="zh-CN"/>
        </w:rPr>
        <w:t>12</w:t>
      </w:r>
      <w:r>
        <w:t>台</w:t>
      </w:r>
      <w:r>
        <w:rPr>
          <w:rFonts w:hint="eastAsia"/>
        </w:rPr>
        <w:t>埋弧电煅炉</w:t>
      </w:r>
      <w:r>
        <w:t>（产能为</w:t>
      </w:r>
      <w:r>
        <w:rPr>
          <w:rFonts w:hint="eastAsia"/>
          <w:lang w:val="en-US" w:eastAsia="zh-CN"/>
        </w:rPr>
        <w:t>5</w:t>
      </w:r>
      <w:r>
        <w:t>万吨</w:t>
      </w:r>
      <w:r>
        <w:rPr>
          <w:rFonts w:hint="eastAsia"/>
          <w:lang w:eastAsia="zh-CN"/>
        </w:rPr>
        <w:t>新型增</w:t>
      </w:r>
      <w:r>
        <w:t>碳剂）</w:t>
      </w:r>
      <w:r>
        <w:rPr>
          <w:rFonts w:hint="eastAsia"/>
          <w:lang w:eastAsia="zh-CN"/>
        </w:rPr>
        <w:t>生产线</w:t>
      </w:r>
      <w:r>
        <w:t>。</w:t>
      </w:r>
    </w:p>
    <w:p>
      <w:pPr>
        <w:bidi w:val="0"/>
      </w:pPr>
      <w:r>
        <w:rPr>
          <w:rFonts w:hint="eastAsia"/>
        </w:rPr>
        <w:t>埋弧电煅炉</w:t>
      </w:r>
      <w:r>
        <w:t>为竖式结构，生产过程实行全封闭运行，上部进料、中部高温处理、下部循环水冷却降温及排料。在中部进行高温煅烧，有利于使上部物料得到充分的预热，可有效地降低能耗。</w:t>
      </w:r>
    </w:p>
    <w:p>
      <w:pPr>
        <w:bidi w:val="0"/>
      </w:pPr>
      <w:r>
        <w:t>焙烧是将矿石、精矿在空气、氯气、氢气、甲烷和氧化碳等气流中不加或配加一定的物料，加热至低于炉料的熔点，发生氧化、还原或其他化学变化的单元过程，常用于无机盐工业的原料处理中，其目的是改变物料的化学组成与物理性质，便于下一步处理或制取原料气。煅烧是在低于熔点的适当温度下，加热物料，使其分解，并除去所含结晶水、二氧化碳或三氧化硫等挥发性物质的过程。两者的共同点是都在低于炉料熔点的高温下进行，不同点前者是原料与空气、氯气等气体以及添加剂发生化学反应，后者是物料发生分解反应，失去结晶水或挥发组分。本项目原料煅后焦在热处理过程中脱出硫分和灰分，并使其分子结构发生重排，改变其物理性能，属于煅烧工艺。</w:t>
      </w:r>
    </w:p>
    <w:p>
      <w:pPr>
        <w:bidi w:val="0"/>
      </w:pPr>
      <w:r>
        <w:t>根据《中华人民共和国环境保护法》（国家主席[2014]9号令，2015年1月1日施行）、《中华人民共和国环境影响评价法》（国家主席[2016]48号令，2016年9月1日施行）、《建设项目环境保护管理条例》（国务院[2017]682号令，2017年10月1号施行）、《建设项目环境影响评价分类管理名录》（环境保护部令44号，2017年9月1日起施行）及《关于修改〈建设项目环境影响评价分类管理名录〉部分内容的决定》（生态环境部令第1号）中有关规定，本项目属于</w:t>
      </w:r>
      <w:r>
        <w:rPr>
          <w:rFonts w:hint="eastAsia"/>
          <w:lang w:eastAsia="zh-CN"/>
        </w:rPr>
        <w:t>“</w:t>
      </w:r>
      <w:r>
        <w:t>十九、非金属矿物制品业</w:t>
      </w:r>
      <w:r>
        <w:rPr>
          <w:rFonts w:hint="eastAsia"/>
          <w:lang w:eastAsia="zh-CN"/>
        </w:rPr>
        <w:t>”“</w:t>
      </w:r>
      <w:r>
        <w:t>56、石墨及其他非金属矿物制品</w:t>
      </w:r>
      <w:r>
        <w:rPr>
          <w:rFonts w:hint="eastAsia"/>
          <w:lang w:eastAsia="zh-CN"/>
        </w:rPr>
        <w:t>”“</w:t>
      </w:r>
      <w:r>
        <w:t>其他</w:t>
      </w:r>
      <w:r>
        <w:rPr>
          <w:rFonts w:hint="eastAsia"/>
          <w:lang w:eastAsia="zh-CN"/>
        </w:rPr>
        <w:t>”</w:t>
      </w:r>
      <w:r>
        <w:t>，应</w:t>
      </w:r>
      <w:r>
        <w:rPr>
          <w:rFonts w:hint="eastAsia"/>
          <w:lang w:eastAsia="zh-CN"/>
        </w:rPr>
        <w:t>进行环境影响评价</w:t>
      </w:r>
      <w:r>
        <w:t>。</w:t>
      </w:r>
      <w:r>
        <w:rPr>
          <w:rFonts w:hint="eastAsia"/>
          <w:lang w:eastAsia="zh-CN"/>
        </w:rPr>
        <w:t>为了更加准确的掌握本项目的环境影响，采取更有力的环保措施，江苏恒贵信</w:t>
      </w:r>
      <w:r>
        <w:t>新材料有限公司委托江苏</w:t>
      </w:r>
      <w:r>
        <w:rPr>
          <w:rFonts w:hint="eastAsia"/>
          <w:lang w:eastAsia="zh-CN"/>
        </w:rPr>
        <w:t>拓孚工程设计研究</w:t>
      </w:r>
      <w:r>
        <w:t>有限公司开展该项目环境影响评价工作。</w:t>
      </w:r>
    </w:p>
    <w:p>
      <w:pPr>
        <w:bidi w:val="0"/>
        <w:rPr>
          <w:rFonts w:hint="eastAsia"/>
          <w:lang w:val="en-US" w:eastAsia="zh-CN"/>
        </w:rPr>
      </w:pPr>
      <w:r>
        <w:t>江苏</w:t>
      </w:r>
      <w:r>
        <w:rPr>
          <w:rFonts w:hint="eastAsia"/>
          <w:lang w:eastAsia="zh-CN"/>
        </w:rPr>
        <w:t>拓孚工程设计研究</w:t>
      </w:r>
      <w:r>
        <w:t>有限公司</w:t>
      </w:r>
      <w:r>
        <w:rPr>
          <w:rFonts w:hint="eastAsia"/>
          <w:lang w:eastAsia="zh-CN"/>
        </w:rPr>
        <w:t>在</w:t>
      </w:r>
      <w:r>
        <w:t>接受委托后，工作人员进行了实地踏勘和资料收集，</w:t>
      </w:r>
      <w:r>
        <w:rPr>
          <w:rFonts w:hint="eastAsia"/>
          <w:lang w:eastAsia="zh-CN"/>
        </w:rPr>
        <w:t>进行了</w:t>
      </w:r>
      <w:r>
        <w:rPr>
          <w:rFonts w:hint="eastAsia"/>
          <w:lang w:val="en-US" w:eastAsia="zh-CN"/>
        </w:rPr>
        <w:t>工程分析、环境现状监测。通过对工程以及相关资料的研究、整理、统计分析，就项目建设过程中及投产运营后对区域环境的影响范围和程度，以及潜在的环境风险进行了预测分析，提出了相应的环保措施。</w:t>
      </w:r>
    </w:p>
    <w:p>
      <w:pPr>
        <w:bidi w:val="0"/>
      </w:pPr>
      <w:r>
        <w:rPr>
          <w:rFonts w:hint="eastAsia"/>
          <w:lang w:val="en-US" w:eastAsia="zh-CN"/>
        </w:rPr>
        <w:t>在此基础上，</w:t>
      </w:r>
      <w:r>
        <w:t>根据环境保护和环境影响评价有关法律法规及标准、</w:t>
      </w:r>
      <w:r>
        <w:rPr>
          <w:rFonts w:hint="eastAsia"/>
          <w:lang w:eastAsia="zh-CN"/>
        </w:rPr>
        <w:t>导则</w:t>
      </w:r>
      <w:r>
        <w:rPr>
          <w:rFonts w:hint="eastAsia"/>
          <w:lang w:val="en-US" w:eastAsia="zh-CN"/>
        </w:rPr>
        <w:t xml:space="preserve">，编制完成了本项目的环境影响报告书，现呈报东海县生态环境局审查。 </w:t>
      </w:r>
    </w:p>
    <w:p>
      <w:pPr>
        <w:pStyle w:val="4"/>
        <w:numPr>
          <w:ilvl w:val="1"/>
          <w:numId w:val="1"/>
        </w:numPr>
        <w:bidi w:val="0"/>
      </w:pPr>
      <w:bookmarkStart w:id="2" w:name="_Toc16757"/>
      <w:r>
        <w:rPr>
          <w:rFonts w:hint="eastAsia"/>
          <w:lang w:val="en-US" w:eastAsia="zh-CN"/>
        </w:rPr>
        <w:t>项目特点</w:t>
      </w:r>
      <w:bookmarkEnd w:id="2"/>
      <w:r>
        <w:rPr>
          <w:rFonts w:hint="eastAsia"/>
          <w:lang w:val="en-US" w:eastAsia="zh-CN"/>
        </w:rPr>
        <w:t xml:space="preserve"> </w:t>
      </w:r>
    </w:p>
    <w:p>
      <w:pPr>
        <w:bidi w:val="0"/>
        <w:rPr>
          <w:rFonts w:hint="default"/>
        </w:rPr>
      </w:pPr>
      <w:r>
        <w:rPr>
          <w:rFonts w:hint="default"/>
        </w:rPr>
        <w:t>本项目为</w:t>
      </w:r>
      <w:r>
        <w:rPr>
          <w:rFonts w:hint="eastAsia"/>
          <w:lang w:eastAsia="zh-CN"/>
        </w:rPr>
        <w:t>新建</w:t>
      </w:r>
      <w:r>
        <w:rPr>
          <w:rFonts w:hint="default"/>
        </w:rPr>
        <w:t>项目，根据项目的建设内容和周边环境概况，项目的特点主要有：</w:t>
      </w:r>
    </w:p>
    <w:p>
      <w:pPr>
        <w:numPr>
          <w:ilvl w:val="0"/>
          <w:numId w:val="2"/>
        </w:numPr>
        <w:bidi w:val="0"/>
        <w:rPr>
          <w:rFonts w:hint="eastAsia"/>
          <w:lang w:eastAsia="zh-CN"/>
        </w:rPr>
      </w:pPr>
      <w:r>
        <w:rPr>
          <w:rFonts w:hint="eastAsia"/>
          <w:lang w:eastAsia="zh-CN"/>
        </w:rPr>
        <w:t>本项目为新建项目，生产新型增碳剂项目</w:t>
      </w:r>
      <w:r>
        <w:rPr>
          <w:rFonts w:hint="eastAsia"/>
          <w:lang w:val="en-US" w:eastAsia="zh-CN"/>
        </w:rPr>
        <w:t>10万吨/年</w:t>
      </w:r>
      <w:r>
        <w:rPr>
          <w:rFonts w:hint="eastAsia"/>
          <w:lang w:eastAsia="zh-CN"/>
        </w:rPr>
        <w:t>，</w:t>
      </w:r>
      <w:r>
        <w:t>分二期建设，其中，一期建设</w:t>
      </w:r>
      <w:r>
        <w:rPr>
          <w:rFonts w:hint="eastAsia"/>
          <w:lang w:val="en-US" w:eastAsia="zh-CN"/>
        </w:rPr>
        <w:t>5</w:t>
      </w:r>
      <w:r>
        <w:t>0000t/a</w:t>
      </w:r>
      <w:r>
        <w:rPr>
          <w:rFonts w:hint="eastAsia"/>
          <w:lang w:eastAsia="zh-CN"/>
        </w:rPr>
        <w:t>新型</w:t>
      </w:r>
      <w:r>
        <w:t>增碳剂；二期建设</w:t>
      </w:r>
      <w:r>
        <w:rPr>
          <w:rFonts w:hint="eastAsia"/>
          <w:lang w:val="en-US" w:eastAsia="zh-CN"/>
        </w:rPr>
        <w:t>5</w:t>
      </w:r>
      <w:r>
        <w:t>0000t/a</w:t>
      </w:r>
      <w:r>
        <w:rPr>
          <w:rFonts w:hint="eastAsia"/>
          <w:lang w:eastAsia="zh-CN"/>
        </w:rPr>
        <w:t>新型</w:t>
      </w:r>
      <w:r>
        <w:t>增碳剂</w:t>
      </w:r>
      <w:r>
        <w:rPr>
          <w:rFonts w:hint="eastAsia"/>
          <w:lang w:eastAsia="zh-CN"/>
        </w:rPr>
        <w:t>。每期增设</w:t>
      </w:r>
      <w:r>
        <w:rPr>
          <w:rFonts w:hint="eastAsia"/>
          <w:lang w:val="en-US" w:eastAsia="zh-CN"/>
        </w:rPr>
        <w:t>12台埋弧电煅炉，对原料煅后焦进行煅烧处理，使用能源为电能，不消耗天然气、煤炭等能源。</w:t>
      </w:r>
    </w:p>
    <w:p>
      <w:pPr>
        <w:numPr>
          <w:ilvl w:val="0"/>
          <w:numId w:val="2"/>
        </w:numPr>
        <w:bidi w:val="0"/>
        <w:rPr>
          <w:rFonts w:hint="eastAsia"/>
          <w:lang w:eastAsia="zh-CN"/>
        </w:rPr>
      </w:pPr>
      <w:r>
        <w:rPr>
          <w:rFonts w:hint="eastAsia"/>
          <w:lang w:val="en-US" w:eastAsia="zh-CN"/>
        </w:rPr>
        <w:t>本项目对废水、废气、固废产生情况、排放情况进行分析，设置了废水、废气处理装置，核算了废水、废气、固废的排放总量。</w:t>
      </w:r>
    </w:p>
    <w:p>
      <w:pPr>
        <w:numPr>
          <w:ilvl w:val="0"/>
          <w:numId w:val="2"/>
        </w:numPr>
        <w:bidi w:val="0"/>
        <w:rPr>
          <w:rFonts w:hint="eastAsia"/>
          <w:lang w:eastAsia="zh-CN"/>
        </w:rPr>
      </w:pPr>
      <w:r>
        <w:rPr>
          <w:rFonts w:hint="eastAsia"/>
          <w:lang w:eastAsia="zh-CN"/>
        </w:rPr>
        <w:t>项目位于东海县青湖镇工业集中区，所占用地为工业用地，</w:t>
      </w:r>
      <w:r>
        <w:rPr>
          <w:rFonts w:hint="eastAsia"/>
        </w:rPr>
        <w:t>不占用基本农田，不属于</w:t>
      </w:r>
      <w:r>
        <w:rPr>
          <w:rFonts w:hint="eastAsia"/>
          <w:lang w:eastAsia="zh-CN"/>
        </w:rPr>
        <w:t>限制用地。</w:t>
      </w:r>
    </w:p>
    <w:p>
      <w:pPr>
        <w:numPr>
          <w:ilvl w:val="0"/>
          <w:numId w:val="2"/>
        </w:numPr>
        <w:bidi w:val="0"/>
        <w:rPr>
          <w:rFonts w:hint="eastAsia"/>
          <w:lang w:eastAsia="zh-CN"/>
        </w:rPr>
      </w:pPr>
      <w:r>
        <w:rPr>
          <w:rFonts w:hint="eastAsia"/>
          <w:lang w:eastAsia="zh-CN"/>
        </w:rPr>
        <w:t>距离本项目最近的敏感点为大丁旺村，距离为</w:t>
      </w:r>
      <w:r>
        <w:rPr>
          <w:rFonts w:hint="eastAsia"/>
          <w:lang w:val="en-US" w:eastAsia="zh-CN"/>
        </w:rPr>
        <w:t>463米，距离</w:t>
      </w:r>
      <w:r>
        <w:rPr>
          <w:rFonts w:hint="eastAsia" w:ascii="Times New Roman" w:hAnsi="Times New Roman"/>
          <w:lang w:eastAsia="zh-CN"/>
        </w:rPr>
        <w:t>最近的重要生态功能保护区石安河清水通道维护区直线距离约为0.</w:t>
      </w:r>
      <w:r>
        <w:rPr>
          <w:rFonts w:hint="eastAsia"/>
          <w:lang w:val="en-US" w:eastAsia="zh-CN"/>
        </w:rPr>
        <w:t>8</w:t>
      </w:r>
      <w:r>
        <w:rPr>
          <w:rFonts w:hint="eastAsia" w:ascii="Times New Roman" w:hAnsi="Times New Roman"/>
          <w:lang w:eastAsia="zh-CN"/>
        </w:rPr>
        <w:t>公里</w:t>
      </w:r>
      <w:r>
        <w:rPr>
          <w:rFonts w:hint="eastAsia"/>
          <w:lang w:eastAsia="zh-CN"/>
        </w:rPr>
        <w:t>，运营期应重点考虑对敏感点的影响。</w:t>
      </w:r>
    </w:p>
    <w:p>
      <w:pPr>
        <w:pStyle w:val="4"/>
        <w:numPr>
          <w:ilvl w:val="1"/>
          <w:numId w:val="1"/>
        </w:numPr>
        <w:bidi w:val="0"/>
        <w:rPr>
          <w:rFonts w:hint="default"/>
          <w:lang w:val="en-US" w:eastAsia="zh-CN"/>
        </w:rPr>
      </w:pPr>
      <w:bookmarkStart w:id="3" w:name="_Toc17546"/>
      <w:r>
        <w:rPr>
          <w:rFonts w:hint="eastAsia"/>
          <w:lang w:val="en-US" w:eastAsia="zh-CN"/>
        </w:rPr>
        <w:t>评价工作过程</w:t>
      </w:r>
      <w:bookmarkEnd w:id="3"/>
    </w:p>
    <w:p>
      <w:pPr>
        <w:bidi w:val="0"/>
      </w:pPr>
      <w:r>
        <w:rPr>
          <w:rFonts w:hint="eastAsia"/>
          <w:lang w:val="en-US" w:eastAsia="zh-CN"/>
        </w:rPr>
        <w:t>本次环评主要分为三个阶段，即调查分析和工作方案制定阶段，分析论证和预测评价阶段，环境影响评价报告书编制阶段，详细评价工作程序见图</w:t>
      </w:r>
      <w:r>
        <w:rPr>
          <w:rFonts w:hint="default"/>
          <w:lang w:val="en-US" w:eastAsia="zh-CN"/>
        </w:rPr>
        <w:t>1.</w:t>
      </w:r>
      <w:r>
        <w:rPr>
          <w:rFonts w:hint="eastAsia"/>
          <w:lang w:val="en-US" w:eastAsia="zh-CN"/>
        </w:rPr>
        <w:t>3。</w:t>
      </w:r>
    </w:p>
    <w:p>
      <w:pPr>
        <w:pStyle w:val="29"/>
        <w:bidi w:val="0"/>
      </w:pPr>
      <w:r>
        <w:drawing>
          <wp:inline distT="0" distB="0" distL="114300" distR="114300">
            <wp:extent cx="5296535" cy="7595870"/>
            <wp:effectExtent l="0" t="0" r="184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96535" cy="7595870"/>
                    </a:xfrm>
                    <a:prstGeom prst="rect">
                      <a:avLst/>
                    </a:prstGeom>
                    <a:noFill/>
                    <a:ln>
                      <a:noFill/>
                    </a:ln>
                  </pic:spPr>
                </pic:pic>
              </a:graphicData>
            </a:graphic>
          </wp:inline>
        </w:drawing>
      </w:r>
    </w:p>
    <w:p>
      <w:pPr>
        <w:pStyle w:val="27"/>
        <w:bidi w:val="0"/>
        <w:rPr>
          <w:rFonts w:hint="default"/>
          <w:lang w:val="en-US" w:eastAsia="zh-CN"/>
        </w:rPr>
      </w:pPr>
      <w:r>
        <w:rPr>
          <w:rFonts w:hint="eastAsia"/>
          <w:lang w:eastAsia="zh-CN"/>
        </w:rPr>
        <w:t>图</w:t>
      </w:r>
      <w:r>
        <w:rPr>
          <w:rFonts w:hint="eastAsia"/>
          <w:lang w:val="en-US" w:eastAsia="zh-CN"/>
        </w:rPr>
        <w:t>1.3 评价工作程序</w:t>
      </w:r>
    </w:p>
    <w:p>
      <w:pPr>
        <w:pStyle w:val="29"/>
        <w:bidi w:val="0"/>
      </w:pPr>
    </w:p>
    <w:p>
      <w:pPr>
        <w:pStyle w:val="4"/>
        <w:numPr>
          <w:ilvl w:val="1"/>
          <w:numId w:val="1"/>
        </w:numPr>
        <w:bidi w:val="0"/>
      </w:pPr>
      <w:bookmarkStart w:id="4" w:name="_Toc13437"/>
      <w:r>
        <w:rPr>
          <w:rFonts w:hint="eastAsia"/>
          <w:lang w:val="en-US" w:eastAsia="zh-CN"/>
        </w:rPr>
        <w:t>分析判定相关情况</w:t>
      </w:r>
      <w:bookmarkEnd w:id="4"/>
    </w:p>
    <w:p>
      <w:pPr>
        <w:pStyle w:val="5"/>
        <w:bidi w:val="0"/>
      </w:pPr>
      <w:r>
        <w:rPr>
          <w:rFonts w:hint="eastAsia"/>
          <w:lang w:val="en-US" w:eastAsia="zh-CN"/>
        </w:rPr>
        <w:t>1.4.1</w:t>
      </w:r>
      <w:r>
        <w:t>产业政策相符性</w:t>
      </w:r>
    </w:p>
    <w:p>
      <w:pPr>
        <w:bidi w:val="0"/>
      </w:pPr>
      <w:r>
        <w:t>本项目为</w:t>
      </w:r>
      <w:r>
        <w:rPr>
          <w:rFonts w:hint="eastAsia"/>
          <w:lang w:eastAsia="zh-CN"/>
        </w:rPr>
        <w:t>新型</w:t>
      </w:r>
      <w:r>
        <w:t>增碳剂生产项目，经查询《产业结构调整指导目录（2011 年本）》和（《国家发展改革委关于修改&lt;产业结构调整指导目录（2011 年本）&gt;有关条款的决定》，国家发展改革委第21号令，2013年2月16日），本项目不属于其中的鼓励类、限制类或淘汰类，属于允许类。因此，项目建设符合国家产业政策要求。</w:t>
      </w:r>
    </w:p>
    <w:p>
      <w:pPr>
        <w:bidi w:val="0"/>
      </w:pPr>
      <w:r>
        <w:t>经查询《江苏省工业和信息产业结构调整指导目录（2012 年本）》（《关于修改&lt;江苏省工业和信息产业结构调整指导目录（2012 年本）&gt;部分条目的通知》，苏经信产业[2013]183号，2013年3月15日），本项目不属于其中的鼓励类、限制类或淘汰类，属于允许类。因此，拟建项目符合地方产业政策要求。</w:t>
      </w:r>
    </w:p>
    <w:p>
      <w:pPr>
        <w:bidi w:val="0"/>
      </w:pPr>
      <w:r>
        <w:t>本项目为</w:t>
      </w:r>
      <w:r>
        <w:rPr>
          <w:rFonts w:hint="eastAsia"/>
          <w:lang w:eastAsia="zh-CN"/>
        </w:rPr>
        <w:t>新型</w:t>
      </w:r>
      <w:r>
        <w:t>增碳剂生产项目，原料为煅后焦，产品为</w:t>
      </w:r>
      <w:r>
        <w:rPr>
          <w:rFonts w:hint="eastAsia"/>
          <w:lang w:eastAsia="zh-CN"/>
        </w:rPr>
        <w:t>新型</w:t>
      </w:r>
      <w:r>
        <w:rPr>
          <w:rFonts w:hint="eastAsia"/>
        </w:rPr>
        <w:t>增碳剂（</w:t>
      </w:r>
      <w:r>
        <w:t>人造石墨</w:t>
      </w:r>
      <w:r>
        <w:rPr>
          <w:rFonts w:hint="eastAsia"/>
        </w:rPr>
        <w:t>）</w:t>
      </w:r>
      <w:r>
        <w:t>，《石墨行业准入条件》的制定为保护石墨资源，优化资源配置，提高资源综合利用水平。因此本项目不适用《石墨行业准入条件》相关规定。</w:t>
      </w:r>
    </w:p>
    <w:p>
      <w:pPr>
        <w:bidi w:val="0"/>
      </w:pPr>
      <w:r>
        <w:t>综上所述，本项目的建设符合国家及地方的产业政策。</w:t>
      </w:r>
    </w:p>
    <w:p>
      <w:pPr>
        <w:pStyle w:val="5"/>
        <w:bidi w:val="0"/>
        <w:rPr>
          <w:rFonts w:hint="eastAsia"/>
          <w:lang w:val="en-US" w:eastAsia="zh-CN"/>
        </w:rPr>
      </w:pPr>
      <w:r>
        <w:rPr>
          <w:rFonts w:hint="eastAsia"/>
          <w:lang w:val="en-US" w:eastAsia="zh-CN"/>
        </w:rPr>
        <w:t>1.4.2 产业规划相符性</w:t>
      </w:r>
    </w:p>
    <w:p>
      <w:pPr>
        <w:bidi w:val="0"/>
        <w:rPr>
          <w:rFonts w:hint="eastAsia"/>
          <w:lang w:eastAsia="zh-CN"/>
        </w:rPr>
      </w:pPr>
      <w:r>
        <w:rPr>
          <w:rFonts w:hint="eastAsia"/>
          <w:lang w:eastAsia="zh-CN"/>
        </w:rPr>
        <w:t>根据东海县环境保护局《关于对《东海县青湖镇人民政府东海县青湖镇工业集中区控制性详细规划》环境影响报告书的审查意见》（东环发</w:t>
      </w:r>
      <w:r>
        <w:rPr>
          <w:rFonts w:hint="eastAsia"/>
          <w:lang w:val="en-US" w:eastAsia="zh-CN"/>
        </w:rPr>
        <w:t>[2015]23号</w:t>
      </w:r>
      <w:r>
        <w:rPr>
          <w:rFonts w:hint="eastAsia"/>
          <w:lang w:eastAsia="zh-CN"/>
        </w:rPr>
        <w:t>），东海县青湖镇工业集中区主要发展机械、轻工（农副产品加工业、家具制造业、塑料制品业、金属制轻工业产品制造、玩具制造）、电子、纺织服装、新材料、硅资源深加工与物流仓储等为主导产业。</w:t>
      </w:r>
    </w:p>
    <w:p>
      <w:pPr>
        <w:bidi w:val="0"/>
        <w:rPr>
          <w:rFonts w:hint="eastAsia"/>
          <w:lang w:eastAsia="zh-CN"/>
        </w:rPr>
      </w:pPr>
      <w:r>
        <w:t>本项目</w:t>
      </w:r>
      <w:r>
        <w:rPr>
          <w:rFonts w:hint="eastAsia"/>
          <w:lang w:eastAsia="zh-CN"/>
        </w:rPr>
        <w:t>为新型增碳剂加工项目，</w:t>
      </w:r>
      <w:r>
        <w:t>属于新材料制造产业，</w:t>
      </w:r>
      <w:r>
        <w:rPr>
          <w:rFonts w:hint="eastAsia"/>
          <w:lang w:eastAsia="zh-CN"/>
        </w:rPr>
        <w:t>因此本项目符合青湖镇工业集中区的产业定位。</w:t>
      </w:r>
    </w:p>
    <w:p>
      <w:pPr>
        <w:pStyle w:val="5"/>
        <w:bidi w:val="0"/>
        <w:rPr>
          <w:rFonts w:hint="eastAsia"/>
          <w:lang w:val="en-US" w:eastAsia="zh-CN"/>
        </w:rPr>
      </w:pPr>
      <w:r>
        <w:rPr>
          <w:rFonts w:hint="eastAsia"/>
          <w:lang w:val="en-US" w:eastAsia="zh-CN"/>
        </w:rPr>
        <w:t>1.4.3 “三线一单”分析</w:t>
      </w:r>
    </w:p>
    <w:p>
      <w:pPr>
        <w:bidi w:val="0"/>
      </w:pPr>
      <w:r>
        <w:t xml:space="preserve">根据“十三五”环境影响评价改革实施方案”，建设项目环境影响评价须 </w:t>
      </w:r>
      <w:r>
        <w:rPr>
          <w:rFonts w:hint="eastAsia"/>
          <w:lang w:eastAsia="zh-CN"/>
        </w:rPr>
        <w:t>满足</w:t>
      </w:r>
      <w:r>
        <w:t>“生态保护红线、环境质量底线、资源利用上线和环境准入负面清单”准入要求。</w:t>
      </w:r>
    </w:p>
    <w:p>
      <w:pPr>
        <w:numPr>
          <w:ilvl w:val="0"/>
          <w:numId w:val="3"/>
        </w:numPr>
        <w:bidi w:val="0"/>
        <w:rPr>
          <w:rFonts w:hint="eastAsia"/>
          <w:lang w:val="en-US" w:eastAsia="zh-CN"/>
        </w:rPr>
      </w:pPr>
      <w:r>
        <w:rPr>
          <w:rFonts w:hint="eastAsia"/>
          <w:lang w:val="en-US" w:eastAsia="zh-CN"/>
        </w:rPr>
        <w:t>生态红线</w:t>
      </w:r>
    </w:p>
    <w:p>
      <w:pPr>
        <w:adjustRightInd w:val="0"/>
        <w:snapToGrid w:val="0"/>
        <w:spacing w:line="360" w:lineRule="auto"/>
        <w:ind w:firstLine="560" w:firstLineChars="200"/>
        <w:rPr>
          <w:rFonts w:hint="eastAsia" w:ascii="Times New Roman" w:hAnsi="Times New Roman"/>
          <w:lang w:eastAsia="zh-CN"/>
        </w:rPr>
      </w:pPr>
      <w:r>
        <w:rPr>
          <w:rFonts w:hint="eastAsia"/>
          <w:lang w:eastAsia="zh-CN"/>
        </w:rPr>
        <w:t>依据《中华人民共和国自然保护区条例》等法律法规以及《全国生态环境保护纲要》等有关文件的规定，《江苏省人民政府关于印发江苏省生态空间管控区域规划的通知》（苏政发</w:t>
      </w:r>
      <w:r>
        <w:rPr>
          <w:rFonts w:hint="eastAsia"/>
          <w:lang w:val="en-US" w:eastAsia="zh-CN"/>
        </w:rPr>
        <w:t>[2020]1号</w:t>
      </w:r>
      <w:r>
        <w:rPr>
          <w:rFonts w:hint="eastAsia"/>
          <w:lang w:eastAsia="zh-CN"/>
        </w:rPr>
        <w:t>）将江苏省具有重要生态服</w:t>
      </w:r>
      <w:r>
        <w:rPr>
          <w:rFonts w:hint="eastAsia" w:ascii="Times New Roman" w:hAnsi="Times New Roman"/>
          <w:lang w:eastAsia="zh-CN"/>
        </w:rPr>
        <w:t>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15种类型，东海县范围内的重要生态功能保护区见表</w:t>
      </w:r>
      <w:r>
        <w:rPr>
          <w:rFonts w:hint="eastAsia"/>
          <w:lang w:val="en-US" w:eastAsia="zh-CN"/>
        </w:rPr>
        <w:t>1.4.3</w:t>
      </w:r>
      <w:r>
        <w:rPr>
          <w:rFonts w:hint="eastAsia" w:ascii="Times New Roman" w:hAnsi="Times New Roman"/>
          <w:lang w:eastAsia="zh-CN"/>
        </w:rPr>
        <w:t>-1。东海县范围内的重要生态功能保护区区域分布见</w:t>
      </w:r>
      <w:r>
        <w:rPr>
          <w:rFonts w:hint="eastAsia"/>
          <w:lang w:eastAsia="zh-CN"/>
        </w:rPr>
        <w:t>附图</w:t>
      </w:r>
      <w:r>
        <w:rPr>
          <w:rFonts w:hint="eastAsia"/>
          <w:lang w:val="en-US" w:eastAsia="zh-CN"/>
        </w:rPr>
        <w:t>2</w:t>
      </w:r>
      <w:r>
        <w:rPr>
          <w:rFonts w:hint="eastAsia" w:ascii="Times New Roman" w:hAnsi="Times New Roman"/>
          <w:lang w:eastAsia="zh-CN"/>
        </w:rPr>
        <w:t>。</w:t>
      </w:r>
    </w:p>
    <w:p>
      <w:pPr>
        <w:adjustRightInd w:val="0"/>
        <w:snapToGrid w:val="0"/>
        <w:spacing w:line="360" w:lineRule="auto"/>
        <w:ind w:firstLine="560" w:firstLineChars="200"/>
        <w:rPr>
          <w:rFonts w:hint="eastAsia" w:ascii="Times New Roman" w:hAnsi="Times New Roman"/>
          <w:lang w:eastAsia="zh-CN"/>
        </w:rPr>
      </w:pPr>
      <w:r>
        <w:rPr>
          <w:rFonts w:hint="eastAsia" w:ascii="Times New Roman" w:hAnsi="Times New Roman"/>
          <w:lang w:eastAsia="zh-CN"/>
        </w:rPr>
        <w:t>本项目位于东海县青湖镇工业集中区，与最近的重要生态功能保护区石安河清水通道维护区直线距离约为0.</w:t>
      </w:r>
      <w:r>
        <w:rPr>
          <w:rFonts w:hint="eastAsia"/>
          <w:lang w:val="en-US" w:eastAsia="zh-CN"/>
        </w:rPr>
        <w:t>8</w:t>
      </w:r>
      <w:r>
        <w:rPr>
          <w:rFonts w:hint="eastAsia" w:ascii="Times New Roman" w:hAnsi="Times New Roman"/>
          <w:lang w:eastAsia="zh-CN"/>
        </w:rPr>
        <w:t>公里。同时本项目严格环境保护及管理措施，</w:t>
      </w:r>
      <w:r>
        <w:rPr>
          <w:rFonts w:hint="eastAsia"/>
          <w:lang w:eastAsia="zh-CN"/>
        </w:rPr>
        <w:t>有组织废气经废气处理装置处理后经</w:t>
      </w:r>
      <w:r>
        <w:rPr>
          <w:rFonts w:hint="eastAsia"/>
          <w:lang w:val="en-US" w:eastAsia="zh-CN"/>
        </w:rPr>
        <w:t>35m高排气高空排放，主要污染物质为颗粒物、SO</w:t>
      </w:r>
      <w:r>
        <w:rPr>
          <w:rFonts w:hint="eastAsia"/>
          <w:vertAlign w:val="subscript"/>
          <w:lang w:val="en-US" w:eastAsia="zh-CN"/>
        </w:rPr>
        <w:t>2</w:t>
      </w:r>
      <w:r>
        <w:rPr>
          <w:rFonts w:hint="eastAsia"/>
          <w:lang w:val="en-US" w:eastAsia="zh-CN"/>
        </w:rPr>
        <w:t>、NOx，</w:t>
      </w:r>
      <w:r>
        <w:rPr>
          <w:rFonts w:hint="eastAsia" w:ascii="Times New Roman" w:hAnsi="Times New Roman"/>
          <w:lang w:eastAsia="zh-CN"/>
        </w:rPr>
        <w:t>少量的</w:t>
      </w:r>
      <w:r>
        <w:rPr>
          <w:rFonts w:hint="eastAsia"/>
          <w:lang w:eastAsia="zh-CN"/>
        </w:rPr>
        <w:t>粉尘</w:t>
      </w:r>
      <w:r>
        <w:rPr>
          <w:rFonts w:hint="eastAsia" w:ascii="Times New Roman" w:hAnsi="Times New Roman"/>
          <w:lang w:eastAsia="zh-CN"/>
        </w:rPr>
        <w:t>废气无组织排放；项目</w:t>
      </w:r>
      <w:r>
        <w:rPr>
          <w:rFonts w:hint="eastAsia"/>
          <w:lang w:eastAsia="zh-CN"/>
        </w:rPr>
        <w:t>外排废水主要为食堂废水和生活污水，废水经预处理</w:t>
      </w:r>
      <w:r>
        <w:rPr>
          <w:rFonts w:hint="eastAsia" w:ascii="Times New Roman" w:hAnsi="Times New Roman"/>
          <w:lang w:eastAsia="zh-CN"/>
        </w:rPr>
        <w:t>达接管标准后排入东海县青湖</w:t>
      </w:r>
      <w:r>
        <w:rPr>
          <w:rFonts w:hint="eastAsia"/>
          <w:lang w:eastAsia="zh-CN"/>
        </w:rPr>
        <w:t>镇联村生活污水处理厂处</w:t>
      </w:r>
      <w:r>
        <w:rPr>
          <w:rFonts w:hint="eastAsia" w:ascii="Times New Roman" w:hAnsi="Times New Roman"/>
          <w:lang w:eastAsia="zh-CN"/>
        </w:rPr>
        <w:t>理</w:t>
      </w:r>
      <w:r>
        <w:rPr>
          <w:rFonts w:hint="eastAsia"/>
          <w:lang w:eastAsia="zh-CN"/>
        </w:rPr>
        <w:t>，处理</w:t>
      </w:r>
      <w:r>
        <w:rPr>
          <w:rFonts w:hint="eastAsia" w:ascii="Times New Roman" w:hAnsi="Times New Roman"/>
          <w:lang w:eastAsia="zh-CN"/>
        </w:rPr>
        <w:t>后的尾水排入乌龙河；噪声设备经减振隔声措施后可达标排放，固废均可得到有效处置。因此不会导致评价范围内重要生态功能保护区生态服务功能下降。</w:t>
      </w:r>
    </w:p>
    <w:p>
      <w:pPr>
        <w:adjustRightInd w:val="0"/>
        <w:snapToGrid w:val="0"/>
        <w:spacing w:line="360" w:lineRule="auto"/>
        <w:ind w:firstLine="560" w:firstLineChars="200"/>
        <w:rPr>
          <w:rFonts w:hint="eastAsia" w:ascii="Times New Roman" w:hAnsi="Times New Roman"/>
          <w:lang w:eastAsia="zh-CN"/>
        </w:rPr>
      </w:pPr>
      <w:r>
        <w:rPr>
          <w:rFonts w:hint="eastAsia" w:ascii="Times New Roman" w:hAnsi="Times New Roman"/>
          <w:lang w:eastAsia="zh-CN"/>
        </w:rPr>
        <w:t>综上所述，本项目的建设符合《江苏省生态红线区域保护规划》要求。</w:t>
      </w:r>
    </w:p>
    <w:p>
      <w:pPr>
        <w:bidi w:val="0"/>
        <w:rPr>
          <w:rFonts w:hint="default"/>
          <w:lang w:val="en-US" w:eastAsia="zh-CN"/>
        </w:rPr>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7"/>
        <w:bidi w:val="0"/>
        <w:rPr>
          <w:lang w:eastAsia="zh-CN"/>
        </w:rPr>
      </w:pPr>
      <w:r>
        <w:rPr>
          <w:lang w:eastAsia="zh-CN"/>
        </w:rPr>
        <w:t>表</w:t>
      </w:r>
      <w:r>
        <w:rPr>
          <w:rFonts w:hint="eastAsia"/>
          <w:lang w:val="en-US" w:eastAsia="zh-CN"/>
        </w:rPr>
        <w:t>1.4.3</w:t>
      </w:r>
      <w:r>
        <w:rPr>
          <w:lang w:eastAsia="zh-CN"/>
        </w:rPr>
        <w:t>-1  东海县范围内的重要生态功能保护区</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1136"/>
        <w:gridCol w:w="685"/>
        <w:gridCol w:w="5406"/>
        <w:gridCol w:w="3655"/>
        <w:gridCol w:w="971"/>
        <w:gridCol w:w="1028"/>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0" w:type="auto"/>
            <w:vMerge w:val="restart"/>
            <w:tcBorders>
              <w:tl2br w:val="nil"/>
              <w:tr2bl w:val="nil"/>
            </w:tcBorders>
            <w:shd w:val="clear" w:color="auto" w:fill="auto"/>
            <w:noWrap w:val="0"/>
            <w:vAlign w:val="center"/>
          </w:tcPr>
          <w:p>
            <w:pPr>
              <w:pStyle w:val="28"/>
              <w:suppressLineNumbers w:val="0"/>
              <w:bidi w:val="0"/>
              <w:spacing w:before="0" w:after="0"/>
              <w:ind w:left="0" w:right="0"/>
            </w:pPr>
            <w:r>
              <w:t>地区</w:t>
            </w:r>
          </w:p>
        </w:tc>
        <w:tc>
          <w:tcPr>
            <w:tcW w:w="0" w:type="auto"/>
            <w:vMerge w:val="restart"/>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生态空间保护区域名称</w:t>
            </w:r>
          </w:p>
        </w:tc>
        <w:tc>
          <w:tcPr>
            <w:tcW w:w="0" w:type="auto"/>
            <w:vMerge w:val="restart"/>
            <w:tcBorders>
              <w:tl2br w:val="nil"/>
              <w:tr2bl w:val="nil"/>
            </w:tcBorders>
            <w:shd w:val="clear" w:color="auto" w:fill="auto"/>
            <w:noWrap w:val="0"/>
            <w:vAlign w:val="center"/>
          </w:tcPr>
          <w:p>
            <w:pPr>
              <w:pStyle w:val="28"/>
              <w:suppressLineNumbers w:val="0"/>
              <w:bidi w:val="0"/>
              <w:spacing w:before="0" w:after="0"/>
              <w:ind w:left="0" w:right="0"/>
            </w:pPr>
            <w:r>
              <w:t>主导生态功能</w:t>
            </w:r>
          </w:p>
        </w:tc>
        <w:tc>
          <w:tcPr>
            <w:tcW w:w="0" w:type="auto"/>
            <w:gridSpan w:val="2"/>
            <w:tcBorders>
              <w:tl2br w:val="nil"/>
              <w:tr2bl w:val="nil"/>
            </w:tcBorders>
            <w:shd w:val="clear" w:color="auto" w:fill="auto"/>
            <w:noWrap w:val="0"/>
            <w:vAlign w:val="center"/>
          </w:tcPr>
          <w:p>
            <w:pPr>
              <w:pStyle w:val="28"/>
              <w:suppressLineNumbers w:val="0"/>
              <w:bidi w:val="0"/>
              <w:spacing w:before="0" w:after="0"/>
              <w:ind w:left="0" w:right="0"/>
            </w:pPr>
            <w:r>
              <w:t>红线区范围</w:t>
            </w:r>
          </w:p>
        </w:tc>
        <w:tc>
          <w:tcPr>
            <w:tcW w:w="0" w:type="auto"/>
            <w:gridSpan w:val="3"/>
            <w:tcBorders>
              <w:tl2br w:val="nil"/>
              <w:tr2bl w:val="nil"/>
            </w:tcBorders>
            <w:shd w:val="clear" w:color="auto" w:fill="auto"/>
            <w:noWrap w:val="0"/>
            <w:vAlign w:val="center"/>
          </w:tcPr>
          <w:p>
            <w:pPr>
              <w:pStyle w:val="28"/>
              <w:suppressLineNumbers w:val="0"/>
              <w:bidi w:val="0"/>
              <w:spacing w:before="0" w:after="0"/>
              <w:ind w:left="0" w:right="0"/>
            </w:pPr>
            <w:r>
              <w:t>面积（平方公里）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国家级生态保护红线范围</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生态空间管控区域范围</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国家级生态保护红线面积</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生态空间管控区域面积</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tcBorders>
              <w:tl2br w:val="nil"/>
              <w:tr2bl w:val="nil"/>
            </w:tcBorders>
            <w:shd w:val="clear" w:color="auto" w:fill="auto"/>
            <w:noWrap w:val="0"/>
            <w:vAlign w:val="center"/>
          </w:tcPr>
          <w:p>
            <w:pPr>
              <w:pStyle w:val="28"/>
              <w:suppressLineNumbers w:val="0"/>
              <w:bidi w:val="0"/>
              <w:spacing w:before="0" w:after="0"/>
              <w:ind w:left="0" w:right="0"/>
            </w:pPr>
            <w:r>
              <w:t>东海县</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石湖水源涵养区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水源涵养</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lang w:eastAsia="zh-CN"/>
              </w:rPr>
              <w:t>石湖林场及石湖乡的尤塘村、水库村、贺庄水库等</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rFonts w:hint="eastAsia" w:eastAsia="宋体"/>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16.7</w:t>
            </w:r>
            <w:r>
              <w:rPr>
                <w:rFonts w:hint="eastAsia"/>
                <w:lang w:val="en-US" w:eastAsia="zh-CN"/>
              </w:rPr>
              <w:t>3</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t>16.7</w:t>
            </w: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rFonts w:hint="eastAsia"/>
                <w:lang w:eastAsia="zh-CN"/>
              </w:rPr>
              <w:t>东海县横沟水库饮用水水源保护区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水源水质保护</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lang w:eastAsia="zh-CN"/>
              </w:rPr>
              <w:t>横沟水库库区及黄洼水库</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7.55</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西双湖重要湿地</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湿地生态系统保护</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西双湖水库库区范围</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6</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eastAsia" w:eastAsia="宋体"/>
                <w:lang w:eastAsia="zh-CN"/>
              </w:rPr>
            </w:pPr>
            <w:r>
              <w:rPr>
                <w:rFonts w:hint="eastAsia"/>
              </w:rPr>
              <w:t>江苏东海西双湖国家湿地公园 （试点</w:t>
            </w:r>
            <w:r>
              <w:rPr>
                <w:rFonts w:hint="eastAsia"/>
                <w:lang w:eastAsia="zh-CN"/>
              </w:rPr>
              <w:t>）</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eastAsia" w:eastAsia="宋体"/>
                <w:lang w:eastAsia="zh-CN"/>
              </w:rPr>
            </w:pPr>
            <w:r>
              <w:rPr>
                <w:rFonts w:hint="eastAsia"/>
              </w:rPr>
              <w:t>湿地生态系统保</w:t>
            </w:r>
            <w:r>
              <w:rPr>
                <w:rFonts w:hint="eastAsia"/>
                <w:lang w:eastAsia="zh-CN"/>
              </w:rPr>
              <w:t>护</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ascii="Times New Roman" w:hAnsi="Times New Roman" w:eastAsia="宋体" w:cstheme="minorBidi"/>
                <w:b w:val="0"/>
                <w:kern w:val="2"/>
                <w:sz w:val="21"/>
                <w:szCs w:val="24"/>
                <w:lang w:val="en-US" w:eastAsia="zh-CN" w:bidi="ar-SA"/>
              </w:rPr>
              <w:t>江苏东海西双湖国家湿地公园 （试点）总体规划中确定的范围 （包括湿地保育区和恢复重建区等）</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eastAsia="宋体"/>
                <w:lang w:val="en-US" w:eastAsia="zh-CN"/>
              </w:rPr>
            </w:pPr>
            <w:r>
              <w:rPr>
                <w:rFonts w:hint="eastAsia"/>
                <w:lang w:val="en-US" w:eastAsia="zh-CN"/>
              </w:rPr>
              <w:t>3.79</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eastAsia="宋体"/>
                <w:lang w:val="en-US" w:eastAsia="zh-CN"/>
              </w:rPr>
            </w:pPr>
            <w:r>
              <w:rPr>
                <w:rFonts w:hint="eastAsia"/>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lang w:eastAsia="zh-CN"/>
              </w:rPr>
              <w:t>石梁河水库（东海县）洪水调蓄区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洪水调蓄</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lang w:eastAsia="zh-CN"/>
              </w:rPr>
              <w:t>东海县境内的石梁河水库库区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16.83</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t>16.83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安峰山水源涵养区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水源涵养</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lang w:eastAsia="zh-CN"/>
              </w:rPr>
              <w:t>安峰林场、安峰水库、安峰镇峰西村、山西村、山庄村、山东村及曲阳乡城南村、城北村、官庄村、赵庄村等</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57.48</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57.48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马陵山水源涵养区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水源涵养</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lang w:eastAsia="zh-CN"/>
              </w:rPr>
              <w:t>西山林场、黑龙潭水库及周边的芦窝村、麻疯病院、山里岩、上河村、道埝村、陈洲村等。石埠水库及桃林镇的彭才村、西埠村、桃西村、桃北村、官庄村，以及山左口乡的大贤庄村、南古寨村等</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96.60</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rPr>
              <w:t>东海县淮沭干渠饮用水水源保护区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rPr>
              <w:t>水源水质保护</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lang w:eastAsia="zh-CN"/>
              </w:rPr>
              <w:t>一级保护区： 取水口上游1000米至下游500米， 及其两岸背水坡之间的水域范围和一级保护区水域与两岸背水坡堤脚外100米之间的陆域范围。二级保护区： 一级保护区以外上溯2000米、下延500米的水域范围和二级保护区水域与两岸背水坡堤脚外100米之间的陆域范围。准保护区： 二级保护区以外上溯2000米、 下延1000米的水域范围以及准保护区水域与相对应的两岸背水坡堤脚外100米之间的范</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2.98</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李埝水源涵养区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水源涵养</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lang w:eastAsia="zh-CN"/>
              </w:rPr>
            </w:pPr>
            <w:r>
              <w:rPr>
                <w:rFonts w:hint="eastAsia"/>
                <w:lang w:eastAsia="zh-CN"/>
              </w:rPr>
              <w:t>包括李埝林场和李埝乡的邵家、五联、 窝子、 黑豆涧村及恰恰、 石寨、 东李埝村等； 双店镇的昌梨水库； 温泉镇的东连湾水库、 西连湾村； 磨山林场、 磨山水库及周边的王朱洲村、 阚朱洲村、 阚朱洲水库等</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rFonts w:hint="default" w:eastAsia="宋体"/>
                <w:lang w:val="en-US"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lang w:val="en-US" w:eastAsia="zh-CN"/>
              </w:rPr>
              <w:t>140.45</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lang w:val="en-US" w:eastAsia="zh-CN"/>
              </w:rPr>
              <w:t>140.45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pPr>
            <w:r>
              <w:rPr>
                <w:rFonts w:hint="eastAsia"/>
              </w:rPr>
              <w:t>龙梁河清水通道维护区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pPr>
            <w:r>
              <w:rPr>
                <w:rFonts w:hint="eastAsia"/>
              </w:rPr>
              <w:t>水源水质保护</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lang w:eastAsia="zh-CN"/>
              </w:rPr>
            </w:pPr>
            <w:r>
              <w:rPr>
                <w:rFonts w:hint="eastAsia"/>
                <w:lang w:eastAsia="zh-CN"/>
              </w:rPr>
              <w:t>包括龙梁河 （大石埠水库至石梁河水库） 两岸背水坡堤脚外100米之间的范围， 长度65公里</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rFonts w:hint="default" w:eastAsia="宋体"/>
                <w:lang w:val="en-US"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18.51</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bCs/>
                <w:kern w:val="2"/>
                <w:sz w:val="21"/>
                <w:szCs w:val="24"/>
                <w:lang w:val="en-US" w:eastAsia="zh-CN" w:bidi="ar-SA"/>
              </w:rPr>
            </w:pPr>
            <w:r>
              <w:rPr>
                <w:b/>
                <w:bCs/>
                <w:lang w:eastAsia="zh-CN"/>
              </w:rPr>
              <w:t>石安河清水通道维护区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bCs/>
                <w:kern w:val="2"/>
                <w:sz w:val="21"/>
                <w:szCs w:val="24"/>
                <w:lang w:val="en-US" w:eastAsia="zh-CN" w:bidi="ar-SA"/>
              </w:rPr>
            </w:pPr>
            <w:r>
              <w:rPr>
                <w:b/>
                <w:bCs/>
              </w:rPr>
              <w:t>水源水质保护</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bCs/>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bCs/>
                <w:kern w:val="2"/>
                <w:sz w:val="21"/>
                <w:szCs w:val="24"/>
                <w:lang w:val="en-US" w:eastAsia="zh-CN" w:bidi="ar-SA"/>
              </w:rPr>
            </w:pPr>
            <w:r>
              <w:rPr>
                <w:b/>
                <w:bCs/>
                <w:lang w:eastAsia="zh-CN"/>
              </w:rPr>
              <w:t>包括石安河（安峰山水库至石梁河水库）两岸背水坡堤脚外100米之间的范围，长度58公里</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hint="default" w:ascii="Times New Roman" w:hAnsi="Times New Roman" w:eastAsia="宋体" w:cstheme="minorBidi"/>
                <w:b/>
                <w:bCs/>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bCs/>
                <w:kern w:val="2"/>
                <w:sz w:val="21"/>
                <w:szCs w:val="24"/>
                <w:lang w:val="en-US" w:eastAsia="zh-CN" w:bidi="ar-SA"/>
              </w:rPr>
            </w:pPr>
            <w:r>
              <w:rPr>
                <w:rFonts w:hint="eastAsia"/>
                <w:b/>
                <w:bCs/>
                <w:lang w:val="en-US" w:eastAsia="zh-CN"/>
              </w:rPr>
              <w:t>20.14</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bCs/>
                <w:kern w:val="2"/>
                <w:sz w:val="21"/>
                <w:szCs w:val="24"/>
                <w:lang w:val="en-US" w:eastAsia="zh-CN" w:bidi="ar-SA"/>
              </w:rPr>
            </w:pPr>
            <w:r>
              <w:rPr>
                <w:rFonts w:hint="eastAsia"/>
                <w:b/>
                <w:bCs/>
                <w:lang w:val="en-US" w:eastAsia="zh-CN"/>
              </w:rPr>
              <w:t>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阿湖水库重要湿地</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湿地生态系统保护</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lang w:eastAsia="zh-CN"/>
              </w:rPr>
              <w:t>东海县境内阿湖水库水域范围</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hint="eastAsia" w:ascii="Times New Roman" w:hAnsi="Times New Roman" w:eastAsia="宋体" w:cstheme="minorBidi"/>
                <w:b/>
                <w:bCs/>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bCs/>
                <w:kern w:val="2"/>
                <w:sz w:val="21"/>
                <w:szCs w:val="24"/>
                <w:lang w:val="en-US" w:eastAsia="zh-CN" w:bidi="ar-SA"/>
              </w:rPr>
            </w:pPr>
            <w:r>
              <w:rPr>
                <w:rFonts w:hint="eastAsia"/>
                <w:b/>
                <w:bCs/>
                <w:lang w:val="en-US" w:eastAsia="zh-CN"/>
              </w:rPr>
              <w:t>2.02</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bCs/>
                <w:kern w:val="2"/>
                <w:sz w:val="21"/>
                <w:szCs w:val="24"/>
                <w:lang w:val="en-US" w:eastAsia="zh-CN" w:bidi="ar-SA"/>
              </w:rPr>
            </w:pPr>
            <w:r>
              <w:rPr>
                <w:rFonts w:hint="eastAsia"/>
                <w:b/>
                <w:bCs/>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房山水源涵养区</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水源涵养</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lang w:eastAsia="zh-CN"/>
              </w:rPr>
              <w:t>房山水库、房山林场、房山河堤林场及房山镇的房南村、房北村、山后村、前阳村、山前村等</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outlineLvl w:val="9"/>
              <w:rPr>
                <w:rFonts w:hint="eastAsia" w:ascii="Times New Roman" w:hAnsi="Times New Roman" w:eastAsia="宋体" w:cstheme="minorBidi"/>
                <w:b w:val="0"/>
                <w:kern w:val="2"/>
                <w:sz w:val="21"/>
                <w:szCs w:val="24"/>
                <w:lang w:val="en-US" w:eastAsia="zh-CN" w:bidi="ar-SA"/>
              </w:rPr>
            </w:pP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t>12.83</w:t>
            </w:r>
          </w:p>
        </w:tc>
        <w:tc>
          <w:tcPr>
            <w:tcW w:w="0" w:type="auto"/>
            <w:tcBorders>
              <w:tl2br w:val="nil"/>
              <w:tr2bl w:val="nil"/>
            </w:tcBorders>
            <w:shd w:val="clear" w:color="auto" w:fill="auto"/>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t>12.83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rPr>
              <w:t>东海青松岭省级森林公</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rPr>
              <w:t>自然与人文景观</w:t>
            </w:r>
            <w:r>
              <w:rPr>
                <w:rFonts w:hint="eastAsia"/>
                <w:lang w:eastAsia="zh-CN"/>
              </w:rPr>
              <w:t>保护</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rPr>
              <w:t>东海青松岭省级森林公园总体规划中确定的范围 （包含生态保育区和核心景观区等</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14.28</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0" w:type="auto"/>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rPr>
            </w:pPr>
            <w:r>
              <w:rPr>
                <w:rFonts w:hint="eastAsia"/>
              </w:rPr>
              <w:t>东海县西双湖水库应急水源</w:t>
            </w:r>
          </w:p>
          <w:p>
            <w:pPr>
              <w:pStyle w:val="28"/>
              <w:suppressLineNumbers w:val="0"/>
              <w:bidi w:val="0"/>
              <w:spacing w:before="0" w:after="0"/>
              <w:ind w:left="0" w:right="0"/>
              <w:rPr>
                <w:rFonts w:hint="eastAsia" w:eastAsia="宋体"/>
                <w:lang w:eastAsia="zh-CN"/>
              </w:rPr>
            </w:pPr>
            <w:r>
              <w:rPr>
                <w:rFonts w:hint="eastAsia"/>
              </w:rPr>
              <w:t>地保护</w:t>
            </w:r>
            <w:r>
              <w:rPr>
                <w:rFonts w:hint="eastAsia"/>
                <w:lang w:eastAsia="zh-CN"/>
              </w:rPr>
              <w:t>区</w:t>
            </w:r>
          </w:p>
        </w:tc>
        <w:tc>
          <w:tcPr>
            <w:tcW w:w="0" w:type="auto"/>
            <w:tcBorders>
              <w:tl2br w:val="nil"/>
              <w:tr2bl w:val="nil"/>
            </w:tcBorders>
            <w:shd w:val="clear" w:color="auto" w:fill="auto"/>
            <w:noWrap w:val="0"/>
            <w:vAlign w:val="center"/>
          </w:tcPr>
          <w:p>
            <w:pPr>
              <w:pStyle w:val="28"/>
              <w:suppressLineNumbers w:val="0"/>
              <w:bidi w:val="0"/>
              <w:spacing w:before="0" w:after="0"/>
              <w:ind w:left="0" w:right="0"/>
            </w:pPr>
            <w:r>
              <w:rPr>
                <w:rFonts w:hint="eastAsia"/>
              </w:rPr>
              <w:t>水源水质保护</w:t>
            </w: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eastAsia"/>
              </w:rPr>
            </w:pPr>
            <w:r>
              <w:rPr>
                <w:rFonts w:hint="eastAsia"/>
              </w:rPr>
              <w:t>一级保护区： 以东海县取水口为中心，半径 500 米的水域范围； 取水口东侧正常水位线以上至背水坡堤脚外 80</w:t>
            </w:r>
          </w:p>
          <w:p>
            <w:pPr>
              <w:pStyle w:val="28"/>
              <w:suppressLineNumbers w:val="0"/>
              <w:bidi w:val="0"/>
              <w:spacing w:before="0" w:after="0"/>
              <w:ind w:left="0" w:right="0"/>
            </w:pPr>
            <w:r>
              <w:rPr>
                <w:rFonts w:hint="eastAsia"/>
              </w:rPr>
              <w:t>米之间的陆域范围。二级保护区： 一级保护区外延至水库四周大坝堤脚外80米之间的水域和陆域范围</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rPr>
                <w:lang w:eastAsia="zh-CN"/>
              </w:rPr>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6.83</w:t>
            </w:r>
          </w:p>
        </w:tc>
        <w:tc>
          <w:tcPr>
            <w:tcW w:w="0" w:type="auto"/>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0" w:type="auto"/>
            <w:tcBorders>
              <w:tl2br w:val="nil"/>
              <w:tr2bl w:val="nil"/>
            </w:tcBorders>
            <w:shd w:val="clear" w:color="auto" w:fill="auto"/>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6.83</w:t>
            </w:r>
          </w:p>
        </w:tc>
      </w:tr>
    </w:tbl>
    <w:p>
      <w:pPr>
        <w:pStyle w:val="4"/>
        <w:numPr>
          <w:ilvl w:val="1"/>
          <w:numId w:val="1"/>
        </w:numPr>
        <w:bidi w:val="0"/>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pPr>
      <w:r>
        <w:rPr>
          <w:rFonts w:hint="eastAsia"/>
          <w:lang w:eastAsia="zh-CN"/>
        </w:rPr>
        <w:t>（</w:t>
      </w:r>
      <w:r>
        <w:rPr>
          <w:rFonts w:hint="eastAsia"/>
          <w:lang w:val="en-US" w:eastAsia="zh-CN"/>
        </w:rPr>
        <w:t>2）环境质量底线</w:t>
      </w:r>
    </w:p>
    <w:p>
      <w:pPr>
        <w:bidi w:val="0"/>
      </w:pPr>
      <w:r>
        <w:t>根据《市政府办公室关于印发连云港市环境质量底线管理办法（试行）的通知》（连政办发</w:t>
      </w:r>
      <w:r>
        <w:rPr>
          <w:rFonts w:hint="eastAsia"/>
        </w:rPr>
        <w:t>[</w:t>
      </w:r>
      <w:r>
        <w:t>2018</w:t>
      </w:r>
      <w:r>
        <w:rPr>
          <w:rFonts w:hint="eastAsia"/>
        </w:rPr>
        <w:t>]</w:t>
      </w:r>
      <w:r>
        <w:t>38号），分析项目相符性，具体分析结果见表</w:t>
      </w:r>
      <w:r>
        <w:rPr>
          <w:rFonts w:hint="eastAsia"/>
          <w:lang w:val="en-US" w:eastAsia="zh-CN"/>
        </w:rPr>
        <w:t>1.4.3</w:t>
      </w:r>
      <w:r>
        <w:t>-</w:t>
      </w:r>
      <w:r>
        <w:rPr>
          <w:rFonts w:hint="eastAsia"/>
          <w:lang w:val="en-US" w:eastAsia="zh-CN"/>
        </w:rPr>
        <w:t>2</w:t>
      </w:r>
      <w:r>
        <w:t>所示。</w:t>
      </w:r>
    </w:p>
    <w:p>
      <w:pPr>
        <w:pStyle w:val="27"/>
        <w:keepNext/>
        <w:keepLines/>
        <w:pageBreakBefore w:val="0"/>
        <w:widowControl w:val="0"/>
        <w:kinsoku/>
        <w:wordWrap/>
        <w:overflowPunct/>
        <w:topLinePunct w:val="0"/>
        <w:autoSpaceDE/>
        <w:autoSpaceDN/>
        <w:bidi w:val="0"/>
        <w:adjustRightInd/>
        <w:snapToGrid/>
        <w:textAlignment w:val="auto"/>
      </w:pPr>
      <w:r>
        <w:t>表</w:t>
      </w:r>
      <w:r>
        <w:rPr>
          <w:rFonts w:hint="eastAsia"/>
          <w:lang w:val="en-US" w:eastAsia="zh-CN"/>
        </w:rPr>
        <w:t>1.4.3</w:t>
      </w:r>
      <w:r>
        <w:t>-</w:t>
      </w:r>
      <w:r>
        <w:rPr>
          <w:rFonts w:hint="eastAsia"/>
          <w:lang w:val="en-US" w:eastAsia="zh-CN"/>
        </w:rPr>
        <w:t xml:space="preserve">2 </w:t>
      </w:r>
      <w:r>
        <w:t>与当地环境质量底线的符合性分析表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4515"/>
        <w:gridCol w:w="3819"/>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989" w:type="dxa"/>
            <w:tcBorders>
              <w:tl2br w:val="nil"/>
              <w:tr2bl w:val="nil"/>
            </w:tcBorders>
            <w:noWrap w:val="0"/>
            <w:vAlign w:val="center"/>
          </w:tcPr>
          <w:p>
            <w:pPr>
              <w:pStyle w:val="28"/>
              <w:suppressLineNumbers w:val="0"/>
              <w:bidi w:val="0"/>
              <w:spacing w:before="0" w:after="0"/>
              <w:ind w:left="0" w:right="0"/>
            </w:pPr>
            <w:r>
              <w:t>指标设置</w:t>
            </w:r>
          </w:p>
        </w:tc>
        <w:tc>
          <w:tcPr>
            <w:tcW w:w="4515" w:type="dxa"/>
            <w:tcBorders>
              <w:tl2br w:val="nil"/>
              <w:tr2bl w:val="nil"/>
            </w:tcBorders>
            <w:noWrap w:val="0"/>
            <w:vAlign w:val="center"/>
          </w:tcPr>
          <w:p>
            <w:pPr>
              <w:pStyle w:val="28"/>
              <w:suppressLineNumbers w:val="0"/>
              <w:bidi w:val="0"/>
              <w:spacing w:before="0" w:after="0"/>
              <w:ind w:left="0" w:right="0"/>
            </w:pPr>
            <w:r>
              <w:t>管控内涵</w:t>
            </w:r>
          </w:p>
        </w:tc>
        <w:tc>
          <w:tcPr>
            <w:tcW w:w="3819" w:type="dxa"/>
            <w:tcBorders>
              <w:tl2br w:val="nil"/>
              <w:tr2bl w:val="nil"/>
            </w:tcBorders>
            <w:noWrap w:val="0"/>
            <w:vAlign w:val="center"/>
          </w:tcPr>
          <w:p>
            <w:pPr>
              <w:pStyle w:val="28"/>
              <w:suppressLineNumbers w:val="0"/>
              <w:bidi w:val="0"/>
              <w:spacing w:before="0" w:after="0"/>
              <w:ind w:left="0" w:right="0"/>
            </w:pPr>
            <w:r>
              <w:t>项目情况</w:t>
            </w:r>
          </w:p>
        </w:tc>
        <w:tc>
          <w:tcPr>
            <w:tcW w:w="423" w:type="dxa"/>
            <w:tcBorders>
              <w:tl2br w:val="nil"/>
              <w:tr2bl w:val="nil"/>
            </w:tcBorders>
            <w:noWrap w:val="0"/>
            <w:vAlign w:val="center"/>
          </w:tcPr>
          <w:p>
            <w:pPr>
              <w:pStyle w:val="28"/>
              <w:suppressLineNumbers w:val="0"/>
              <w:bidi w:val="0"/>
              <w:spacing w:before="0" w:after="0"/>
              <w:ind w:left="0" w:right="0"/>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tcBorders>
              <w:tl2br w:val="nil"/>
              <w:tr2bl w:val="nil"/>
            </w:tcBorders>
            <w:noWrap w:val="0"/>
            <w:vAlign w:val="center"/>
          </w:tcPr>
          <w:p>
            <w:pPr>
              <w:pStyle w:val="28"/>
              <w:suppressLineNumbers w:val="0"/>
              <w:bidi w:val="0"/>
              <w:spacing w:before="0" w:after="0"/>
              <w:ind w:left="0" w:right="0"/>
            </w:pPr>
            <w:r>
              <w:t>1、大气环境质量管控要求</w:t>
            </w:r>
          </w:p>
        </w:tc>
        <w:tc>
          <w:tcPr>
            <w:tcW w:w="4515" w:type="dxa"/>
            <w:tcBorders>
              <w:tl2br w:val="nil"/>
              <w:tr2bl w:val="nil"/>
            </w:tcBorders>
            <w:noWrap w:val="0"/>
            <w:vAlign w:val="center"/>
          </w:tcPr>
          <w:p>
            <w:pPr>
              <w:pStyle w:val="28"/>
              <w:suppressLineNumbers w:val="0"/>
              <w:bidi w:val="0"/>
              <w:spacing w:before="0" w:after="0"/>
              <w:ind w:left="0" w:right="0"/>
            </w:pPr>
            <w:r>
              <w:t>到2020年，我市PM</w:t>
            </w:r>
            <w:r>
              <w:rPr>
                <w:vertAlign w:val="subscript"/>
              </w:rPr>
              <w:t>2.5</w:t>
            </w:r>
            <w:r>
              <w:t>浓度与2015年相比下降20%以上，确保降低至44微克/立方米以下，力争降低到35微克/立方米。到2030年，我市PM</w:t>
            </w:r>
            <w:r>
              <w:rPr>
                <w:vertAlign w:val="subscript"/>
              </w:rPr>
              <w:t>2.5</w:t>
            </w:r>
            <w:r>
              <w:rPr>
                <w:rFonts w:hint="eastAsia"/>
              </w:rPr>
              <w:t>：</w:t>
            </w:r>
            <w:r>
              <w:t>浓度稳定达到二级标准要求。主要污染物总量减排目标:2020年大气环境污染物排放总量(不含船舶)SO</w:t>
            </w:r>
            <w:r>
              <w:rPr>
                <w:rFonts w:hint="eastAsia"/>
                <w:vertAlign w:val="subscript"/>
              </w:rPr>
              <w:t>2</w:t>
            </w:r>
            <w:r>
              <w:rPr>
                <w:rFonts w:hint="eastAsia"/>
              </w:rPr>
              <w:t>：</w:t>
            </w:r>
            <w:r>
              <w:t>控制在3.5万吨，NOx控制在4.7万吨，一次PM</w:t>
            </w:r>
            <w:r>
              <w:rPr>
                <w:vertAlign w:val="subscript"/>
              </w:rPr>
              <w:t>2</w:t>
            </w:r>
            <w:r>
              <w:rPr>
                <w:rFonts w:hint="eastAsia"/>
                <w:vertAlign w:val="subscript"/>
              </w:rPr>
              <w:t>.5</w:t>
            </w:r>
            <w:r>
              <w:rPr>
                <w:rFonts w:hint="eastAsia"/>
              </w:rPr>
              <w:t>：</w:t>
            </w:r>
            <w:r>
              <w:t>控制在2.2万吨，VOCs控制在6.9万吨。2030年，大气环境污染物排放总量(不含船舶)SO</w:t>
            </w:r>
            <w:r>
              <w:rPr>
                <w:rFonts w:hint="eastAsia"/>
                <w:vertAlign w:val="subscript"/>
                <w:lang w:val="en-US" w:eastAsia="zh-CN"/>
              </w:rPr>
              <w:t>2</w:t>
            </w:r>
            <w:r>
              <w:rPr>
                <w:rFonts w:hint="eastAsia"/>
              </w:rPr>
              <w:t>：</w:t>
            </w:r>
            <w:r>
              <w:t>控制在2.6万吨，NOx控制在4.4万吨，一次PM</w:t>
            </w:r>
            <w:r>
              <w:rPr>
                <w:vertAlign w:val="subscript"/>
              </w:rPr>
              <w:t>2</w:t>
            </w:r>
            <w:r>
              <w:rPr>
                <w:rFonts w:hint="eastAsia"/>
                <w:vertAlign w:val="subscript"/>
              </w:rPr>
              <w:t>.5</w:t>
            </w:r>
            <w:r>
              <w:rPr>
                <w:rFonts w:hint="eastAsia"/>
              </w:rPr>
              <w:t>：</w:t>
            </w:r>
            <w:r>
              <w:t>控制在1.6万吨，VOCs控制在6.1万吨。</w:t>
            </w:r>
          </w:p>
        </w:tc>
        <w:tc>
          <w:tcPr>
            <w:tcW w:w="3819" w:type="dxa"/>
            <w:tcBorders>
              <w:tl2br w:val="nil"/>
              <w:tr2bl w:val="nil"/>
            </w:tcBorders>
            <w:noWrap w:val="0"/>
            <w:vAlign w:val="center"/>
          </w:tcPr>
          <w:p>
            <w:pPr>
              <w:pStyle w:val="28"/>
              <w:suppressLineNumbers w:val="0"/>
              <w:bidi w:val="0"/>
              <w:spacing w:before="0" w:after="0"/>
              <w:ind w:left="0" w:right="0"/>
            </w:pPr>
            <w:r>
              <w:rPr>
                <w:rFonts w:hint="eastAsia"/>
              </w:rPr>
              <w:t>根据2018年</w:t>
            </w:r>
            <w:r>
              <w:rPr>
                <w:rFonts w:hint="eastAsia"/>
                <w:lang w:eastAsia="zh-CN"/>
              </w:rPr>
              <w:t>连云港市环境质量公告</w:t>
            </w:r>
            <w:r>
              <w:rPr>
                <w:rFonts w:hint="eastAsia"/>
              </w:rPr>
              <w:t>，</w:t>
            </w:r>
            <w:r>
              <w:rPr>
                <w:rFonts w:hint="eastAsia"/>
                <w:lang w:eastAsia="zh-CN"/>
              </w:rPr>
              <w:t>东海县</w:t>
            </w:r>
            <w:r>
              <w:rPr>
                <w:rFonts w:hint="eastAsia"/>
              </w:rPr>
              <w:t>大气中 PM</w:t>
            </w:r>
            <w:r>
              <w:rPr>
                <w:rFonts w:hint="eastAsia"/>
                <w:vertAlign w:val="subscript"/>
              </w:rPr>
              <w:t>2.5</w:t>
            </w:r>
            <w:r>
              <w:rPr>
                <w:rFonts w:hint="eastAsia"/>
                <w:lang w:eastAsia="zh-CN"/>
              </w:rPr>
              <w:t>、</w:t>
            </w:r>
            <w:r>
              <w:rPr>
                <w:rFonts w:hint="eastAsia"/>
                <w:lang w:val="en-US" w:eastAsia="zh-CN"/>
              </w:rPr>
              <w:t>O</w:t>
            </w:r>
            <w:r>
              <w:rPr>
                <w:rFonts w:hint="eastAsia"/>
                <w:vertAlign w:val="subscript"/>
                <w:lang w:val="en-US" w:eastAsia="zh-CN"/>
              </w:rPr>
              <w:t>3</w:t>
            </w:r>
            <w:r>
              <w:rPr>
                <w:rFonts w:hint="eastAsia"/>
              </w:rPr>
              <w:t>超标，项目所在区域为环境空气质量为不达标区，为加快改善环境空气质量，连云港市制定了《连云港市空气质量达标规划》等，《连云港市空气质量达标规划》提出了2016-2020年改善连云港市环境空气质量的重点工程，通过采取一系列措施后，项目所在区域环境质量可以得到进一步改善。</w:t>
            </w:r>
          </w:p>
        </w:tc>
        <w:tc>
          <w:tcPr>
            <w:tcW w:w="423" w:type="dxa"/>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tcBorders>
              <w:tl2br w:val="nil"/>
              <w:tr2bl w:val="nil"/>
            </w:tcBorders>
            <w:noWrap w:val="0"/>
            <w:vAlign w:val="center"/>
          </w:tcPr>
          <w:p>
            <w:pPr>
              <w:pStyle w:val="28"/>
              <w:suppressLineNumbers w:val="0"/>
              <w:bidi w:val="0"/>
              <w:spacing w:before="0" w:after="0"/>
              <w:ind w:left="0" w:right="0"/>
            </w:pPr>
            <w:r>
              <w:t>2、水环境质量管控要求</w:t>
            </w:r>
          </w:p>
        </w:tc>
        <w:tc>
          <w:tcPr>
            <w:tcW w:w="4515" w:type="dxa"/>
            <w:tcBorders>
              <w:tl2br w:val="nil"/>
              <w:tr2bl w:val="nil"/>
            </w:tcBorders>
            <w:noWrap w:val="0"/>
            <w:vAlign w:val="center"/>
          </w:tcPr>
          <w:p>
            <w:pPr>
              <w:pStyle w:val="28"/>
              <w:suppressLineNumbers w:val="0"/>
              <w:bidi w:val="0"/>
              <w:spacing w:before="0" w:after="0"/>
              <w:ind w:left="0" w:right="0"/>
            </w:pPr>
            <w:r>
              <w:t>到2020年，地表水省级以上考核断面水质优良(达到或优于且I类)比例达到72.7%以上。县级以上集中式饮用水水源水质达到或优于III类比例总体达到100%，劣于V类水体基本消除，地下水、近岸海域水质保持稳定。2019年，城市建成区黑臭水体基本消除。到2030年，地表水省级以上考核断面水质优良(达到或优于III类)比例达到77.3%以上，县级以上集中式饮用水水源水质达到或优于III类比例保持100%，水生态系统功能基本恢复。2020年全市COD控制在16.5万吨，氨氮控制在1.04万吨，2030年全市COD控制在15.61万吨，氨氮控制在1.03万吨。</w:t>
            </w:r>
          </w:p>
        </w:tc>
        <w:tc>
          <w:tcPr>
            <w:tcW w:w="3819"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根据</w:t>
            </w:r>
            <w:r>
              <w:rPr>
                <w:rFonts w:hint="eastAsia"/>
                <w:lang w:val="en-US" w:eastAsia="zh-CN"/>
              </w:rPr>
              <w:t>连云港市生态环境局发布的2019年度连云港市水环境质量状况</w:t>
            </w:r>
            <w:r>
              <w:rPr>
                <w:rFonts w:hint="eastAsia"/>
              </w:rPr>
              <w:t>，</w:t>
            </w:r>
            <w:r>
              <w:rPr>
                <w:rFonts w:hint="eastAsia"/>
                <w:lang w:eastAsia="zh-CN"/>
              </w:rPr>
              <w:t>石安河浦西桥断面</w:t>
            </w:r>
            <w:r>
              <w:rPr>
                <w:rFonts w:hint="eastAsia"/>
                <w:lang w:val="en-US" w:eastAsia="zh-CN"/>
              </w:rPr>
              <w:t>2019年</w:t>
            </w:r>
            <w:r>
              <w:rPr>
                <w:rFonts w:hint="eastAsia"/>
              </w:rPr>
              <w:t>监测因子</w:t>
            </w:r>
            <w:r>
              <w:rPr>
                <w:rFonts w:hint="eastAsia"/>
                <w:lang w:eastAsia="zh-CN"/>
              </w:rPr>
              <w:t>平均水质</w:t>
            </w:r>
            <w:r>
              <w:rPr>
                <w:rFonts w:hint="eastAsia"/>
              </w:rPr>
              <w:t>满足《地表水环境质量标准》（GB3838-2002）Ⅲ类标准。</w:t>
            </w:r>
          </w:p>
          <w:p>
            <w:pPr>
              <w:pStyle w:val="28"/>
              <w:suppressLineNumbers w:val="0"/>
              <w:bidi w:val="0"/>
              <w:spacing w:before="0" w:after="0"/>
              <w:ind w:left="0" w:right="0"/>
              <w:rPr>
                <w:rFonts w:hint="eastAsia"/>
              </w:rPr>
            </w:pPr>
            <w:r>
              <w:rPr>
                <w:rFonts w:hint="eastAsia"/>
                <w:lang w:val="en-US" w:eastAsia="zh-CN"/>
              </w:rPr>
              <w:t>据东海县环境监测站《</w:t>
            </w:r>
            <w:r>
              <w:rPr>
                <w:rFonts w:hint="default"/>
                <w:lang w:val="en-US" w:eastAsia="zh-CN"/>
              </w:rPr>
              <w:t>2018</w:t>
            </w:r>
            <w:r>
              <w:rPr>
                <w:rFonts w:hint="eastAsia"/>
                <w:lang w:val="en-US" w:eastAsia="zh-CN"/>
              </w:rPr>
              <w:t>年环境质量报告书》，石安河浦西桥监测断面监测结果表明</w:t>
            </w:r>
            <w:r>
              <w:rPr>
                <w:rFonts w:hint="eastAsia"/>
              </w:rPr>
              <w:t>，</w:t>
            </w:r>
            <w:r>
              <w:rPr>
                <w:rFonts w:hint="eastAsia"/>
                <w:lang w:eastAsia="zh-CN"/>
              </w:rPr>
              <w:t>石安河浦西桥断面</w:t>
            </w:r>
            <w:r>
              <w:rPr>
                <w:rFonts w:hint="eastAsia"/>
                <w:lang w:val="en-US" w:eastAsia="zh-CN"/>
              </w:rPr>
              <w:t>2018年</w:t>
            </w:r>
            <w:r>
              <w:rPr>
                <w:rFonts w:hint="eastAsia"/>
              </w:rPr>
              <w:t>监测因子</w:t>
            </w:r>
            <w:r>
              <w:rPr>
                <w:rFonts w:hint="eastAsia"/>
                <w:lang w:eastAsia="zh-CN"/>
              </w:rPr>
              <w:t>平均水质</w:t>
            </w:r>
            <w:r>
              <w:rPr>
                <w:rFonts w:hint="eastAsia"/>
              </w:rPr>
              <w:t>满足《地表水环境质量标准》（GB3838-2002）Ⅲ类标准。</w:t>
            </w:r>
          </w:p>
          <w:p>
            <w:pPr>
              <w:pStyle w:val="28"/>
              <w:suppressLineNumbers w:val="0"/>
              <w:bidi w:val="0"/>
              <w:spacing w:before="0" w:after="0"/>
              <w:ind w:left="0" w:right="0"/>
            </w:pPr>
            <w:r>
              <w:rPr>
                <w:rFonts w:hint="eastAsia"/>
              </w:rPr>
              <w:t>本项目废水经处理达标后</w:t>
            </w:r>
            <w:r>
              <w:rPr>
                <w:rFonts w:hint="eastAsia"/>
                <w:lang w:eastAsia="zh-CN"/>
              </w:rPr>
              <w:t>排入青湖镇联村生活污水处理厂进行处理，不会对周边地表水环境产生不良影响</w:t>
            </w:r>
          </w:p>
          <w:p>
            <w:pPr>
              <w:pStyle w:val="28"/>
              <w:suppressLineNumbers w:val="0"/>
              <w:bidi w:val="0"/>
              <w:spacing w:before="0" w:after="0"/>
              <w:ind w:left="0" w:right="0"/>
              <w:outlineLvl w:val="9"/>
            </w:pPr>
          </w:p>
        </w:tc>
        <w:tc>
          <w:tcPr>
            <w:tcW w:w="423" w:type="dxa"/>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9" w:type="dxa"/>
            <w:tcBorders>
              <w:tl2br w:val="nil"/>
              <w:tr2bl w:val="nil"/>
            </w:tcBorders>
            <w:noWrap w:val="0"/>
            <w:vAlign w:val="center"/>
          </w:tcPr>
          <w:p>
            <w:pPr>
              <w:pStyle w:val="28"/>
              <w:suppressLineNumbers w:val="0"/>
              <w:bidi w:val="0"/>
              <w:spacing w:before="0" w:after="0"/>
              <w:ind w:left="0" w:right="0"/>
            </w:pPr>
            <w:r>
              <w:t>3、土壤环境风险管控要求</w:t>
            </w:r>
          </w:p>
        </w:tc>
        <w:tc>
          <w:tcPr>
            <w:tcW w:w="4515" w:type="dxa"/>
            <w:tcBorders>
              <w:tl2br w:val="nil"/>
              <w:tr2bl w:val="nil"/>
            </w:tcBorders>
            <w:noWrap w:val="0"/>
            <w:vAlign w:val="center"/>
          </w:tcPr>
          <w:p>
            <w:pPr>
              <w:pStyle w:val="28"/>
              <w:suppressLineNumbers w:val="0"/>
              <w:bidi w:val="0"/>
              <w:spacing w:before="0" w:after="0"/>
              <w:ind w:left="0" w:right="0"/>
            </w:pPr>
            <w:r>
              <w:t>利用国土、农业、环保等部门的土壤环境监测调查数据，结合土壤污染状况详查，确定土壤环境风险重点管控区域和管控要求。</w:t>
            </w:r>
          </w:p>
        </w:tc>
        <w:tc>
          <w:tcPr>
            <w:tcW w:w="3819" w:type="dxa"/>
            <w:tcBorders>
              <w:tl2br w:val="nil"/>
              <w:tr2bl w:val="nil"/>
            </w:tcBorders>
            <w:noWrap w:val="0"/>
            <w:vAlign w:val="center"/>
          </w:tcPr>
          <w:p>
            <w:pPr>
              <w:pStyle w:val="28"/>
              <w:suppressLineNumbers w:val="0"/>
              <w:bidi w:val="0"/>
              <w:spacing w:before="0" w:after="0"/>
              <w:ind w:left="0" w:right="0"/>
            </w:pPr>
            <w:r>
              <w:rPr>
                <w:rFonts w:hint="eastAsia"/>
              </w:rPr>
              <w:t>项目所在区域不涉及农用地土壤环境，同时本项目在防渗防腐措施正常的情况下不向土壤环境排放污染物</w:t>
            </w:r>
          </w:p>
        </w:tc>
        <w:tc>
          <w:tcPr>
            <w:tcW w:w="423" w:type="dxa"/>
            <w:tcBorders>
              <w:tl2br w:val="nil"/>
              <w:tr2bl w:val="nil"/>
            </w:tcBorders>
            <w:noWrap w:val="0"/>
            <w:vAlign w:val="center"/>
          </w:tcPr>
          <w:p>
            <w:pPr>
              <w:pStyle w:val="28"/>
              <w:suppressLineNumbers w:val="0"/>
              <w:bidi w:val="0"/>
              <w:spacing w:before="0" w:after="0"/>
              <w:ind w:left="0" w:right="0"/>
            </w:pPr>
            <w:r>
              <w:t>符合</w:t>
            </w:r>
          </w:p>
        </w:tc>
      </w:tr>
    </w:tbl>
    <w:p>
      <w:pPr>
        <w:bidi w:val="0"/>
      </w:pPr>
      <w:r>
        <w:rPr>
          <w:rFonts w:hint="eastAsia"/>
        </w:rPr>
        <w:t>综上，本项目的实施不会改变环境功能类别，与连政办发[2018] 38号相符；与环境质量底线基本相符，本项目的建设不会突破环境质量底线</w:t>
      </w:r>
    </w:p>
    <w:p>
      <w:pPr>
        <w:bidi w:val="0"/>
        <w:rPr>
          <w:rFonts w:hint="eastAsia"/>
          <w:lang w:eastAsia="zh-CN"/>
        </w:rPr>
      </w:pPr>
      <w:r>
        <w:rPr>
          <w:rFonts w:hint="eastAsia"/>
          <w:lang w:eastAsia="zh-CN"/>
        </w:rPr>
        <w:t>（</w:t>
      </w:r>
      <w:r>
        <w:rPr>
          <w:rFonts w:hint="eastAsia"/>
          <w:lang w:val="en-US" w:eastAsia="zh-CN"/>
        </w:rPr>
        <w:t>3）</w:t>
      </w:r>
      <w:r>
        <w:rPr>
          <w:rFonts w:hint="eastAsia"/>
        </w:rPr>
        <w:t>资源利用上</w:t>
      </w:r>
      <w:r>
        <w:rPr>
          <w:rFonts w:hint="eastAsia"/>
          <w:lang w:eastAsia="zh-CN"/>
        </w:rPr>
        <w:t>线</w:t>
      </w:r>
    </w:p>
    <w:p>
      <w:pPr>
        <w:bidi w:val="0"/>
        <w:rPr>
          <w:rFonts w:hint="eastAsia"/>
        </w:rPr>
      </w:pPr>
      <w:r>
        <w:rPr>
          <w:rFonts w:hint="eastAsia"/>
        </w:rPr>
        <w:t>根据《连云港市战略环境评价报告》（上报稿，2016年10月）中“5.3严控资源消耗上线”内容，其明确提出了“资源消耗上限”管控内涵及指标设置要求，本环评对照该文件进行相符性分析，具体分析结果见表</w:t>
      </w:r>
      <w:r>
        <w:rPr>
          <w:rFonts w:hint="eastAsia"/>
          <w:lang w:val="en-US" w:eastAsia="zh-CN"/>
        </w:rPr>
        <w:t>1.4.3-3</w:t>
      </w:r>
      <w:r>
        <w:rPr>
          <w:rFonts w:hint="eastAsia"/>
        </w:rPr>
        <w:t>所示。</w:t>
      </w:r>
    </w:p>
    <w:p>
      <w:pPr>
        <w:pStyle w:val="27"/>
        <w:bidi w:val="0"/>
      </w:pPr>
      <w:r>
        <w:t>表</w:t>
      </w:r>
      <w:r>
        <w:rPr>
          <w:rFonts w:hint="eastAsia"/>
          <w:lang w:eastAsia="zh-CN"/>
        </w:rPr>
        <w:t>1.4</w:t>
      </w:r>
      <w:r>
        <w:rPr>
          <w:rFonts w:hint="eastAsia"/>
          <w:lang w:val="en-US" w:eastAsia="zh-CN"/>
        </w:rPr>
        <w:t>.3</w:t>
      </w:r>
      <w:r>
        <w:t>-</w:t>
      </w:r>
      <w:r>
        <w:rPr>
          <w:rFonts w:hint="eastAsia"/>
          <w:lang w:val="en-US" w:eastAsia="zh-CN"/>
        </w:rPr>
        <w:t>3</w:t>
      </w:r>
      <w:r>
        <w:t>项目与当地资源消耗上限的符合性分析表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5444"/>
        <w:gridCol w:w="3433"/>
        <w:gridCol w:w="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0" w:type="auto"/>
            <w:tcBorders>
              <w:tl2br w:val="nil"/>
              <w:tr2bl w:val="nil"/>
            </w:tcBorders>
            <w:noWrap w:val="0"/>
            <w:vAlign w:val="center"/>
          </w:tcPr>
          <w:p>
            <w:pPr>
              <w:pStyle w:val="28"/>
              <w:suppressLineNumbers w:val="0"/>
              <w:bidi w:val="0"/>
              <w:spacing w:before="0" w:after="0"/>
              <w:ind w:left="0" w:right="0"/>
            </w:pPr>
            <w:r>
              <w:t>指标设置</w:t>
            </w:r>
          </w:p>
        </w:tc>
        <w:tc>
          <w:tcPr>
            <w:tcW w:w="0" w:type="auto"/>
            <w:tcBorders>
              <w:tl2br w:val="nil"/>
              <w:tr2bl w:val="nil"/>
            </w:tcBorders>
            <w:noWrap w:val="0"/>
            <w:vAlign w:val="center"/>
          </w:tcPr>
          <w:p>
            <w:pPr>
              <w:pStyle w:val="28"/>
              <w:suppressLineNumbers w:val="0"/>
              <w:bidi w:val="0"/>
              <w:spacing w:before="0" w:after="0"/>
              <w:ind w:left="0" w:right="0"/>
            </w:pPr>
            <w:r>
              <w:t>管控内涵</w:t>
            </w:r>
          </w:p>
        </w:tc>
        <w:tc>
          <w:tcPr>
            <w:tcW w:w="0" w:type="auto"/>
            <w:tcBorders>
              <w:tl2br w:val="nil"/>
              <w:tr2bl w:val="nil"/>
            </w:tcBorders>
            <w:noWrap w:val="0"/>
            <w:vAlign w:val="center"/>
          </w:tcPr>
          <w:p>
            <w:pPr>
              <w:pStyle w:val="28"/>
              <w:suppressLineNumbers w:val="0"/>
              <w:bidi w:val="0"/>
              <w:spacing w:before="0" w:after="0"/>
              <w:ind w:left="0" w:right="0"/>
            </w:pPr>
            <w:r>
              <w:t>项目情况</w:t>
            </w:r>
          </w:p>
        </w:tc>
        <w:tc>
          <w:tcPr>
            <w:tcW w:w="0" w:type="auto"/>
            <w:tcBorders>
              <w:tl2br w:val="nil"/>
              <w:tr2bl w:val="nil"/>
            </w:tcBorders>
            <w:noWrap w:val="0"/>
            <w:vAlign w:val="center"/>
          </w:tcPr>
          <w:p>
            <w:pPr>
              <w:pStyle w:val="28"/>
              <w:suppressLineNumbers w:val="0"/>
              <w:bidi w:val="0"/>
              <w:spacing w:before="0" w:after="0"/>
              <w:ind w:left="0" w:right="0"/>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tcBorders>
              <w:tl2br w:val="nil"/>
              <w:tr2bl w:val="nil"/>
            </w:tcBorders>
            <w:noWrap w:val="0"/>
            <w:vAlign w:val="center"/>
          </w:tcPr>
          <w:p>
            <w:pPr>
              <w:pStyle w:val="28"/>
              <w:suppressLineNumbers w:val="0"/>
              <w:bidi w:val="0"/>
              <w:spacing w:before="0" w:after="0"/>
              <w:ind w:left="0" w:right="0"/>
            </w:pPr>
            <w:r>
              <w:t>水资源总量红线</w:t>
            </w:r>
          </w:p>
        </w:tc>
        <w:tc>
          <w:tcPr>
            <w:tcW w:w="0" w:type="auto"/>
            <w:tcBorders>
              <w:tl2br w:val="nil"/>
              <w:tr2bl w:val="nil"/>
            </w:tcBorders>
            <w:noWrap w:val="0"/>
            <w:vAlign w:val="center"/>
          </w:tcPr>
          <w:p>
            <w:pPr>
              <w:pStyle w:val="28"/>
              <w:suppressLineNumbers w:val="0"/>
              <w:bidi w:val="0"/>
              <w:spacing w:before="0" w:after="0"/>
              <w:ind w:left="0" w:right="0"/>
            </w:pPr>
            <w:r>
              <w:t>以水资源配置、节约和保护为重点，强化生活、生产和生态用水需求和用水过程管理，严格控制用水总量，全面提高用水效率，加快节水型社会建设，促进水资源可持续利用和经济发展方式转变，推动经济社会发展与水资源载能力相协调。</w:t>
            </w:r>
          </w:p>
        </w:tc>
        <w:tc>
          <w:tcPr>
            <w:tcW w:w="0" w:type="auto"/>
            <w:tcBorders>
              <w:tl2br w:val="nil"/>
              <w:tr2bl w:val="nil"/>
            </w:tcBorders>
            <w:noWrap w:val="0"/>
            <w:vAlign w:val="center"/>
          </w:tcPr>
          <w:p>
            <w:pPr>
              <w:pStyle w:val="28"/>
              <w:suppressLineNumbers w:val="0"/>
              <w:bidi w:val="0"/>
              <w:spacing w:before="0" w:after="0"/>
              <w:ind w:left="0" w:right="0"/>
            </w:pPr>
            <w:r>
              <w:t>本项目</w:t>
            </w:r>
            <w:r>
              <w:rPr>
                <w:rFonts w:hint="eastAsia"/>
                <w:lang w:eastAsia="zh-CN"/>
              </w:rPr>
              <w:t>新鲜</w:t>
            </w:r>
            <w:r>
              <w:t>用水量约为</w:t>
            </w:r>
            <w:r>
              <w:rPr>
                <w:rFonts w:hint="eastAsia"/>
                <w:lang w:val="en-US" w:eastAsia="zh-CN"/>
              </w:rPr>
              <w:t>148533m</w:t>
            </w:r>
            <w:r>
              <w:rPr>
                <w:rFonts w:hint="eastAsia"/>
                <w:vertAlign w:val="superscript"/>
                <w:lang w:val="en-US" w:eastAsia="zh-CN"/>
              </w:rPr>
              <w:t>3</w:t>
            </w:r>
            <w:r>
              <w:t>/a，所用水量为</w:t>
            </w:r>
            <w:r>
              <w:rPr>
                <w:rFonts w:hint="eastAsia"/>
                <w:lang w:eastAsia="zh-CN"/>
              </w:rPr>
              <w:t>主要为冷却循环系统补充用水</w:t>
            </w:r>
          </w:p>
        </w:tc>
        <w:tc>
          <w:tcPr>
            <w:tcW w:w="0" w:type="auto"/>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pPr>
              <w:pStyle w:val="28"/>
              <w:suppressLineNumbers w:val="0"/>
              <w:bidi w:val="0"/>
              <w:spacing w:before="0" w:after="0"/>
              <w:ind w:left="0" w:right="0"/>
              <w:outlineLvl w:val="9"/>
            </w:pPr>
          </w:p>
        </w:tc>
        <w:tc>
          <w:tcPr>
            <w:tcW w:w="0" w:type="auto"/>
            <w:tcBorders>
              <w:tl2br w:val="nil"/>
              <w:tr2bl w:val="nil"/>
            </w:tcBorders>
            <w:noWrap w:val="0"/>
            <w:vAlign w:val="center"/>
          </w:tcPr>
          <w:p>
            <w:pPr>
              <w:pStyle w:val="28"/>
              <w:suppressLineNumbers w:val="0"/>
              <w:bidi w:val="0"/>
              <w:spacing w:before="0" w:after="0"/>
              <w:ind w:left="0" w:right="0"/>
            </w:pPr>
            <w:r>
              <w:t>严格设定地下水开采总量指标。</w:t>
            </w:r>
          </w:p>
        </w:tc>
        <w:tc>
          <w:tcPr>
            <w:tcW w:w="0" w:type="auto"/>
            <w:tcBorders>
              <w:tl2br w:val="nil"/>
              <w:tr2bl w:val="nil"/>
            </w:tcBorders>
            <w:noWrap w:val="0"/>
            <w:vAlign w:val="center"/>
          </w:tcPr>
          <w:p>
            <w:pPr>
              <w:pStyle w:val="28"/>
              <w:suppressLineNumbers w:val="0"/>
              <w:bidi w:val="0"/>
              <w:spacing w:before="0" w:after="0"/>
              <w:ind w:left="0" w:right="0"/>
            </w:pPr>
            <w:r>
              <w:t>本项目不开采地下水</w:t>
            </w:r>
          </w:p>
        </w:tc>
        <w:tc>
          <w:tcPr>
            <w:tcW w:w="0" w:type="auto"/>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pPr>
              <w:pStyle w:val="28"/>
              <w:suppressLineNumbers w:val="0"/>
              <w:bidi w:val="0"/>
              <w:spacing w:before="0" w:after="0"/>
              <w:ind w:left="0" w:right="0"/>
              <w:outlineLvl w:val="9"/>
            </w:pPr>
          </w:p>
        </w:tc>
        <w:tc>
          <w:tcPr>
            <w:tcW w:w="0" w:type="auto"/>
            <w:tcBorders>
              <w:tl2br w:val="nil"/>
              <w:tr2bl w:val="nil"/>
            </w:tcBorders>
            <w:noWrap w:val="0"/>
            <w:vAlign w:val="center"/>
          </w:tcPr>
          <w:p>
            <w:pPr>
              <w:pStyle w:val="28"/>
              <w:suppressLineNumbers w:val="0"/>
              <w:bidi w:val="0"/>
              <w:spacing w:before="0" w:after="0"/>
              <w:ind w:left="0" w:right="0"/>
            </w:pPr>
            <w:r>
              <w:t>2020年，全市用水总量控制在29.43亿立方米以内，万元工业增加值用水量控制在18立方米以内。</w:t>
            </w:r>
          </w:p>
        </w:tc>
        <w:tc>
          <w:tcPr>
            <w:tcW w:w="0" w:type="auto"/>
            <w:vMerge w:val="restar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本项目工业增加值为</w:t>
            </w:r>
            <w:r>
              <w:rPr>
                <w:rFonts w:hint="eastAsia"/>
                <w:lang w:val="en-US" w:eastAsia="zh-CN"/>
              </w:rPr>
              <w:t>60000万，</w:t>
            </w:r>
            <w:r>
              <w:t>本项目</w:t>
            </w:r>
            <w:r>
              <w:rPr>
                <w:rFonts w:hint="eastAsia"/>
                <w:lang w:eastAsia="zh-CN"/>
              </w:rPr>
              <w:t>新鲜</w:t>
            </w:r>
            <w:r>
              <w:t>用水量约为</w:t>
            </w:r>
            <w:r>
              <w:rPr>
                <w:rFonts w:hint="eastAsia"/>
                <w:lang w:val="en-US" w:eastAsia="zh-CN"/>
              </w:rPr>
              <w:t>148533m</w:t>
            </w:r>
            <w:r>
              <w:rPr>
                <w:rFonts w:hint="eastAsia"/>
                <w:vertAlign w:val="superscript"/>
                <w:lang w:val="en-US" w:eastAsia="zh-CN"/>
              </w:rPr>
              <w:t>3</w:t>
            </w:r>
            <w:r>
              <w:t>/a，</w:t>
            </w:r>
            <w:r>
              <w:rPr>
                <w:rFonts w:hint="eastAsia"/>
                <w:lang w:eastAsia="zh-CN"/>
              </w:rPr>
              <w:t>则万元工业增加值为</w:t>
            </w:r>
            <w:r>
              <w:rPr>
                <w:rFonts w:hint="eastAsia"/>
                <w:lang w:val="en-US" w:eastAsia="zh-CN"/>
              </w:rPr>
              <w:t>2.48m</w:t>
            </w:r>
            <w:r>
              <w:rPr>
                <w:rFonts w:hint="eastAsia"/>
                <w:vertAlign w:val="superscript"/>
                <w:lang w:val="en-US" w:eastAsia="zh-CN"/>
              </w:rPr>
              <w:t>3</w:t>
            </w:r>
          </w:p>
        </w:tc>
        <w:tc>
          <w:tcPr>
            <w:tcW w:w="0" w:type="auto"/>
            <w:vMerge w:val="restart"/>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Borders>
              <w:tl2br w:val="nil"/>
              <w:tr2bl w:val="nil"/>
            </w:tcBorders>
            <w:noWrap w:val="0"/>
            <w:vAlign w:val="center"/>
          </w:tcPr>
          <w:p>
            <w:pPr>
              <w:pStyle w:val="28"/>
              <w:suppressLineNumbers w:val="0"/>
              <w:bidi w:val="0"/>
              <w:spacing w:before="0" w:after="0"/>
              <w:ind w:left="0" w:right="0"/>
              <w:outlineLvl w:val="9"/>
            </w:pPr>
          </w:p>
        </w:tc>
        <w:tc>
          <w:tcPr>
            <w:tcW w:w="0" w:type="auto"/>
            <w:tcBorders>
              <w:tl2br w:val="nil"/>
              <w:tr2bl w:val="nil"/>
            </w:tcBorders>
            <w:noWrap w:val="0"/>
            <w:vAlign w:val="center"/>
          </w:tcPr>
          <w:p>
            <w:pPr>
              <w:pStyle w:val="28"/>
              <w:suppressLineNumbers w:val="0"/>
              <w:bidi w:val="0"/>
              <w:spacing w:before="0" w:after="0"/>
              <w:ind w:left="0" w:right="0"/>
            </w:pPr>
            <w:r>
              <w:t>2030年，全市用水总量控制在31.4亿立方米以内，万元工业增加值用水量控制在12立方米以内。</w:t>
            </w:r>
          </w:p>
        </w:tc>
        <w:tc>
          <w:tcPr>
            <w:tcW w:w="0" w:type="auto"/>
            <w:vMerge w:val="continue"/>
            <w:tcBorders>
              <w:tl2br w:val="nil"/>
              <w:tr2bl w:val="nil"/>
            </w:tcBorders>
            <w:noWrap w:val="0"/>
            <w:vAlign w:val="center"/>
          </w:tcPr>
          <w:p>
            <w:pPr>
              <w:pStyle w:val="28"/>
              <w:suppressLineNumbers w:val="0"/>
              <w:bidi w:val="0"/>
              <w:spacing w:before="0" w:after="0"/>
              <w:ind w:left="0" w:right="0"/>
              <w:outlineLvl w:val="9"/>
            </w:pPr>
          </w:p>
        </w:tc>
        <w:tc>
          <w:tcPr>
            <w:tcW w:w="0" w:type="auto"/>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r2bl w:val="nil"/>
            </w:tcBorders>
            <w:noWrap w:val="0"/>
            <w:vAlign w:val="center"/>
          </w:tcPr>
          <w:p>
            <w:pPr>
              <w:pStyle w:val="28"/>
              <w:suppressLineNumbers w:val="0"/>
              <w:bidi w:val="0"/>
              <w:spacing w:before="0" w:after="0"/>
              <w:ind w:left="0" w:right="0"/>
            </w:pPr>
            <w:r>
              <w:t>能源总量红线</w:t>
            </w:r>
          </w:p>
        </w:tc>
        <w:tc>
          <w:tcPr>
            <w:tcW w:w="0" w:type="auto"/>
            <w:tcBorders>
              <w:tl2br w:val="nil"/>
              <w:tr2bl w:val="nil"/>
            </w:tcBorders>
            <w:noWrap w:val="0"/>
            <w:vAlign w:val="center"/>
          </w:tcPr>
          <w:p>
            <w:pPr>
              <w:pStyle w:val="28"/>
              <w:suppressLineNumbers w:val="0"/>
              <w:bidi w:val="0"/>
              <w:spacing w:before="0" w:after="0"/>
              <w:ind w:left="0" w:right="0"/>
            </w:pPr>
            <w:r>
              <w:t>江苏省小康社会及基本现代化建设中，提出到2020年各地级市实现小康社会，单位GDP能耗控制在0.62吨标准煤/万元以下；到2030年实现基本现代化，单位GDP能耗和碳排放分别控制在0.5吨标准/万元和1.2吨/万元。考虑到连云港市经济发展现状情况，以及石化基地、精品钢基地及大港口的发展战略需求，综合能源消耗总量将在较长一段时间内，保持较高的增速，因此综合能源消耗总量增速控制3.5%-5%，2020年和2030年综合能源消耗总量控制在2100万吨标准煤和3200万吨标准煤。</w:t>
            </w:r>
          </w:p>
        </w:tc>
        <w:tc>
          <w:tcPr>
            <w:tcW w:w="0" w:type="auto"/>
            <w:tcBorders>
              <w:tl2br w:val="nil"/>
              <w:tr2bl w:val="nil"/>
            </w:tcBorders>
            <w:noWrap w:val="0"/>
            <w:vAlign w:val="center"/>
          </w:tcPr>
          <w:p>
            <w:pPr>
              <w:pStyle w:val="28"/>
              <w:suppressLineNumbers w:val="0"/>
              <w:bidi w:val="0"/>
              <w:spacing w:before="0" w:after="0"/>
              <w:ind w:left="0" w:right="0"/>
            </w:pPr>
            <w:r>
              <w:t>项目单位工业增加值综合能耗为</w:t>
            </w:r>
            <w:r>
              <w:rPr>
                <w:rFonts w:hint="eastAsia"/>
              </w:rPr>
              <w:t>19664.172</w:t>
            </w:r>
            <w:r>
              <w:t>吨标准煤（电耗、水耗等折算）</w:t>
            </w:r>
            <w:r>
              <w:rPr>
                <w:rFonts w:hint="eastAsia"/>
                <w:lang w:eastAsia="zh-CN"/>
              </w:rPr>
              <w:t>，</w:t>
            </w:r>
            <w:r>
              <w:t>工业增加值为60000万元，</w:t>
            </w:r>
          </w:p>
          <w:p>
            <w:pPr>
              <w:pStyle w:val="28"/>
              <w:suppressLineNumbers w:val="0"/>
              <w:bidi w:val="0"/>
              <w:spacing w:before="0" w:after="0"/>
              <w:ind w:left="0" w:right="0"/>
            </w:pPr>
            <w:r>
              <w:t>综合能耗=</w:t>
            </w:r>
            <w:r>
              <w:rPr>
                <w:rFonts w:hint="eastAsia"/>
              </w:rPr>
              <w:t>19664.172</w:t>
            </w:r>
            <w:r>
              <w:t>/60000=0.328吨标准煤/万元工业增加值（等价值）</w:t>
            </w:r>
          </w:p>
          <w:p>
            <w:pPr>
              <w:pStyle w:val="28"/>
              <w:suppressLineNumbers w:val="0"/>
              <w:bidi w:val="0"/>
              <w:spacing w:before="0" w:after="0"/>
              <w:ind w:left="0" w:right="0"/>
              <w:outlineLvl w:val="9"/>
            </w:pPr>
          </w:p>
        </w:tc>
        <w:tc>
          <w:tcPr>
            <w:tcW w:w="0" w:type="auto"/>
            <w:tcBorders>
              <w:tl2br w:val="nil"/>
              <w:tr2bl w:val="nil"/>
            </w:tcBorders>
            <w:noWrap w:val="0"/>
            <w:vAlign w:val="center"/>
          </w:tcPr>
          <w:p>
            <w:pPr>
              <w:pStyle w:val="28"/>
              <w:suppressLineNumbers w:val="0"/>
              <w:bidi w:val="0"/>
              <w:spacing w:before="0" w:after="0"/>
              <w:ind w:left="0" w:right="0"/>
            </w:pPr>
            <w:r>
              <w:t>符合</w:t>
            </w:r>
          </w:p>
        </w:tc>
      </w:tr>
    </w:tbl>
    <w:p>
      <w:pPr>
        <w:bidi w:val="0"/>
      </w:pPr>
      <w:r>
        <w:rPr>
          <w:rFonts w:hint="eastAsia"/>
        </w:rPr>
        <w:t>《市政府办公室关于印发连云港市资源利用上线管理办法（试行）的通知》（连政办发[2018]37号）中明确提出了“资源消耗上</w:t>
      </w:r>
      <w:r>
        <w:rPr>
          <w:rFonts w:hint="eastAsia"/>
          <w:lang w:eastAsia="zh-CN"/>
        </w:rPr>
        <w:t>线</w:t>
      </w:r>
      <w:r>
        <w:rPr>
          <w:rFonts w:hint="eastAsia"/>
        </w:rPr>
        <w:t>”管控内涵及指标设置要求，本环评对照该文件进行相符性分析</w:t>
      </w:r>
      <w:r>
        <w:t>具体分析结果见表</w:t>
      </w:r>
      <w:r>
        <w:rPr>
          <w:rFonts w:hint="eastAsia"/>
          <w:lang w:eastAsia="zh-CN"/>
        </w:rPr>
        <w:t>1.4</w:t>
      </w:r>
      <w:r>
        <w:rPr>
          <w:rFonts w:hint="eastAsia"/>
          <w:lang w:val="en-US" w:eastAsia="zh-CN"/>
        </w:rPr>
        <w:t>.3</w:t>
      </w:r>
      <w:r>
        <w:t>-</w:t>
      </w:r>
      <w:r>
        <w:rPr>
          <w:rFonts w:hint="eastAsia"/>
          <w:lang w:val="en-US" w:eastAsia="zh-CN"/>
        </w:rPr>
        <w:t>4</w:t>
      </w:r>
      <w:r>
        <w:t>所示。</w:t>
      </w:r>
    </w:p>
    <w:p>
      <w:pPr>
        <w:pStyle w:val="27"/>
        <w:bidi w:val="0"/>
      </w:pPr>
      <w:r>
        <w:t>表</w:t>
      </w:r>
      <w:r>
        <w:rPr>
          <w:rFonts w:hint="eastAsia"/>
          <w:lang w:eastAsia="zh-CN"/>
        </w:rPr>
        <w:t>1.4</w:t>
      </w:r>
      <w:r>
        <w:rPr>
          <w:rFonts w:hint="eastAsia"/>
          <w:lang w:val="en-US" w:eastAsia="zh-CN"/>
        </w:rPr>
        <w:t>.3</w:t>
      </w:r>
      <w:r>
        <w:t>-</w:t>
      </w:r>
      <w:r>
        <w:rPr>
          <w:rFonts w:hint="eastAsia"/>
          <w:lang w:val="en-US" w:eastAsia="zh-CN"/>
        </w:rPr>
        <w:t>4</w:t>
      </w:r>
      <w:r>
        <w:t>项目与当地资源消耗上</w:t>
      </w:r>
      <w:r>
        <w:rPr>
          <w:rFonts w:hint="eastAsia"/>
          <w:lang w:eastAsia="zh-CN"/>
        </w:rPr>
        <w:t>线</w:t>
      </w:r>
      <w:r>
        <w:t>的符合性分析表</w:t>
      </w:r>
    </w:p>
    <w:tbl>
      <w:tblPr>
        <w:tblStyle w:val="2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06"/>
        <w:gridCol w:w="5276"/>
        <w:gridCol w:w="3594"/>
        <w:gridCol w:w="4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04" w:type="pct"/>
            <w:tcBorders>
              <w:tl2br w:val="nil"/>
              <w:tr2bl w:val="nil"/>
            </w:tcBorders>
            <w:noWrap w:val="0"/>
            <w:vAlign w:val="center"/>
          </w:tcPr>
          <w:p>
            <w:pPr>
              <w:pStyle w:val="28"/>
              <w:suppressLineNumbers w:val="0"/>
              <w:bidi w:val="0"/>
              <w:spacing w:before="0" w:after="0"/>
              <w:ind w:left="0" w:right="0"/>
            </w:pPr>
            <w:r>
              <w:t>指标设置</w:t>
            </w:r>
          </w:p>
        </w:tc>
        <w:tc>
          <w:tcPr>
            <w:tcW w:w="2647" w:type="pct"/>
            <w:tcBorders>
              <w:tl2br w:val="nil"/>
              <w:tr2bl w:val="nil"/>
            </w:tcBorders>
            <w:noWrap w:val="0"/>
            <w:vAlign w:val="center"/>
          </w:tcPr>
          <w:p>
            <w:pPr>
              <w:pStyle w:val="28"/>
              <w:suppressLineNumbers w:val="0"/>
              <w:bidi w:val="0"/>
              <w:spacing w:before="0" w:after="0"/>
              <w:ind w:left="0" w:right="0"/>
            </w:pPr>
            <w:r>
              <w:t>管控内涵</w:t>
            </w:r>
          </w:p>
        </w:tc>
        <w:tc>
          <w:tcPr>
            <w:tcW w:w="1803" w:type="pct"/>
            <w:tcBorders>
              <w:tl2br w:val="nil"/>
              <w:tr2bl w:val="nil"/>
            </w:tcBorders>
            <w:noWrap w:val="0"/>
            <w:vAlign w:val="center"/>
          </w:tcPr>
          <w:p>
            <w:pPr>
              <w:pStyle w:val="28"/>
              <w:suppressLineNumbers w:val="0"/>
              <w:bidi w:val="0"/>
              <w:spacing w:before="0" w:after="0"/>
              <w:ind w:left="0" w:right="0"/>
            </w:pPr>
            <w:r>
              <w:t>项目情况</w:t>
            </w:r>
          </w:p>
        </w:tc>
        <w:tc>
          <w:tcPr>
            <w:tcW w:w="244" w:type="pct"/>
            <w:tcBorders>
              <w:tl2br w:val="nil"/>
              <w:tr2bl w:val="nil"/>
            </w:tcBorders>
            <w:noWrap w:val="0"/>
            <w:vAlign w:val="center"/>
          </w:tcPr>
          <w:p>
            <w:pPr>
              <w:pStyle w:val="28"/>
              <w:suppressLineNumbers w:val="0"/>
              <w:bidi w:val="0"/>
              <w:spacing w:before="0" w:after="0"/>
              <w:ind w:left="0" w:right="0"/>
            </w:pPr>
            <w: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04" w:type="pct"/>
            <w:tcBorders>
              <w:tl2br w:val="nil"/>
              <w:tr2bl w:val="nil"/>
            </w:tcBorders>
            <w:noWrap w:val="0"/>
            <w:vAlign w:val="center"/>
          </w:tcPr>
          <w:p>
            <w:pPr>
              <w:pStyle w:val="28"/>
              <w:suppressLineNumbers w:val="0"/>
              <w:bidi w:val="0"/>
              <w:spacing w:before="0" w:after="0"/>
              <w:ind w:left="0" w:right="0"/>
            </w:pPr>
            <w:r>
              <w:t>水资源总量红线</w:t>
            </w:r>
          </w:p>
        </w:tc>
        <w:tc>
          <w:tcPr>
            <w:tcW w:w="2647" w:type="pct"/>
            <w:tcBorders>
              <w:tl2br w:val="nil"/>
              <w:tr2bl w:val="nil"/>
            </w:tcBorders>
            <w:noWrap w:val="0"/>
            <w:vAlign w:val="center"/>
          </w:tcPr>
          <w:p>
            <w:pPr>
              <w:pStyle w:val="28"/>
              <w:suppressLineNumbers w:val="0"/>
              <w:bidi w:val="0"/>
              <w:spacing w:before="0" w:after="0"/>
              <w:ind w:left="0" w:right="0"/>
            </w:pPr>
            <w:r>
              <w:rPr>
                <w:rFonts w:hint="eastAsia"/>
              </w:rPr>
              <w:t>严格控制全市水资源利用总量，到2020 年，全市年用水总量控制在29.43亿立方米以内，其中地下水控制在2500万立方米以内；万元国内生产总值用水量、万元工业增加值用水量分别要比2015 年下降 28%和 23%；农田灌溉水有效利用系数提高至0.60 以上。工业、服务业和生活用水严格按照《江苏省工业、服务业和生活用水定额（2014年修订）》执行。到2030年，全市年用水总量控制在30.23亿立方米以内，提高河流生态流量保障力度。</w:t>
            </w:r>
          </w:p>
        </w:tc>
        <w:tc>
          <w:tcPr>
            <w:tcW w:w="1803" w:type="pct"/>
            <w:tcBorders>
              <w:tl2br w:val="nil"/>
              <w:tr2bl w:val="nil"/>
            </w:tcBorders>
            <w:noWrap w:val="0"/>
            <w:vAlign w:val="center"/>
          </w:tcPr>
          <w:p>
            <w:pPr>
              <w:pStyle w:val="28"/>
              <w:suppressLineNumbers w:val="0"/>
              <w:bidi w:val="0"/>
              <w:spacing w:before="0" w:after="0"/>
              <w:ind w:left="0" w:right="0"/>
            </w:pPr>
            <w:r>
              <w:t>本项目</w:t>
            </w:r>
            <w:r>
              <w:rPr>
                <w:rFonts w:hint="eastAsia"/>
                <w:lang w:eastAsia="zh-CN"/>
              </w:rPr>
              <w:t>新鲜</w:t>
            </w:r>
            <w:r>
              <w:t>用水量约为</w:t>
            </w:r>
            <w:r>
              <w:rPr>
                <w:rFonts w:hint="eastAsia"/>
                <w:lang w:val="en-US" w:eastAsia="zh-CN"/>
              </w:rPr>
              <w:t>148533m</w:t>
            </w:r>
            <w:r>
              <w:rPr>
                <w:rFonts w:hint="eastAsia"/>
                <w:vertAlign w:val="superscript"/>
                <w:lang w:val="en-US" w:eastAsia="zh-CN"/>
              </w:rPr>
              <w:t>3</w:t>
            </w:r>
            <w:r>
              <w:t>/a，所用水量为</w:t>
            </w:r>
            <w:r>
              <w:rPr>
                <w:rFonts w:hint="eastAsia"/>
                <w:lang w:eastAsia="zh-CN"/>
              </w:rPr>
              <w:t>主要为冷却循环系统补充用水</w:t>
            </w:r>
          </w:p>
        </w:tc>
        <w:tc>
          <w:tcPr>
            <w:tcW w:w="244" w:type="pct"/>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04"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土地资源消耗</w:t>
            </w:r>
          </w:p>
        </w:tc>
        <w:tc>
          <w:tcPr>
            <w:tcW w:w="2647"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国家级开发区、省级开发区和市区、其他工业集中区新建工业项目平均投资强度分别不低于350 万元/亩、280 万元/亩、220万元/亩，项目达产后亩均产值分别不低于 20万元/亩、400万元/亩、280万元/亩，亩均税收不低于3万元/亩、20万元/亩、15万元/亩。工业用地容积率不得低于1.0，特殊行业容积率不得低于0.8，化工行业用地容积率不得低于0.6，标准厂房用地容积率不得低于1.2，绿地率不得超过 15%，工业用地中企业内部行政办公用生活服务设施用地面积不得超过总用地面积的7%，建筑面积不得超过总建筑面积的15%</w:t>
            </w:r>
          </w:p>
        </w:tc>
        <w:tc>
          <w:tcPr>
            <w:tcW w:w="1803" w:type="pct"/>
            <w:tcBorders>
              <w:tl2br w:val="nil"/>
              <w:tr2bl w:val="nil"/>
            </w:tcBorders>
            <w:noWrap w:val="0"/>
            <w:vAlign w:val="center"/>
          </w:tcPr>
          <w:p>
            <w:pPr>
              <w:pStyle w:val="28"/>
              <w:suppressLineNumbers w:val="0"/>
              <w:bidi w:val="0"/>
              <w:spacing w:before="0" w:after="0"/>
              <w:ind w:left="0" w:right="0"/>
            </w:pPr>
            <w:r>
              <w:rPr>
                <w:rFonts w:hint="eastAsia"/>
              </w:rPr>
              <w:t>本项目用地不占用基本农田，</w:t>
            </w:r>
            <w:r>
              <w:rPr>
                <w:rFonts w:hint="eastAsia"/>
                <w:lang w:eastAsia="zh-CN"/>
              </w:rPr>
              <w:t>在规划工业用地内</w:t>
            </w:r>
            <w:r>
              <w:rPr>
                <w:rFonts w:hint="eastAsia"/>
              </w:rPr>
              <w:t>，不属于用地供需矛盾特别突出地区</w:t>
            </w:r>
          </w:p>
        </w:tc>
        <w:tc>
          <w:tcPr>
            <w:tcW w:w="244" w:type="pct"/>
            <w:tcBorders>
              <w:tl2br w:val="nil"/>
              <w:tr2bl w:val="nil"/>
            </w:tcBorders>
            <w:noWrap w:val="0"/>
            <w:vAlign w:val="center"/>
          </w:tcPr>
          <w:p>
            <w:pPr>
              <w:pStyle w:val="28"/>
              <w:suppressLineNumbers w:val="0"/>
              <w:bidi w:val="0"/>
              <w:spacing w:before="0" w:after="0"/>
              <w:ind w:left="0" w:right="0"/>
            </w:pPr>
            <w: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04" w:type="pct"/>
            <w:tcBorders>
              <w:tl2br w:val="nil"/>
              <w:tr2bl w:val="nil"/>
            </w:tcBorders>
            <w:noWrap w:val="0"/>
            <w:vAlign w:val="center"/>
          </w:tcPr>
          <w:p>
            <w:pPr>
              <w:pStyle w:val="28"/>
              <w:suppressLineNumbers w:val="0"/>
              <w:bidi w:val="0"/>
              <w:spacing w:before="0" w:after="0"/>
              <w:ind w:left="0" w:right="0"/>
            </w:pPr>
            <w:r>
              <w:rPr>
                <w:rFonts w:hint="eastAsia"/>
              </w:rPr>
              <w:t>能源消耗</w:t>
            </w:r>
          </w:p>
        </w:tc>
        <w:tc>
          <w:tcPr>
            <w:tcW w:w="2647" w:type="pct"/>
            <w:tcBorders>
              <w:tl2br w:val="nil"/>
              <w:tr2bl w:val="nil"/>
            </w:tcBorders>
            <w:noWrap w:val="0"/>
            <w:vAlign w:val="center"/>
          </w:tcPr>
          <w:p>
            <w:pPr>
              <w:pStyle w:val="28"/>
              <w:suppressLineNumbers w:val="0"/>
              <w:bidi w:val="0"/>
              <w:spacing w:before="0" w:after="0"/>
              <w:ind w:left="0" w:right="0"/>
            </w:pPr>
            <w:r>
              <w:rPr>
                <w:rFonts w:hint="eastAsia"/>
              </w:rPr>
              <w:t>加强对全市能源消耗总量和强度“双控”管理，提高清洁能源使用比例。到2020年，全市能源消费总量增量目标控制在161万吨标煤以内，全市煤炭消费量减少77万吨，电力行业煤炭消费占煤炭消费总量比重提高到 65%以上。各行业现有企业能耗严格按照相应行业国家(或省级)标准中对应的单位产品能源消耗限额执行，新建企业能耗严格按照相应行业国家（或省级）标准中对应的单位产品能源消耗准入值执行。</w:t>
            </w:r>
          </w:p>
        </w:tc>
        <w:tc>
          <w:tcPr>
            <w:tcW w:w="1803" w:type="pct"/>
            <w:tcBorders>
              <w:tl2br w:val="nil"/>
              <w:tr2bl w:val="nil"/>
            </w:tcBorders>
            <w:noWrap w:val="0"/>
            <w:vAlign w:val="center"/>
          </w:tcPr>
          <w:p>
            <w:pPr>
              <w:pStyle w:val="28"/>
              <w:suppressLineNumbers w:val="0"/>
              <w:bidi w:val="0"/>
              <w:spacing w:before="0" w:after="0"/>
              <w:ind w:left="0" w:right="0"/>
            </w:pPr>
            <w:r>
              <w:t>本项目主要使用能源主要为电能，不使用煤炭，因此不涉及煤炭消费减量控制等指标要求。项目单位工业增加值综合能耗为</w:t>
            </w:r>
            <w:r>
              <w:rPr>
                <w:rFonts w:hint="eastAsia"/>
              </w:rPr>
              <w:t>19664.172</w:t>
            </w:r>
            <w:r>
              <w:t>吨标准煤（电耗、水耗等折算）</w:t>
            </w:r>
          </w:p>
        </w:tc>
        <w:tc>
          <w:tcPr>
            <w:tcW w:w="244" w:type="pct"/>
            <w:tcBorders>
              <w:tl2br w:val="nil"/>
              <w:tr2bl w:val="nil"/>
            </w:tcBorders>
            <w:noWrap w:val="0"/>
            <w:vAlign w:val="center"/>
          </w:tcPr>
          <w:p>
            <w:pPr>
              <w:pStyle w:val="28"/>
              <w:suppressLineNumbers w:val="0"/>
              <w:bidi w:val="0"/>
              <w:spacing w:before="0" w:after="0"/>
              <w:ind w:left="0" w:right="0"/>
            </w:pPr>
            <w:r>
              <w:t>符合</w:t>
            </w:r>
          </w:p>
        </w:tc>
      </w:tr>
    </w:tbl>
    <w:p>
      <w:pPr>
        <w:bidi w:val="0"/>
        <w:rPr>
          <w:rFonts w:hint="eastAsia"/>
        </w:rPr>
      </w:pPr>
      <w:r>
        <w:rPr>
          <w:rFonts w:hint="eastAsia"/>
        </w:rPr>
        <w:t>根据上表分析，本项目与当地资源消耗上</w:t>
      </w:r>
      <w:r>
        <w:rPr>
          <w:rFonts w:hint="eastAsia"/>
          <w:lang w:eastAsia="zh-CN"/>
        </w:rPr>
        <w:t>线</w:t>
      </w:r>
      <w:r>
        <w:rPr>
          <w:rFonts w:hint="eastAsia"/>
        </w:rPr>
        <w:t>要求相符。</w:t>
      </w:r>
    </w:p>
    <w:p>
      <w:pPr>
        <w:bidi w:val="0"/>
      </w:pPr>
      <w:r>
        <w:rPr>
          <w:rFonts w:hint="eastAsia"/>
          <w:lang w:eastAsia="zh-CN"/>
        </w:rPr>
        <w:t>（</w:t>
      </w:r>
      <w:r>
        <w:rPr>
          <w:rFonts w:hint="eastAsia"/>
          <w:lang w:val="en-US" w:eastAsia="zh-CN"/>
        </w:rPr>
        <w:t>4）</w:t>
      </w:r>
      <w:r>
        <w:t>负面清单</w:t>
      </w:r>
    </w:p>
    <w:p>
      <w:pPr>
        <w:bidi w:val="0"/>
        <w:rPr>
          <w:rFonts w:hint="eastAsia" w:eastAsia="宋体"/>
          <w:lang w:val="en-US" w:eastAsia="zh-CN"/>
        </w:rPr>
      </w:pPr>
      <w:r>
        <w:t>根据《市政府办公室关于印发连云港市基于空间控制单元的环境准入制度及负面清单管理办法（试行）的通知》（连政办发[2018]9号），本环评对照两文件进行相符性分析，具体分析结果见表</w:t>
      </w:r>
      <w:r>
        <w:rPr>
          <w:rFonts w:hint="eastAsia"/>
          <w:lang w:eastAsia="zh-CN"/>
        </w:rPr>
        <w:t>1.4</w:t>
      </w:r>
      <w:r>
        <w:rPr>
          <w:rFonts w:hint="eastAsia"/>
          <w:lang w:val="en-US" w:eastAsia="zh-CN"/>
        </w:rPr>
        <w:t>.3</w:t>
      </w:r>
      <w:r>
        <w:t>-</w:t>
      </w:r>
      <w:r>
        <w:rPr>
          <w:rFonts w:hint="eastAsia"/>
          <w:lang w:val="en-US" w:eastAsia="zh-CN"/>
        </w:rPr>
        <w:t>5</w:t>
      </w:r>
      <w:r>
        <w:t>所</w:t>
      </w:r>
      <w:r>
        <w:rPr>
          <w:rFonts w:hint="eastAsia"/>
          <w:lang w:eastAsia="zh-CN"/>
        </w:rPr>
        <w:t>。</w:t>
      </w:r>
    </w:p>
    <w:p>
      <w:pPr>
        <w:pStyle w:val="27"/>
        <w:bidi w:val="0"/>
      </w:pPr>
      <w:r>
        <w:t>表</w:t>
      </w:r>
      <w:r>
        <w:rPr>
          <w:rFonts w:hint="eastAsia"/>
          <w:lang w:eastAsia="zh-CN"/>
        </w:rPr>
        <w:t>1.4</w:t>
      </w:r>
      <w:r>
        <w:rPr>
          <w:rFonts w:hint="eastAsia"/>
          <w:lang w:val="en-US" w:eastAsia="zh-CN"/>
        </w:rPr>
        <w:t>.3</w:t>
      </w:r>
      <w:r>
        <w:t>-</w:t>
      </w:r>
      <w:r>
        <w:rPr>
          <w:rFonts w:hint="eastAsia"/>
          <w:lang w:val="en-US" w:eastAsia="zh-CN"/>
        </w:rPr>
        <w:t>5</w:t>
      </w:r>
      <w:r>
        <w:t>与当地环境准入负面清单的符合性分析表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5433"/>
        <w:gridCol w:w="218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20" w:type="dxa"/>
            <w:tcBorders>
              <w:tl2br w:val="nil"/>
              <w:tr2bl w:val="nil"/>
            </w:tcBorders>
            <w:noWrap w:val="0"/>
            <w:vAlign w:val="center"/>
          </w:tcPr>
          <w:p>
            <w:pPr>
              <w:pStyle w:val="28"/>
              <w:suppressLineNumbers w:val="0"/>
              <w:bidi w:val="0"/>
              <w:spacing w:before="0" w:after="0"/>
              <w:ind w:left="0" w:right="0"/>
              <w:jc w:val="center"/>
            </w:pPr>
            <w:r>
              <w:t>指标设置</w:t>
            </w:r>
          </w:p>
        </w:tc>
        <w:tc>
          <w:tcPr>
            <w:tcW w:w="5433" w:type="dxa"/>
            <w:tcBorders>
              <w:tl2br w:val="nil"/>
              <w:tr2bl w:val="nil"/>
            </w:tcBorders>
            <w:noWrap w:val="0"/>
            <w:vAlign w:val="center"/>
          </w:tcPr>
          <w:p>
            <w:pPr>
              <w:pStyle w:val="28"/>
              <w:suppressLineNumbers w:val="0"/>
              <w:bidi w:val="0"/>
              <w:spacing w:before="0" w:after="0"/>
              <w:ind w:left="0" w:right="0"/>
              <w:jc w:val="center"/>
            </w:pPr>
            <w:r>
              <w:t>管控内涵</w:t>
            </w:r>
          </w:p>
        </w:tc>
        <w:tc>
          <w:tcPr>
            <w:tcW w:w="2184" w:type="dxa"/>
            <w:tcBorders>
              <w:tl2br w:val="nil"/>
              <w:tr2bl w:val="nil"/>
            </w:tcBorders>
            <w:noWrap w:val="0"/>
            <w:vAlign w:val="center"/>
          </w:tcPr>
          <w:p>
            <w:pPr>
              <w:pStyle w:val="28"/>
              <w:suppressLineNumbers w:val="0"/>
              <w:bidi w:val="0"/>
              <w:spacing w:before="0" w:after="0"/>
              <w:ind w:left="0" w:right="0"/>
              <w:jc w:val="center"/>
            </w:pPr>
            <w:r>
              <w:t>项目情况</w:t>
            </w:r>
          </w:p>
        </w:tc>
        <w:tc>
          <w:tcPr>
            <w:tcW w:w="709" w:type="dxa"/>
            <w:tcBorders>
              <w:tl2br w:val="nil"/>
              <w:tr2bl w:val="nil"/>
            </w:tcBorders>
            <w:noWrap w:val="0"/>
            <w:vAlign w:val="center"/>
          </w:tcPr>
          <w:p>
            <w:pPr>
              <w:pStyle w:val="28"/>
              <w:suppressLineNumbers w:val="0"/>
              <w:bidi w:val="0"/>
              <w:spacing w:before="0" w:after="0"/>
              <w:ind w:left="0" w:right="0"/>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restart"/>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1、环境准入要求</w:t>
            </w:r>
          </w:p>
        </w:tc>
        <w:tc>
          <w:tcPr>
            <w:tcW w:w="5433" w:type="dxa"/>
            <w:tcBorders>
              <w:tl2br w:val="nil"/>
              <w:tr2bl w:val="nil"/>
            </w:tcBorders>
            <w:noWrap w:val="0"/>
            <w:vAlign w:val="center"/>
          </w:tcPr>
          <w:p>
            <w:pPr>
              <w:pStyle w:val="28"/>
              <w:suppressLineNumbers w:val="0"/>
              <w:bidi w:val="0"/>
              <w:spacing w:before="0" w:after="0"/>
              <w:ind w:left="0" w:right="0"/>
              <w:jc w:val="center"/>
            </w:pPr>
            <w:r>
              <w:rPr>
                <w:rFonts w:hint="eastAsia"/>
              </w:rPr>
              <w:t>建设项目选址应符合主体功能区划、产业发展规划、城市总体规划、土地利用规划、环境保护规划、生态保护红线等要求。新建有污染物排放的工业项目应按规划进入符合产业定位的工业园区或工业集中区。</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本项目选址与相关规划以及生态保护红线相符</w:t>
            </w:r>
          </w:p>
        </w:tc>
        <w:tc>
          <w:tcPr>
            <w:tcW w:w="709"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依据空间管制红线，实行分级分类管控。禁止开发区域内，禁止一切形式的建设活动。风景名胜区、森林公园、重要湿地、饮用水源保护区、生态公益林、水源涵养区、洪水调蓄区、清水通道维护区、海洋保护区内实行有限准入的原则，严格限制有损主导生态功能的建设活动。</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本项目所在位置不属于禁止开发区域，也不属于有限准入区域，本项目的建设不损坏主导生态功能</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实施严格的流域准入控制。水环境综合整治区在无法做到增产不增污的情况下，禁止新（扩）建造纸、焦化、氮肥、有色金属、印染、农副食品加工、原料药制造、制革、农药、电镀等水污染重的项目，禁止建设排放含汞、砷、镉、铬、铅等重金属污染物以及持久性有机污染物的工业项目</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本项目所在区域不属于水环境综合整治区</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严控大气污染项目，落实禁燃区要求。大气环境质量红线区禁止新（扩）建大气污染严重的火电、冶炼、水泥项目以及燃煤锅炉。禁燃区禁止销售、使用一切高污染燃料项目。</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本项目所在地不属于禁燃区，也不属于大气环境质量红线区。</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人居安全保障区禁止新（扩）建存在重大环境安全隐患的工业项目</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本项目选址不属于人居安全保障</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严格管控钢铁、石化、化工、火电等重点产业布局。钢铁重点布局在赣榆临港产业区，石化重点布局在徐圩新区，化工项目按不同园区的产业定位，布局在具有其产业定位的园区内，严格执行《市政府关于印发连云港市深入推进化工行业转型发展实施细则的通知》（连政办发〔2017〕7号）和《关于印发连云港市化工产业建设项目环境准入管控要求和负面清单的通知》（连环发〔2017〕134号）。重点建设徐圩IGCC和赣榆天然气热电联产电厂，其他地区原则上不再新建燃煤电厂</w:t>
            </w:r>
          </w:p>
        </w:tc>
        <w:tc>
          <w:tcPr>
            <w:tcW w:w="2184" w:type="dxa"/>
            <w:tcBorders>
              <w:tl2br w:val="nil"/>
              <w:tr2bl w:val="nil"/>
            </w:tcBorders>
            <w:noWrap w:val="0"/>
            <w:vAlign w:val="center"/>
          </w:tcPr>
          <w:p>
            <w:pPr>
              <w:pStyle w:val="28"/>
              <w:suppressLineNumbers w:val="0"/>
              <w:bidi w:val="0"/>
              <w:spacing w:before="0" w:after="0"/>
              <w:ind w:left="0" w:right="0"/>
              <w:jc w:val="center"/>
              <w:rPr>
                <w:lang w:val="en-US" w:eastAsia="zh-CN"/>
              </w:rPr>
            </w:pPr>
            <w:r>
              <w:rPr>
                <w:rFonts w:hint="eastAsia"/>
                <w:lang w:val="en-US" w:eastAsia="zh-CN"/>
              </w:rPr>
              <w:t>本项目属于</w:t>
            </w:r>
            <w:r>
              <w:rPr>
                <w:lang w:val="en-US" w:eastAsia="zh-CN"/>
              </w:rPr>
              <w:t>C3091石墨及其他非金属矿物制品制造</w:t>
            </w:r>
            <w:r>
              <w:rPr>
                <w:rFonts w:hint="eastAsia"/>
                <w:lang w:val="en-US" w:eastAsia="zh-CN"/>
              </w:rPr>
              <w:t>、</w:t>
            </w:r>
            <w:r>
              <w:rPr>
                <w:lang w:val="en-US" w:eastAsia="zh-CN"/>
              </w:rPr>
              <w:t>石墨及碳素制品制造</w:t>
            </w:r>
          </w:p>
          <w:p>
            <w:pPr>
              <w:pStyle w:val="28"/>
              <w:suppressLineNumbers w:val="0"/>
              <w:bidi w:val="0"/>
              <w:spacing w:before="0" w:after="0"/>
              <w:ind w:left="0" w:right="0"/>
              <w:jc w:val="center"/>
              <w:outlineLvl w:val="9"/>
            </w:pPr>
          </w:p>
          <w:p>
            <w:pPr>
              <w:pStyle w:val="28"/>
              <w:suppressLineNumbers w:val="0"/>
              <w:bidi w:val="0"/>
              <w:spacing w:before="0" w:after="0"/>
              <w:ind w:left="0" w:right="0"/>
              <w:jc w:val="center"/>
              <w:outlineLvl w:val="9"/>
              <w:rPr>
                <w:rFonts w:hint="eastAsia"/>
              </w:rPr>
            </w:pP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工业项目应符合产业政策，不得采用国家、省和本市淘汰的或禁止使用的工艺、技术和设备，不得建设生产工艺或污染防治技术不成熟的项目；限制列入环境保护综合名录（2015年版）的高污染、高环境风险产品的生产</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本项目符合国家和地方产业政策</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工业项目排放污染物必须达到国家和地方规定的污染物排放标准，新建企业生产技术和工艺、水耗、能耗、物耗、产排污情况及环境管理等方面应达到国内先进水平（有清洁生产标准的不得低于国内清洁生产先进水平，有国家效率指南的执行国家先进/标杆水平），扩建、改建的工业项目清洁生产水平不得低于国家清洁生产先进水平。</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本项目排放污染物达到国家和地方规定的污染物排放标准</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20" w:type="dxa"/>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5433" w:type="dxa"/>
            <w:tcBorders>
              <w:tl2br w:val="nil"/>
              <w:tr2bl w:val="nil"/>
            </w:tcBorders>
            <w:noWrap w:val="0"/>
            <w:vAlign w:val="center"/>
          </w:tcPr>
          <w:p>
            <w:pPr>
              <w:pStyle w:val="28"/>
              <w:suppressLineNumbers w:val="0"/>
              <w:bidi w:val="0"/>
              <w:spacing w:before="0" w:after="0"/>
              <w:ind w:left="0" w:right="0"/>
              <w:jc w:val="center"/>
            </w:pPr>
            <w:r>
              <w:t>工业项目选址区域应有相应的环境容量，未按要求完成污染物总量削减任务的区域和流域，不得建设新增相应污染物排放量的工业项目</w:t>
            </w:r>
          </w:p>
        </w:tc>
        <w:tc>
          <w:tcPr>
            <w:tcW w:w="2184" w:type="dxa"/>
            <w:tcBorders>
              <w:tl2br w:val="nil"/>
              <w:tr2bl w:val="nil"/>
            </w:tcBorders>
            <w:noWrap w:val="0"/>
            <w:vAlign w:val="center"/>
          </w:tcPr>
          <w:p>
            <w:pPr>
              <w:pStyle w:val="28"/>
              <w:suppressLineNumbers w:val="0"/>
              <w:bidi w:val="0"/>
              <w:spacing w:before="0" w:after="0"/>
              <w:ind w:left="0" w:right="0"/>
              <w:jc w:val="center"/>
              <w:rPr>
                <w:rFonts w:hint="eastAsia"/>
              </w:rPr>
            </w:pPr>
            <w:r>
              <w:rPr>
                <w:rFonts w:hint="eastAsia"/>
              </w:rPr>
              <w:t>本项目选址区域有相应的环境容量</w:t>
            </w:r>
          </w:p>
        </w:tc>
        <w:tc>
          <w:tcPr>
            <w:tcW w:w="709" w:type="dxa"/>
            <w:tcBorders>
              <w:tl2br w:val="nil"/>
              <w:tr2bl w:val="nil"/>
            </w:tcBorders>
            <w:noWrap w:val="0"/>
            <w:vAlign w:val="center"/>
          </w:tcPr>
          <w:p>
            <w:pPr>
              <w:pStyle w:val="28"/>
              <w:suppressLineNumbers w:val="0"/>
              <w:bidi w:val="0"/>
              <w:spacing w:before="0" w:after="0"/>
              <w:ind w:left="0" w:right="0"/>
              <w:jc w:val="center"/>
            </w:pPr>
            <w:r>
              <w:rPr>
                <w:rFonts w:hint="eastAsia"/>
              </w:rPr>
              <w:t>符合</w:t>
            </w:r>
          </w:p>
        </w:tc>
      </w:tr>
    </w:tbl>
    <w:p>
      <w:pPr>
        <w:bidi w:val="0"/>
        <w:rPr>
          <w:rFonts w:hint="eastAsia"/>
        </w:rPr>
      </w:pPr>
      <w:r>
        <w:rPr>
          <w:rFonts w:hint="eastAsia"/>
        </w:rPr>
        <w:t>本项目属于</w:t>
      </w:r>
      <w:r>
        <w:rPr>
          <w:lang w:val="en-US" w:eastAsia="zh-CN"/>
        </w:rPr>
        <w:t>C3091石墨及其他非金属矿物制品制造</w:t>
      </w:r>
      <w:r>
        <w:rPr>
          <w:rFonts w:hint="eastAsia"/>
          <w:lang w:val="en-US" w:eastAsia="zh-CN"/>
        </w:rPr>
        <w:t>、</w:t>
      </w:r>
      <w:r>
        <w:rPr>
          <w:lang w:val="en-US" w:eastAsia="zh-CN"/>
        </w:rPr>
        <w:t>石墨及碳素制品制造</w:t>
      </w:r>
      <w:r>
        <w:rPr>
          <w:rFonts w:hint="eastAsia"/>
          <w:lang w:val="en-US" w:eastAsia="zh-CN"/>
        </w:rPr>
        <w:t>项目</w:t>
      </w:r>
      <w:r>
        <w:rPr>
          <w:rFonts w:hint="eastAsia"/>
        </w:rPr>
        <w:t>，不属于《连云港市化工产业建设项目环境准入管控要求（2018 年本）》、《连云港市基于空间控制单元的环境准入制度及负面清单管理办法（试行）》（连政办发[2018]9号）规定行业之类。</w:t>
      </w:r>
    </w:p>
    <w:p>
      <w:pPr>
        <w:bidi w:val="0"/>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numPr>
          <w:ilvl w:val="1"/>
          <w:numId w:val="1"/>
        </w:numPr>
        <w:bidi w:val="0"/>
      </w:pPr>
      <w:bookmarkStart w:id="5" w:name="_Toc5761"/>
      <w:r>
        <w:rPr>
          <w:rFonts w:hint="eastAsia"/>
          <w:lang w:val="en-US" w:eastAsia="zh-CN"/>
        </w:rPr>
        <w:t>关注的主要环境问题及影响</w:t>
      </w:r>
      <w:bookmarkEnd w:id="5"/>
      <w:r>
        <w:rPr>
          <w:rFonts w:hint="eastAsia"/>
          <w:lang w:val="en-US" w:eastAsia="zh-CN"/>
        </w:rPr>
        <w:t xml:space="preserve"> </w:t>
      </w:r>
    </w:p>
    <w:p>
      <w:pPr>
        <w:bidi w:val="0"/>
        <w:rPr>
          <w:rFonts w:hint="eastAsia"/>
          <w:lang w:eastAsia="zh-CN"/>
        </w:rPr>
      </w:pPr>
      <w:r>
        <w:rPr>
          <w:rFonts w:hint="default"/>
        </w:rPr>
        <w:fldChar w:fldCharType="begin"/>
      </w:r>
      <w:r>
        <w:rPr>
          <w:rFonts w:hint="default"/>
        </w:rPr>
        <w:instrText xml:space="preserve"> = 1 \* GB2 \* MERGEFORMAT </w:instrText>
      </w:r>
      <w:r>
        <w:rPr>
          <w:rFonts w:hint="default"/>
        </w:rPr>
        <w:fldChar w:fldCharType="separate"/>
      </w:r>
      <w:r>
        <w:t>⑴</w:t>
      </w:r>
      <w:r>
        <w:rPr>
          <w:rFonts w:hint="default"/>
        </w:rPr>
        <w:fldChar w:fldCharType="end"/>
      </w:r>
      <w:r>
        <w:rPr>
          <w:rFonts w:hint="default"/>
        </w:rPr>
        <w:t>区域大气、水环境质量现状，区域基础设施建设情况</w:t>
      </w:r>
      <w:r>
        <w:rPr>
          <w:rFonts w:hint="eastAsia"/>
          <w:lang w:eastAsia="zh-CN"/>
        </w:rPr>
        <w:t>；</w:t>
      </w:r>
    </w:p>
    <w:p>
      <w:pPr>
        <w:bidi w:val="0"/>
        <w:rPr>
          <w:rFonts w:hint="eastAsia" w:ascii="宋体" w:hAnsi="宋体"/>
          <w:color w:val="000000"/>
          <w:lang w:eastAsia="zh-CN"/>
        </w:rPr>
      </w:pPr>
      <w:r>
        <w:rPr>
          <w:rFonts w:hint="eastAsia"/>
          <w:lang w:eastAsia="zh-CN"/>
        </w:rPr>
        <w:fldChar w:fldCharType="begin"/>
      </w:r>
      <w:r>
        <w:rPr>
          <w:rFonts w:hint="eastAsia"/>
          <w:lang w:eastAsia="zh-CN"/>
        </w:rPr>
        <w:instrText xml:space="preserve"> = 2 \* GB2 \* MERGEFORMAT </w:instrText>
      </w:r>
      <w:r>
        <w:rPr>
          <w:rFonts w:hint="eastAsia"/>
          <w:lang w:eastAsia="zh-CN"/>
        </w:rPr>
        <w:fldChar w:fldCharType="separate"/>
      </w:r>
      <w:r>
        <w:t>⑵</w:t>
      </w:r>
      <w:r>
        <w:rPr>
          <w:rFonts w:hint="eastAsia"/>
          <w:lang w:eastAsia="zh-CN"/>
        </w:rPr>
        <w:fldChar w:fldCharType="end"/>
      </w:r>
      <w:r>
        <w:rPr>
          <w:rFonts w:hint="eastAsia"/>
          <w:lang w:val="en-US" w:eastAsia="zh-CN"/>
        </w:rPr>
        <w:t>运营期大气污染防治措施的有效性及达标排放分析，主要包括电煅炉电煅过程中产生的烟尘、</w:t>
      </w:r>
      <w:r>
        <w:rPr>
          <w:rFonts w:hint="default"/>
          <w:lang w:val="en-US" w:eastAsia="zh-CN"/>
        </w:rPr>
        <w:t>SO</w:t>
      </w:r>
      <w:r>
        <w:rPr>
          <w:rFonts w:hint="default"/>
          <w:vertAlign w:val="subscript"/>
          <w:lang w:val="en-US" w:eastAsia="zh-CN"/>
        </w:rPr>
        <w:t>2</w:t>
      </w:r>
      <w:r>
        <w:rPr>
          <w:rFonts w:hint="eastAsia"/>
          <w:lang w:val="en-US" w:eastAsia="zh-CN"/>
        </w:rPr>
        <w:t>、</w:t>
      </w:r>
      <w:r>
        <w:rPr>
          <w:rFonts w:hint="default"/>
          <w:lang w:val="en-US" w:eastAsia="zh-CN"/>
        </w:rPr>
        <w:t>NOx</w:t>
      </w:r>
      <w:r>
        <w:rPr>
          <w:rFonts w:hint="eastAsia"/>
          <w:lang w:val="en-US" w:eastAsia="zh-CN"/>
        </w:rPr>
        <w:t>的所采取的环保措施有效性、达标排放分析及对周边大气环境的影响；</w:t>
      </w:r>
    </w:p>
    <w:p>
      <w:pPr>
        <w:bidi w:val="0"/>
        <w:rPr>
          <w:rFonts w:hint="eastAsia"/>
          <w:lang w:eastAsia="zh-CN"/>
        </w:rPr>
      </w:pPr>
      <w:r>
        <w:rPr>
          <w:rFonts w:hint="default"/>
        </w:rPr>
        <w:fldChar w:fldCharType="begin"/>
      </w:r>
      <w:r>
        <w:rPr>
          <w:rFonts w:hint="default"/>
        </w:rPr>
        <w:instrText xml:space="preserve"> = 3 \* GB2 \* MERGEFORMAT </w:instrText>
      </w:r>
      <w:r>
        <w:rPr>
          <w:rFonts w:hint="default"/>
        </w:rPr>
        <w:fldChar w:fldCharType="separate"/>
      </w:r>
      <w:r>
        <w:t>⑶</w:t>
      </w:r>
      <w:r>
        <w:rPr>
          <w:rFonts w:hint="default"/>
        </w:rPr>
        <w:fldChar w:fldCharType="end"/>
      </w:r>
      <w:r>
        <w:rPr>
          <w:rFonts w:hint="default"/>
        </w:rPr>
        <w:t>运营期间废水预处理措施</w:t>
      </w:r>
      <w:r>
        <w:rPr>
          <w:rFonts w:hint="eastAsia"/>
          <w:lang w:eastAsia="zh-CN"/>
        </w:rPr>
        <w:t>，废水进青湖镇联村生活污水处理厂处理的接管可行性分析；</w:t>
      </w:r>
    </w:p>
    <w:p>
      <w:pPr>
        <w:bidi w:val="0"/>
        <w:rPr>
          <w:rFonts w:hint="eastAsia"/>
          <w:lang w:eastAsia="zh-CN"/>
        </w:rPr>
      </w:pPr>
      <w:r>
        <w:rPr>
          <w:rFonts w:hint="eastAsia"/>
          <w:lang w:eastAsia="zh-CN"/>
        </w:rPr>
        <w:fldChar w:fldCharType="begin"/>
      </w:r>
      <w:r>
        <w:rPr>
          <w:rFonts w:hint="eastAsia"/>
          <w:lang w:eastAsia="zh-CN"/>
        </w:rPr>
        <w:instrText xml:space="preserve"> = 4 \* GB2 \* MERGEFORMAT </w:instrText>
      </w:r>
      <w:r>
        <w:rPr>
          <w:rFonts w:hint="eastAsia"/>
          <w:lang w:eastAsia="zh-CN"/>
        </w:rPr>
        <w:fldChar w:fldCharType="separate"/>
      </w:r>
      <w:r>
        <w:t>⑷</w:t>
      </w:r>
      <w:r>
        <w:rPr>
          <w:rFonts w:hint="eastAsia"/>
          <w:lang w:eastAsia="zh-CN"/>
        </w:rPr>
        <w:fldChar w:fldCharType="end"/>
      </w:r>
      <w:r>
        <w:rPr>
          <w:rFonts w:hint="eastAsia"/>
          <w:lang w:val="en-US" w:eastAsia="zh-CN"/>
        </w:rPr>
        <w:t>噪声污染防治措施的有效性及达标排放分析；</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5 \* GB2 \* MERGEFORMAT </w:instrText>
      </w:r>
      <w:r>
        <w:rPr>
          <w:rFonts w:hint="eastAsia"/>
          <w:lang w:val="en-US" w:eastAsia="zh-CN"/>
        </w:rPr>
        <w:fldChar w:fldCharType="separate"/>
      </w:r>
      <w:r>
        <w:t>⑸</w:t>
      </w:r>
      <w:r>
        <w:rPr>
          <w:rFonts w:hint="eastAsia"/>
          <w:lang w:val="en-US" w:eastAsia="zh-CN"/>
        </w:rPr>
        <w:fldChar w:fldCharType="end"/>
      </w:r>
      <w:r>
        <w:rPr>
          <w:rFonts w:hint="eastAsia"/>
          <w:lang w:val="en-US" w:eastAsia="zh-CN"/>
        </w:rPr>
        <w:t>固废的产生情况分析、暂存场所的规范化设置及最终的妥善处置；</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6 \* GB2 \* MERGEFORMAT </w:instrText>
      </w:r>
      <w:r>
        <w:rPr>
          <w:rFonts w:hint="eastAsia"/>
          <w:lang w:val="en-US" w:eastAsia="zh-CN"/>
        </w:rPr>
        <w:fldChar w:fldCharType="separate"/>
      </w:r>
      <w:r>
        <w:t>⑹</w:t>
      </w:r>
      <w:r>
        <w:rPr>
          <w:rFonts w:hint="eastAsia"/>
          <w:lang w:val="en-US" w:eastAsia="zh-CN"/>
        </w:rPr>
        <w:fldChar w:fldCharType="end"/>
      </w:r>
      <w:r>
        <w:rPr>
          <w:rFonts w:hint="eastAsia"/>
          <w:lang w:val="en-US" w:eastAsia="zh-CN"/>
        </w:rPr>
        <w:t>项目自身环境风险相对较低，但仍需建立环境风险防范措施。</w:t>
      </w:r>
    </w:p>
    <w:p>
      <w:pPr>
        <w:pStyle w:val="4"/>
        <w:numPr>
          <w:ilvl w:val="1"/>
          <w:numId w:val="1"/>
        </w:numPr>
        <w:bidi w:val="0"/>
      </w:pPr>
      <w:bookmarkStart w:id="6" w:name="_Toc11847"/>
      <w:r>
        <w:rPr>
          <w:rFonts w:hint="eastAsia"/>
          <w:lang w:val="en-US" w:eastAsia="zh-CN"/>
        </w:rPr>
        <w:t>报告书主要结论</w:t>
      </w:r>
      <w:bookmarkEnd w:id="6"/>
      <w:r>
        <w:rPr>
          <w:rFonts w:hint="eastAsia"/>
          <w:lang w:val="en-US" w:eastAsia="zh-CN"/>
        </w:rPr>
        <w:t xml:space="preserve"> </w:t>
      </w:r>
    </w:p>
    <w:p>
      <w:pPr>
        <w:bidi w:val="0"/>
      </w:pPr>
      <w:r>
        <w:rPr>
          <w:rFonts w:hint="eastAsia"/>
          <w:lang w:val="en-US" w:eastAsia="zh-CN"/>
        </w:rPr>
        <w:t>江苏恒贵信新材料有限公司</w:t>
      </w:r>
      <w:r>
        <w:rPr>
          <w:rFonts w:hint="eastAsia"/>
          <w:lang w:eastAsia="zh-CN"/>
        </w:rPr>
        <w:t>年产</w:t>
      </w:r>
      <w:r>
        <w:rPr>
          <w:rFonts w:hint="eastAsia"/>
          <w:lang w:val="en-US" w:eastAsia="zh-CN"/>
        </w:rPr>
        <w:t>10万吨新型增碳剂项目符合国家和地方的相关产业政策，符合当地的环保规划和用地规划，项目在采取切实可行的污染治理措施后，废气能实现达标排放，废水满足青湖镇联村生活污水处理厂的接管要求，固废可做到安全处置、噪声不扰民，对大气环境、地表水环境、声环境的影响处于可接受水平，环境风险可以接受，污染物排放能满足总量控制要求，项目建设具有一定的环境、社会和经济效益。</w:t>
      </w:r>
    </w:p>
    <w:p>
      <w:pPr>
        <w:bidi w:val="0"/>
      </w:pPr>
      <w:r>
        <w:rPr>
          <w:rFonts w:hint="eastAsia"/>
          <w:lang w:val="en-US" w:eastAsia="zh-CN"/>
        </w:rPr>
        <w:t>因此，建设单位在切实落实本次环评提出的各项环保措施后，从环境影响角度来看，本项目的建设具有环境可行性。</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lang w:val="en-US" w:eastAsia="zh-CN"/>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bidi w:val="0"/>
        <w:rPr>
          <w:rFonts w:hint="eastAsia"/>
          <w:lang w:val="en-US" w:eastAsia="zh-CN"/>
        </w:rPr>
      </w:pPr>
      <w:bookmarkStart w:id="7" w:name="_Toc16868"/>
      <w:r>
        <w:rPr>
          <w:rFonts w:hint="eastAsia"/>
          <w:lang w:val="en-US" w:eastAsia="zh-CN"/>
        </w:rPr>
        <w:t>2 总则</w:t>
      </w:r>
      <w:bookmarkEnd w:id="7"/>
    </w:p>
    <w:p>
      <w:pPr>
        <w:pStyle w:val="4"/>
        <w:bidi w:val="0"/>
        <w:rPr>
          <w:rFonts w:hint="eastAsia"/>
          <w:lang w:val="en-US" w:eastAsia="zh-CN"/>
        </w:rPr>
      </w:pPr>
      <w:bookmarkStart w:id="8" w:name="_Toc5170"/>
      <w:r>
        <w:rPr>
          <w:rFonts w:hint="eastAsia"/>
          <w:lang w:val="en-US" w:eastAsia="zh-CN"/>
        </w:rPr>
        <w:t>2.1 编制依据</w:t>
      </w:r>
      <w:bookmarkEnd w:id="8"/>
    </w:p>
    <w:p>
      <w:pPr>
        <w:pStyle w:val="5"/>
        <w:bidi w:val="0"/>
      </w:pPr>
      <w:bookmarkStart w:id="9" w:name="_Toc317838729"/>
      <w:bookmarkStart w:id="10" w:name="_Toc322259554"/>
      <w:bookmarkStart w:id="11" w:name="_Toc353473342"/>
      <w:r>
        <w:t>2.1.1</w:t>
      </w:r>
      <w:r>
        <w:rPr>
          <w:lang w:eastAsia="zh-CN"/>
        </w:rPr>
        <w:t xml:space="preserve">  </w:t>
      </w:r>
      <w:r>
        <w:t>国家法律、法规、规章及规范性文件</w:t>
      </w:r>
      <w:bookmarkEnd w:id="9"/>
      <w:bookmarkEnd w:id="10"/>
      <w:bookmarkEnd w:id="11"/>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《中华人民共和国环境保护法》，</w:t>
      </w:r>
      <w:r>
        <w:rPr>
          <w:rFonts w:hint="eastAsia"/>
          <w:lang w:eastAsia="zh-CN"/>
        </w:rPr>
        <w:t>2015</w:t>
      </w:r>
      <w:r>
        <w:rPr>
          <w:lang w:eastAsia="zh-CN"/>
        </w:rPr>
        <w:t>年</w:t>
      </w:r>
      <w:r>
        <w:rPr>
          <w:rFonts w:hint="eastAsia"/>
          <w:lang w:eastAsia="zh-CN"/>
        </w:rPr>
        <w:t>1</w:t>
      </w:r>
      <w:r>
        <w:rPr>
          <w:lang w:eastAsia="zh-CN"/>
        </w:rPr>
        <w:t>月</w:t>
      </w:r>
      <w:r>
        <w:rPr>
          <w:rFonts w:hint="eastAsia"/>
          <w:lang w:eastAsia="zh-CN"/>
        </w:rPr>
        <w:t>1</w:t>
      </w:r>
      <w:r>
        <w:rPr>
          <w:lang w:eastAsia="zh-CN"/>
        </w:rPr>
        <w:t>日施行；</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《中华人民共和国环境影响评价法》，201</w:t>
      </w:r>
      <w:r>
        <w:rPr>
          <w:rFonts w:hint="eastAsia"/>
          <w:lang w:val="en-US" w:eastAsia="zh-CN"/>
        </w:rPr>
        <w:t>8</w:t>
      </w:r>
      <w:r>
        <w:rPr>
          <w:rFonts w:hint="eastAsia"/>
          <w:lang w:eastAsia="zh-CN"/>
        </w:rPr>
        <w:t>年</w:t>
      </w:r>
      <w:r>
        <w:rPr>
          <w:rFonts w:hint="eastAsia"/>
          <w:lang w:val="en-US" w:eastAsia="zh-CN"/>
        </w:rPr>
        <w:t>12</w:t>
      </w:r>
      <w:r>
        <w:rPr>
          <w:rFonts w:hint="eastAsia"/>
          <w:lang w:eastAsia="zh-CN"/>
        </w:rPr>
        <w:t>月2</w:t>
      </w:r>
      <w:r>
        <w:rPr>
          <w:rFonts w:hint="eastAsia"/>
          <w:lang w:val="en-US" w:eastAsia="zh-CN"/>
        </w:rPr>
        <w:t>9</w:t>
      </w:r>
      <w:r>
        <w:rPr>
          <w:rFonts w:hint="eastAsia"/>
          <w:lang w:eastAsia="zh-CN"/>
        </w:rPr>
        <w:t>日修订，自2016年9月1日起施行；</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《中华人民共和国大气污染防治法》，2015年8月29日修订通过，2016年1月1日起实施；</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《中华人民共和国水污染防治法》，</w:t>
      </w:r>
      <w:r>
        <w:rPr>
          <w:rFonts w:hint="eastAsia"/>
          <w:lang w:eastAsia="zh-CN"/>
        </w:rPr>
        <w:t>201</w:t>
      </w:r>
      <w:r>
        <w:rPr>
          <w:rFonts w:hint="eastAsia"/>
          <w:lang w:val="en-US" w:eastAsia="zh-CN"/>
        </w:rPr>
        <w:t>7</w:t>
      </w:r>
      <w:r>
        <w:rPr>
          <w:rFonts w:hint="eastAsia"/>
          <w:lang w:eastAsia="zh-CN"/>
        </w:rPr>
        <w:t>年</w:t>
      </w:r>
      <w:r>
        <w:rPr>
          <w:rFonts w:hint="eastAsia"/>
          <w:lang w:val="en-US" w:eastAsia="zh-CN"/>
        </w:rPr>
        <w:t>6</w:t>
      </w:r>
      <w:r>
        <w:rPr>
          <w:rFonts w:hint="eastAsia"/>
          <w:lang w:eastAsia="zh-CN"/>
        </w:rPr>
        <w:t>月</w:t>
      </w:r>
      <w:r>
        <w:rPr>
          <w:rFonts w:hint="eastAsia"/>
          <w:lang w:val="en-US" w:eastAsia="zh-CN"/>
        </w:rPr>
        <w:t>27</w:t>
      </w:r>
      <w:r>
        <w:rPr>
          <w:rFonts w:hint="eastAsia"/>
          <w:lang w:eastAsia="zh-CN"/>
        </w:rPr>
        <w:t>日修订通过，201</w:t>
      </w:r>
      <w:r>
        <w:rPr>
          <w:rFonts w:hint="eastAsia"/>
          <w:lang w:val="en-US" w:eastAsia="zh-CN"/>
        </w:rPr>
        <w:t>8</w:t>
      </w:r>
      <w:r>
        <w:rPr>
          <w:rFonts w:hint="eastAsia"/>
          <w:lang w:eastAsia="zh-CN"/>
        </w:rPr>
        <w:t>年1月1日起实施</w:t>
      </w:r>
      <w:r>
        <w:rPr>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《中华人民共和国环境噪声污染防治法》，</w:t>
      </w:r>
      <w:r>
        <w:rPr>
          <w:rFonts w:hint="eastAsia"/>
          <w:lang w:val="en-US" w:eastAsia="zh-CN"/>
        </w:rPr>
        <w:t>2018</w:t>
      </w:r>
      <w:r>
        <w:rPr>
          <w:lang w:eastAsia="zh-CN"/>
        </w:rPr>
        <w:t>年</w:t>
      </w:r>
      <w:r>
        <w:rPr>
          <w:rFonts w:hint="eastAsia"/>
          <w:lang w:val="en-US" w:eastAsia="zh-CN"/>
        </w:rPr>
        <w:t>12</w:t>
      </w:r>
      <w:r>
        <w:rPr>
          <w:lang w:eastAsia="zh-CN"/>
        </w:rPr>
        <w:t>月</w:t>
      </w:r>
      <w:r>
        <w:rPr>
          <w:rFonts w:hint="eastAsia"/>
          <w:lang w:val="en-US" w:eastAsia="zh-CN"/>
        </w:rPr>
        <w:t>29</w:t>
      </w:r>
      <w:r>
        <w:rPr>
          <w:lang w:eastAsia="zh-CN"/>
        </w:rPr>
        <w:t>日</w:t>
      </w:r>
      <w:r>
        <w:rPr>
          <w:rFonts w:hint="eastAsia"/>
          <w:lang w:eastAsia="zh-CN"/>
        </w:rPr>
        <w:t>修订，</w:t>
      </w:r>
      <w:r>
        <w:rPr>
          <w:rFonts w:hint="eastAsia"/>
          <w:lang w:val="en-US" w:eastAsia="zh-CN"/>
        </w:rPr>
        <w:t>2019年1月1日施行</w:t>
      </w:r>
      <w:r>
        <w:rPr>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《中华人民共和国固体废物污染环境防治法》201</w:t>
      </w:r>
      <w:r>
        <w:rPr>
          <w:rFonts w:hint="eastAsia"/>
          <w:lang w:val="en-US" w:eastAsia="zh-CN"/>
        </w:rPr>
        <w:t>6</w:t>
      </w:r>
      <w:r>
        <w:rPr>
          <w:rFonts w:hint="eastAsia"/>
          <w:lang w:eastAsia="zh-CN"/>
        </w:rPr>
        <w:t>年</w:t>
      </w:r>
      <w:r>
        <w:rPr>
          <w:rFonts w:hint="eastAsia"/>
          <w:lang w:val="en-US" w:eastAsia="zh-CN"/>
        </w:rPr>
        <w:t>11月7日</w:t>
      </w:r>
      <w:r>
        <w:rPr>
          <w:rFonts w:hint="eastAsia"/>
          <w:lang w:eastAsia="zh-CN"/>
        </w:rPr>
        <w:t>修订</w:t>
      </w:r>
      <w:r>
        <w:rPr>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《中华人民共和国清洁生产促进法》，201</w:t>
      </w:r>
      <w:r>
        <w:rPr>
          <w:rFonts w:hint="eastAsia"/>
          <w:lang w:val="en-US" w:eastAsia="zh-CN"/>
        </w:rPr>
        <w:t>2</w:t>
      </w:r>
      <w:r>
        <w:rPr>
          <w:rFonts w:hint="eastAsia"/>
          <w:lang w:eastAsia="zh-CN"/>
        </w:rPr>
        <w:t>年</w:t>
      </w:r>
      <w:r>
        <w:rPr>
          <w:rFonts w:hint="eastAsia"/>
          <w:lang w:val="en-US" w:eastAsia="zh-CN"/>
        </w:rPr>
        <w:t>2</w:t>
      </w:r>
      <w:r>
        <w:rPr>
          <w:rFonts w:hint="eastAsia"/>
          <w:lang w:eastAsia="zh-CN"/>
        </w:rPr>
        <w:t>月</w:t>
      </w:r>
      <w:r>
        <w:rPr>
          <w:rFonts w:hint="eastAsia"/>
          <w:lang w:val="en-US" w:eastAsia="zh-CN"/>
        </w:rPr>
        <w:t>29日</w:t>
      </w:r>
      <w:r>
        <w:rPr>
          <w:rFonts w:hint="eastAsia"/>
          <w:lang w:eastAsia="zh-CN"/>
        </w:rPr>
        <w:t>修订，201</w:t>
      </w:r>
      <w:r>
        <w:rPr>
          <w:rFonts w:hint="eastAsia"/>
          <w:lang w:val="en-US" w:eastAsia="zh-CN"/>
        </w:rPr>
        <w:t>2</w:t>
      </w:r>
      <w:r>
        <w:rPr>
          <w:rFonts w:hint="eastAsia"/>
          <w:lang w:eastAsia="zh-CN"/>
        </w:rPr>
        <w:t>年7月1日执行</w:t>
      </w:r>
      <w:r>
        <w:rPr>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《中华人民共和国循环经济促进法》，20</w:t>
      </w:r>
      <w:r>
        <w:rPr>
          <w:rFonts w:hint="eastAsia"/>
          <w:lang w:val="en-US" w:eastAsia="zh-CN"/>
        </w:rPr>
        <w:t>18</w:t>
      </w:r>
      <w:r>
        <w:rPr>
          <w:rFonts w:hint="default"/>
        </w:rPr>
        <w:t>年1</w:t>
      </w:r>
      <w:r>
        <w:rPr>
          <w:rFonts w:hint="eastAsia"/>
          <w:lang w:val="en-US" w:eastAsia="zh-CN"/>
        </w:rPr>
        <w:t>2</w:t>
      </w:r>
      <w:r>
        <w:rPr>
          <w:rFonts w:hint="default"/>
        </w:rPr>
        <w:t>月</w:t>
      </w:r>
      <w:r>
        <w:rPr>
          <w:rFonts w:hint="eastAsia"/>
          <w:lang w:val="en-US" w:eastAsia="zh-CN"/>
        </w:rPr>
        <w:t>26</w:t>
      </w:r>
      <w:r>
        <w:rPr>
          <w:rFonts w:hint="default"/>
        </w:rPr>
        <w:t>日</w:t>
      </w:r>
      <w:r>
        <w:rPr>
          <w:rFonts w:hint="eastAsia"/>
          <w:lang w:eastAsia="zh-CN"/>
        </w:rPr>
        <w:t>修订</w:t>
      </w:r>
      <w:r>
        <w:rPr>
          <w:rFonts w:hint="default"/>
        </w:rPr>
        <w:t>施行</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《建设项目环境保护管理条例》，国务院令</w:t>
      </w:r>
      <w:r>
        <w:rPr>
          <w:rFonts w:hint="eastAsia"/>
          <w:lang w:val="en-US" w:eastAsia="zh-CN"/>
        </w:rPr>
        <w:t>[2017]682号</w:t>
      </w:r>
      <w:r>
        <w:rPr>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w:t>
      </w:r>
      <w:r>
        <w:rPr>
          <w:rFonts w:hint="default"/>
        </w:rPr>
        <w:t>建设项目环境影响评价分类管理名录》，环境保护部令[2018]44</w:t>
      </w:r>
      <w:r>
        <w:rPr>
          <w:rFonts w:hint="eastAsia"/>
          <w:lang w:val="en-US" w:eastAsia="zh-CN"/>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《关于加强工业节水工作的意见的通知》，国家经贸委等6部委，国经贸资源[2000]1015号文；</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《国家危险废物名录》，中华人民共和国环境保护部，自20</w:t>
      </w:r>
      <w:r>
        <w:rPr>
          <w:rFonts w:hint="eastAsia"/>
          <w:lang w:eastAsia="zh-CN"/>
        </w:rPr>
        <w:t>16</w:t>
      </w:r>
      <w:r>
        <w:rPr>
          <w:lang w:eastAsia="zh-CN"/>
        </w:rPr>
        <w:t>年8月1日起实施；</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《危险废物转移联单管理办法》，国家环境保护总局令第5</w:t>
      </w:r>
      <w:r>
        <w:rPr>
          <w:rFonts w:hint="eastAsia"/>
          <w:lang w:eastAsia="zh-CN"/>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《危险废物产生单位管理计划制定指南》，环保部[2016]7号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《关于发布《建设项目危险废物环境影响评价指南》的公告》，环保部[2017]第4</w:t>
      </w:r>
      <w:r>
        <w:rPr>
          <w:rFonts w:hint="eastAsia"/>
          <w:lang w:val="en-US" w:eastAsia="zh-CN"/>
        </w:rPr>
        <w:t>3号；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《关于发布&lt;建设项目竣工环境保护验收暂行办法&gt;的公告》</w:t>
      </w:r>
      <w:r>
        <w:rPr>
          <w:rFonts w:hint="eastAsia"/>
          <w:lang w:eastAsia="zh-CN"/>
        </w:rPr>
        <w:t>，</w:t>
      </w:r>
      <w:r>
        <w:rPr>
          <w:rFonts w:hint="default"/>
        </w:rPr>
        <w:t>国环规环评[2017]4</w:t>
      </w:r>
      <w:r>
        <w:rPr>
          <w:rFonts w:hint="eastAsia"/>
          <w:lang w:eastAsia="zh-CN"/>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default"/>
        </w:rPr>
        <w:t>《工矿用地土壤环境管理办法（试行）》</w:t>
      </w:r>
      <w:r>
        <w:rPr>
          <w:rFonts w:hint="eastAsia"/>
          <w:lang w:eastAsia="zh-CN"/>
        </w:rPr>
        <w:t>，</w:t>
      </w:r>
      <w:r>
        <w:rPr>
          <w:rFonts w:hint="default"/>
        </w:rPr>
        <w:t>环保部令[2018]3号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lang w:eastAsia="zh-CN"/>
        </w:rPr>
        <w:t>《</w:t>
      </w:r>
      <w:r>
        <w:rPr>
          <w:rFonts w:hint="eastAsia"/>
          <w:lang w:eastAsia="zh-CN"/>
        </w:rPr>
        <w:t>国务院关于印发</w:t>
      </w:r>
      <w:r>
        <w:rPr>
          <w:lang w:eastAsia="zh-CN"/>
        </w:rPr>
        <w:t>大气污染防治行动计划</w:t>
      </w:r>
      <w:r>
        <w:rPr>
          <w:rFonts w:hint="eastAsia"/>
          <w:lang w:eastAsia="zh-CN"/>
        </w:rPr>
        <w:t>的通知</w:t>
      </w:r>
      <w:r>
        <w:rPr>
          <w:lang w:eastAsia="zh-CN"/>
        </w:rPr>
        <w:t>》</w:t>
      </w:r>
      <w:r>
        <w:rPr>
          <w:rFonts w:hint="eastAsia"/>
          <w:lang w:eastAsia="zh-CN"/>
        </w:rPr>
        <w:t>，</w:t>
      </w:r>
      <w:r>
        <w:rPr>
          <w:lang w:eastAsia="zh-CN"/>
        </w:rPr>
        <w:t>国发</w:t>
      </w:r>
      <w:r>
        <w:rPr>
          <w:rFonts w:hint="eastAsia"/>
          <w:lang w:val="en-US" w:eastAsia="zh-CN"/>
        </w:rPr>
        <w:t>[</w:t>
      </w:r>
      <w:r>
        <w:rPr>
          <w:lang w:eastAsia="zh-CN"/>
        </w:rPr>
        <w:t>2013</w:t>
      </w:r>
      <w:r>
        <w:rPr>
          <w:rFonts w:hint="eastAsia"/>
          <w:lang w:val="en-US" w:eastAsia="zh-CN"/>
        </w:rPr>
        <w:t>]</w:t>
      </w:r>
      <w:r>
        <w:rPr>
          <w:lang w:eastAsia="zh-CN"/>
        </w:rPr>
        <w:t>37号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lang w:eastAsia="zh-CN"/>
        </w:rPr>
      </w:pPr>
      <w:r>
        <w:rPr>
          <w:rFonts w:hint="eastAsia"/>
          <w:lang w:eastAsia="zh-CN"/>
        </w:rPr>
        <w:t>《国务院关于印发水污染防治行动计划的通知》，国发</w:t>
      </w:r>
      <w:r>
        <w:rPr>
          <w:rFonts w:hint="eastAsia"/>
          <w:lang w:val="en-US" w:eastAsia="zh-CN"/>
        </w:rPr>
        <w:t>[</w:t>
      </w:r>
      <w:r>
        <w:rPr>
          <w:rFonts w:hint="eastAsia"/>
          <w:lang w:eastAsia="zh-CN"/>
        </w:rPr>
        <w:t>2015</w:t>
      </w:r>
      <w:r>
        <w:rPr>
          <w:rFonts w:hint="eastAsia"/>
          <w:lang w:val="en-US" w:eastAsia="zh-CN"/>
        </w:rPr>
        <w:t>]</w:t>
      </w:r>
      <w:r>
        <w:rPr>
          <w:rFonts w:hint="eastAsia"/>
          <w:lang w:eastAsia="zh-CN"/>
        </w:rPr>
        <w:t>17号；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eastAsia"/>
          <w:lang w:eastAsia="zh-CN"/>
        </w:rPr>
        <w:t>《国务院关于印发土壤污染防治行动计划》，国发</w:t>
      </w:r>
      <w:r>
        <w:rPr>
          <w:rFonts w:hint="eastAsia"/>
          <w:lang w:val="en-US" w:eastAsia="zh-CN"/>
        </w:rPr>
        <w:t>[</w:t>
      </w:r>
      <w:r>
        <w:rPr>
          <w:rFonts w:hint="eastAsia"/>
          <w:lang w:eastAsia="zh-CN"/>
        </w:rPr>
        <w:t>2016</w:t>
      </w:r>
      <w:r>
        <w:rPr>
          <w:rFonts w:hint="eastAsia"/>
          <w:lang w:val="en-US" w:eastAsia="zh-CN"/>
        </w:rPr>
        <w:t>]</w:t>
      </w:r>
      <w:r>
        <w:rPr>
          <w:rFonts w:hint="eastAsia"/>
          <w:lang w:eastAsia="zh-CN"/>
        </w:rPr>
        <w:t>31号；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《关于落实大气污染防治行动计划严格环境影响评价准入的通知》，环办[2014]30</w:t>
      </w:r>
      <w:r>
        <w:rPr>
          <w:rFonts w:hint="eastAsia"/>
          <w:lang w:eastAsia="zh-CN"/>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lang w:eastAsia="zh-CN"/>
        </w:rPr>
        <w:t>《关于加强环境噪声污染防治工作改善城乡声环境质量的指导意见》</w:t>
      </w:r>
      <w:r>
        <w:rPr>
          <w:rFonts w:hint="eastAsia"/>
          <w:lang w:val="en-US" w:eastAsia="zh-CN"/>
        </w:rPr>
        <w:t>,</w:t>
      </w:r>
      <w:r>
        <w:rPr>
          <w:rFonts w:hint="default"/>
          <w:lang w:eastAsia="zh-CN"/>
        </w:rPr>
        <w:t>环发[2010]144号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lang w:eastAsia="zh-CN"/>
        </w:rPr>
        <w:t>《关于落实大气污染防治行动计划严格环境影响评价准入的通知》</w:t>
      </w:r>
      <w:r>
        <w:rPr>
          <w:rFonts w:hint="eastAsia"/>
          <w:lang w:val="en-US" w:eastAsia="zh-CN"/>
        </w:rPr>
        <w:t>，</w:t>
      </w:r>
      <w:r>
        <w:rPr>
          <w:rFonts w:hint="default"/>
          <w:lang w:eastAsia="zh-CN"/>
        </w:rPr>
        <w:t>环办[2014]30号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lang w:eastAsia="zh-CN"/>
        </w:rPr>
        <w:t>《</w:t>
      </w:r>
      <w:r>
        <w:rPr>
          <w:rFonts w:hint="eastAsia"/>
          <w:lang w:eastAsia="zh-CN"/>
        </w:rPr>
        <w:t>环境空气细颗粒物污染综合</w:t>
      </w:r>
      <w:r>
        <w:rPr>
          <w:lang w:eastAsia="zh-CN"/>
        </w:rPr>
        <w:t>防治技术政策》</w:t>
      </w:r>
      <w:r>
        <w:rPr>
          <w:rFonts w:hint="eastAsia"/>
          <w:lang w:eastAsia="zh-CN"/>
        </w:rPr>
        <w:t>，</w:t>
      </w:r>
      <w:r>
        <w:rPr>
          <w:lang w:eastAsia="zh-CN"/>
        </w:rPr>
        <w:t xml:space="preserve">环境保护部公告[2013] </w:t>
      </w:r>
      <w:r>
        <w:rPr>
          <w:rFonts w:hint="eastAsia"/>
          <w:lang w:eastAsia="zh-CN"/>
        </w:rPr>
        <w:t>59</w:t>
      </w:r>
      <w:r>
        <w:rPr>
          <w:lang w:eastAsia="zh-CN"/>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《关于切实加强风险防范严格环境影响评价管理的通知》，环发</w:t>
      </w:r>
      <w:r>
        <w:rPr>
          <w:rFonts w:hint="eastAsia"/>
        </w:rPr>
        <w:t>[2012]98</w:t>
      </w:r>
      <w:r>
        <w:rPr>
          <w:rFonts w:hint="default"/>
        </w:rPr>
        <w:t>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《关于进一步加强环境影响评价管理防范环境风险的通知》，环发</w:t>
      </w:r>
      <w:r>
        <w:rPr>
          <w:rFonts w:hint="eastAsia"/>
        </w:rPr>
        <w:t>[2012]77</w:t>
      </w:r>
      <w:r>
        <w:rPr>
          <w:rFonts w:hint="default"/>
        </w:rPr>
        <w:t>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《产业结构调整指导目录（201</w:t>
      </w:r>
      <w:r>
        <w:rPr>
          <w:rFonts w:hint="eastAsia"/>
          <w:lang w:val="en-US" w:eastAsia="zh-CN"/>
        </w:rPr>
        <w:t>9</w:t>
      </w:r>
      <w:r>
        <w:rPr>
          <w:rFonts w:hint="default"/>
        </w:rPr>
        <w:t>年本）》</w:t>
      </w:r>
      <w:r>
        <w:rPr>
          <w:rFonts w:hint="eastAsia"/>
          <w:lang w:eastAsia="zh-CN"/>
        </w:rPr>
        <w:t>，</w:t>
      </w:r>
      <w:r>
        <w:rPr>
          <w:rFonts w:hint="eastAsia"/>
          <w:lang w:val="en-US" w:eastAsia="zh-CN"/>
        </w:rPr>
        <w:t>2020年1月1日施行；</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《环境影响评价公众参与办法》，环保部令[2018]4号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《环境保护公众参与办法》</w:t>
      </w:r>
      <w:r>
        <w:rPr>
          <w:rFonts w:hint="eastAsia"/>
          <w:lang w:eastAsia="zh-CN"/>
        </w:rPr>
        <w:t>，</w:t>
      </w:r>
      <w:r>
        <w:rPr>
          <w:rFonts w:hint="default"/>
        </w:rPr>
        <w:t>环境保护部令[2015]35号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《企业事业单位环境信息公开办法》，环保部令[2014]第31号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eastAsia"/>
          <w:lang w:eastAsia="zh-CN"/>
        </w:rPr>
        <w:t>《关于印发&lt;建设项目环境影响评价政府信息公开指南（试行）&gt;的通知》，环办[2013]103号，2013年11月14日；</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《关于以改善环境质量为核心加强环境影响评价管理的通知》，环评[2016]15</w:t>
      </w:r>
      <w:r>
        <w:rPr>
          <w:rFonts w:hint="eastAsia"/>
          <w:lang w:val="en-US" w:eastAsia="zh-CN"/>
        </w:rPr>
        <w:t>0号；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《排污许可管理办法（试行）》，环保部令[2018]48号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《关于做好环境影响评价制度与排污许可制衔接相关工作的通知》，环办环评</w:t>
      </w:r>
      <w:r>
        <w:rPr>
          <w:rFonts w:hint="eastAsia"/>
        </w:rPr>
        <w:t>[2017]84</w:t>
      </w:r>
      <w:r>
        <w:rPr>
          <w:rFonts w:hint="default"/>
        </w:rPr>
        <w:t>号；</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eastAsia"/>
        </w:rPr>
        <w:t xml:space="preserve"> </w:t>
      </w:r>
      <w:r>
        <w:rPr>
          <w:rFonts w:hint="default"/>
        </w:rPr>
        <w:t>环保部关于印发《建设项目主要污染物排放总量指标审核及管理暂行办法》的通知，环发</w:t>
      </w:r>
      <w:r>
        <w:rPr>
          <w:rFonts w:hint="eastAsia"/>
        </w:rPr>
        <w:t>[2014]197</w:t>
      </w:r>
      <w:r>
        <w:rPr>
          <w:rFonts w:hint="default"/>
        </w:rPr>
        <w:t>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《关于发布实施&lt;限制用地项</w:t>
      </w:r>
      <w:r>
        <w:rPr>
          <w:rFonts w:hint="eastAsia"/>
          <w:lang w:eastAsia="zh-CN"/>
        </w:rPr>
        <w:t>目</w:t>
      </w:r>
      <w:r>
        <w:rPr>
          <w:rFonts w:hint="default"/>
        </w:rPr>
        <w:t>录（2012年本）&gt;和&lt;禁止用地项</w:t>
      </w:r>
      <w:r>
        <w:rPr>
          <w:rFonts w:hint="eastAsia"/>
          <w:lang w:eastAsia="zh-CN"/>
        </w:rPr>
        <w:t>目</w:t>
      </w:r>
      <w:r>
        <w:rPr>
          <w:rFonts w:hint="default"/>
        </w:rPr>
        <w:t>录（2012年本）&gt;的通知》</w:t>
      </w:r>
      <w:r>
        <w:rPr>
          <w:rFonts w:hint="eastAsia"/>
          <w:lang w:eastAsia="zh-CN"/>
        </w:rPr>
        <w:t>，</w:t>
      </w:r>
      <w:r>
        <w:rPr>
          <w:rFonts w:hint="default"/>
        </w:rPr>
        <w:t>国土资发[2012]98号</w:t>
      </w:r>
      <w:r>
        <w:rPr>
          <w:rFonts w:hint="eastAsia"/>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ind w:left="0"/>
        <w:textAlignment w:val="auto"/>
        <w:rPr>
          <w:rFonts w:hint="eastAsia"/>
          <w:lang w:eastAsia="zh-CN"/>
        </w:rPr>
      </w:pPr>
      <w:r>
        <w:rPr>
          <w:rFonts w:hint="default"/>
        </w:rPr>
        <w:t>《国务院关于印发打赢蓝天保卫战三年行动计划的通知》</w:t>
      </w:r>
      <w:r>
        <w:rPr>
          <w:rFonts w:hint="eastAsia"/>
          <w:lang w:eastAsia="zh-CN"/>
        </w:rPr>
        <w:t>，</w:t>
      </w:r>
      <w:r>
        <w:rPr>
          <w:rFonts w:hint="default"/>
        </w:rPr>
        <w:t>国发[2018]22号</w:t>
      </w:r>
      <w:r>
        <w:rPr>
          <w:rFonts w:hint="eastAsia"/>
          <w:lang w:eastAsia="zh-CN"/>
        </w:rPr>
        <w:t>；</w:t>
      </w:r>
    </w:p>
    <w:p>
      <w:pPr>
        <w:pStyle w:val="5"/>
        <w:bidi w:val="0"/>
        <w:rPr>
          <w:lang w:eastAsia="zh-CN"/>
        </w:rPr>
      </w:pPr>
      <w:bookmarkStart w:id="12" w:name="_Toc51592643"/>
      <w:bookmarkStart w:id="13" w:name="_Toc317838730"/>
      <w:bookmarkStart w:id="14" w:name="_Toc48030369"/>
      <w:bookmarkStart w:id="15" w:name="_Toc353473343"/>
      <w:bookmarkStart w:id="16" w:name="_Toc322259555"/>
      <w:r>
        <w:t>2.1.2</w:t>
      </w:r>
      <w:r>
        <w:rPr>
          <w:lang w:eastAsia="zh-CN"/>
        </w:rPr>
        <w:t xml:space="preserve">  </w:t>
      </w:r>
      <w:r>
        <w:t>地方法规、规章及规范性文件产业政策与行业管理规定</w:t>
      </w:r>
      <w:bookmarkEnd w:id="12"/>
      <w:bookmarkEnd w:id="13"/>
      <w:bookmarkEnd w:id="14"/>
      <w:bookmarkEnd w:id="15"/>
      <w:bookmarkEnd w:id="16"/>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eastAsia" w:ascii="Times New Roman" w:hAnsi="Times New Roman"/>
          <w:lang w:eastAsia="zh-CN"/>
        </w:rPr>
        <w:t>《江苏省大气污染防治条例》，</w:t>
      </w:r>
      <w:r>
        <w:rPr>
          <w:rFonts w:hint="eastAsia" w:ascii="Times New Roman" w:hAnsi="Times New Roman"/>
          <w:lang w:val="en-US" w:eastAsia="zh-CN"/>
        </w:rPr>
        <w:t>2018年11月23日修正；</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《江苏省环境噪声污染防治条例》，自201</w:t>
      </w:r>
      <w:r>
        <w:rPr>
          <w:rFonts w:hint="eastAsia" w:ascii="Times New Roman" w:hAnsi="Times New Roman"/>
          <w:lang w:val="en-US" w:eastAsia="zh-CN"/>
        </w:rPr>
        <w:t>8</w:t>
      </w:r>
      <w:r>
        <w:rPr>
          <w:rFonts w:ascii="Times New Roman" w:hAnsi="Times New Roman"/>
          <w:lang w:eastAsia="zh-CN"/>
        </w:rPr>
        <w:t>年</w:t>
      </w:r>
      <w:r>
        <w:rPr>
          <w:rFonts w:hint="eastAsia" w:ascii="Times New Roman" w:hAnsi="Times New Roman"/>
          <w:lang w:val="en-US" w:eastAsia="zh-CN"/>
        </w:rPr>
        <w:t>3</w:t>
      </w:r>
      <w:r>
        <w:rPr>
          <w:rFonts w:ascii="Times New Roman" w:hAnsi="Times New Roman"/>
          <w:lang w:eastAsia="zh-CN"/>
        </w:rPr>
        <w:t>月</w:t>
      </w:r>
      <w:r>
        <w:rPr>
          <w:rFonts w:hint="eastAsia" w:ascii="Times New Roman" w:hAnsi="Times New Roman"/>
          <w:lang w:val="en-US" w:eastAsia="zh-CN"/>
        </w:rPr>
        <w:t>28</w:t>
      </w:r>
      <w:r>
        <w:rPr>
          <w:rFonts w:ascii="Times New Roman" w:hAnsi="Times New Roman"/>
          <w:lang w:eastAsia="zh-CN"/>
        </w:rPr>
        <w:t>日</w:t>
      </w:r>
      <w:r>
        <w:rPr>
          <w:rFonts w:hint="eastAsia" w:ascii="Times New Roman" w:hAnsi="Times New Roman"/>
          <w:lang w:eastAsia="zh-CN"/>
        </w:rPr>
        <w:t>修正；</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《江苏省固体废物污染环境防治条例》，</w:t>
      </w:r>
      <w:r>
        <w:rPr>
          <w:rFonts w:hint="default" w:ascii="Times New Roman" w:hAnsi="Times New Roman" w:eastAsia="Times New Roman"/>
          <w:color w:val="000000"/>
          <w:sz w:val="28"/>
        </w:rPr>
        <w:t>2017</w:t>
      </w:r>
      <w:r>
        <w:rPr>
          <w:rFonts w:hint="default" w:ascii="宋体" w:hAnsi="宋体" w:eastAsia="宋体"/>
          <w:color w:val="000000"/>
          <w:sz w:val="28"/>
        </w:rPr>
        <w:t>年</w:t>
      </w:r>
      <w:r>
        <w:rPr>
          <w:rFonts w:hint="default" w:ascii="Times New Roman" w:hAnsi="Times New Roman" w:eastAsia="Times New Roman"/>
          <w:color w:val="000000"/>
          <w:sz w:val="28"/>
        </w:rPr>
        <w:t>6</w:t>
      </w:r>
      <w:r>
        <w:rPr>
          <w:rFonts w:hint="default" w:ascii="宋体" w:hAnsi="宋体" w:eastAsia="宋体"/>
          <w:color w:val="000000"/>
          <w:sz w:val="28"/>
        </w:rPr>
        <w:t>月</w:t>
      </w:r>
      <w:r>
        <w:rPr>
          <w:rFonts w:hint="default" w:ascii="Times New Roman" w:hAnsi="Times New Roman" w:eastAsia="Times New Roman"/>
          <w:color w:val="000000"/>
          <w:sz w:val="28"/>
        </w:rPr>
        <w:t>3</w:t>
      </w:r>
      <w:r>
        <w:rPr>
          <w:rFonts w:hint="default" w:ascii="宋体" w:hAnsi="宋体" w:eastAsia="宋体"/>
          <w:color w:val="000000"/>
          <w:sz w:val="28"/>
        </w:rPr>
        <w:t>日修正</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《江苏省大气污染防治行动计划实施方案严格环境影响评价准入的通知》，苏环办</w:t>
      </w:r>
      <w:r>
        <w:rPr>
          <w:rFonts w:hint="default" w:ascii="Times New Roman" w:hAnsi="Times New Roman" w:eastAsia="Times New Roman"/>
          <w:color w:val="000000"/>
          <w:sz w:val="28"/>
        </w:rPr>
        <w:t>[2014]10</w:t>
      </w:r>
      <w:r>
        <w:rPr>
          <w:rFonts w:hint="eastAsia" w:ascii="Times New Roman" w:hAnsi="Times New Roman"/>
          <w:color w:val="000000"/>
          <w:sz w:val="28"/>
          <w:lang w:val="en-US" w:eastAsia="zh-CN"/>
        </w:rPr>
        <w:t>4号；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《省政府关于印发江苏省大气污染防治行动计划实施方案的通知》，苏政发</w:t>
      </w:r>
      <w:r>
        <w:rPr>
          <w:rFonts w:hint="default" w:ascii="Times New Roman" w:hAnsi="Times New Roman" w:eastAsia="Times New Roman"/>
          <w:color w:val="000000"/>
          <w:sz w:val="28"/>
        </w:rPr>
        <w:t>[2014]</w:t>
      </w:r>
      <w:r>
        <w:rPr>
          <w:rFonts w:hint="eastAsia" w:ascii="Times New Roman" w:hAnsi="Times New Roman"/>
          <w:color w:val="000000"/>
          <w:sz w:val="28"/>
          <w:lang w:val="en-US" w:eastAsia="zh-CN"/>
        </w:rPr>
        <w:t>1号。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《省政府关于印发江苏省打赢蓝天保卫战三年行动计划实施方案的通知》，苏政发〔</w:t>
      </w:r>
      <w:r>
        <w:rPr>
          <w:rFonts w:hint="default" w:ascii="Times New Roman" w:hAnsi="Times New Roman" w:eastAsia="Times New Roman"/>
          <w:color w:val="000000"/>
          <w:sz w:val="28"/>
        </w:rPr>
        <w:t>2018</w:t>
      </w:r>
      <w:r>
        <w:rPr>
          <w:rFonts w:hint="default" w:ascii="宋体" w:hAnsi="宋体" w:eastAsia="宋体"/>
          <w:color w:val="000000"/>
          <w:sz w:val="28"/>
        </w:rPr>
        <w:t>〕</w:t>
      </w:r>
      <w:r>
        <w:rPr>
          <w:rFonts w:hint="default" w:ascii="Times New Roman" w:hAnsi="Times New Roman" w:eastAsia="Times New Roman"/>
          <w:color w:val="000000"/>
          <w:sz w:val="28"/>
        </w:rPr>
        <w:t>122</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eastAsia" w:ascii="Times New Roman" w:hAnsi="Times New Roman"/>
          <w:lang w:eastAsia="zh-CN"/>
        </w:rPr>
        <w:t>《江苏省大气颗粒物污染防治管理办法》2013年8月1日实施；</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lang w:eastAsia="zh-CN"/>
        </w:rPr>
        <w:t>《关于加强建设项目烟粉尘、挥发性有机物准入审核的通知》，苏环办[2014]148号；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《省政府关于印发江苏省水污染物防治工作方案的通知》</w:t>
      </w:r>
      <w:r>
        <w:rPr>
          <w:rFonts w:hint="eastAsia" w:ascii="宋体" w:hAnsi="宋体"/>
          <w:color w:val="000000"/>
          <w:sz w:val="28"/>
          <w:lang w:eastAsia="zh-CN"/>
        </w:rPr>
        <w:t>，</w:t>
      </w:r>
      <w:r>
        <w:rPr>
          <w:rFonts w:hint="default" w:ascii="宋体" w:hAnsi="宋体" w:eastAsia="宋体"/>
          <w:color w:val="000000"/>
          <w:sz w:val="28"/>
        </w:rPr>
        <w:t>苏政发</w:t>
      </w:r>
      <w:r>
        <w:rPr>
          <w:rFonts w:hint="eastAsia" w:ascii="Times New Roman" w:hAnsi="Times New Roman" w:eastAsia="Times New Roman"/>
          <w:color w:val="000000"/>
          <w:sz w:val="28"/>
        </w:rPr>
        <w:t>[2015]175</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《江苏省政府关于印发江苏省土壤污染防治工作方案的通知》，苏政发〔</w:t>
      </w:r>
      <w:r>
        <w:rPr>
          <w:rFonts w:hint="eastAsia" w:ascii="Times New Roman" w:hAnsi="Times New Roman" w:eastAsia="Times New Roman"/>
          <w:color w:val="000000"/>
          <w:sz w:val="28"/>
        </w:rPr>
        <w:t>2016</w:t>
      </w:r>
      <w:r>
        <w:rPr>
          <w:rFonts w:hint="default" w:ascii="宋体" w:hAnsi="宋体" w:eastAsia="宋体"/>
          <w:color w:val="000000"/>
          <w:sz w:val="28"/>
        </w:rPr>
        <w:t>〕</w:t>
      </w:r>
      <w:r>
        <w:rPr>
          <w:rFonts w:hint="eastAsia" w:ascii="Times New Roman" w:hAnsi="Times New Roman" w:eastAsia="Times New Roman"/>
          <w:color w:val="000000"/>
          <w:sz w:val="28"/>
        </w:rPr>
        <w:t>169</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《省政府办公厅关于加强危险废物污染防治工作的意见》，苏政办发</w:t>
      </w:r>
      <w:r>
        <w:rPr>
          <w:rFonts w:hint="default" w:ascii="Times New Roman" w:hAnsi="Times New Roman" w:eastAsia="Times New Roman"/>
          <w:color w:val="000000"/>
          <w:sz w:val="28"/>
        </w:rPr>
        <w:t>[2018]9</w:t>
      </w:r>
      <w:r>
        <w:rPr>
          <w:rFonts w:hint="eastAsia" w:ascii="Times New Roman" w:hAnsi="Times New Roman"/>
          <w:color w:val="000000"/>
          <w:sz w:val="28"/>
          <w:lang w:val="en-US" w:eastAsia="zh-CN"/>
        </w:rPr>
        <w:t>1号；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《省生态环境厅关于进一步加强危险废物污染防治工作的实施意见》</w:t>
      </w:r>
      <w:r>
        <w:rPr>
          <w:rFonts w:hint="eastAsia" w:ascii="宋体" w:hAnsi="宋体"/>
          <w:color w:val="000000"/>
          <w:sz w:val="28"/>
          <w:lang w:eastAsia="zh-CN"/>
        </w:rPr>
        <w:t>，</w:t>
      </w:r>
      <w:r>
        <w:rPr>
          <w:rFonts w:hint="default" w:ascii="宋体" w:hAnsi="宋体" w:eastAsia="宋体"/>
          <w:color w:val="000000"/>
          <w:sz w:val="28"/>
        </w:rPr>
        <w:t>苏环办〔</w:t>
      </w:r>
      <w:r>
        <w:rPr>
          <w:rFonts w:hint="default" w:ascii="Times New Roman" w:hAnsi="Times New Roman" w:eastAsia="Times New Roman"/>
          <w:color w:val="000000"/>
          <w:sz w:val="28"/>
        </w:rPr>
        <w:t>2019</w:t>
      </w:r>
      <w:r>
        <w:rPr>
          <w:rFonts w:hint="default" w:ascii="宋体" w:hAnsi="宋体" w:eastAsia="宋体"/>
          <w:color w:val="000000"/>
          <w:sz w:val="28"/>
        </w:rPr>
        <w:t>〕</w:t>
      </w:r>
      <w:r>
        <w:rPr>
          <w:rFonts w:hint="default" w:ascii="Times New Roman" w:hAnsi="Times New Roman" w:eastAsia="Times New Roman"/>
          <w:color w:val="000000"/>
          <w:sz w:val="28"/>
        </w:rPr>
        <w:t>327</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《关于切实加强危险废物监管工作的意见》，苏环规</w:t>
      </w:r>
      <w:r>
        <w:rPr>
          <w:rFonts w:hint="default" w:ascii="Times New Roman" w:hAnsi="Times New Roman" w:eastAsia="Times New Roman"/>
          <w:color w:val="000000"/>
          <w:sz w:val="28"/>
        </w:rPr>
        <w:t>[2012]2</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《关于全面开展危险废物转移网上报告工作的通知》，苏环办</w:t>
      </w:r>
      <w:r>
        <w:rPr>
          <w:rFonts w:hint="eastAsia" w:ascii="Times New Roman" w:hAnsi="Times New Roman" w:eastAsia="Times New Roman"/>
          <w:color w:val="000000"/>
          <w:sz w:val="28"/>
        </w:rPr>
        <w:t>[2014]44</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《关于贯彻落实建设项目危险废物环境影响评价指南要求的通知》，苏环办</w:t>
      </w:r>
      <w:r>
        <w:rPr>
          <w:rFonts w:hint="default" w:ascii="Times New Roman" w:hAnsi="Times New Roman" w:eastAsia="Times New Roman"/>
          <w:color w:val="000000"/>
          <w:sz w:val="28"/>
        </w:rPr>
        <w:t>[2018]18</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《江苏省</w:t>
      </w:r>
      <w:r>
        <w:rPr>
          <w:rFonts w:hint="default" w:ascii="Times New Roman" w:hAnsi="Times New Roman" w:eastAsia="Times New Roman"/>
          <w:color w:val="000000"/>
          <w:sz w:val="28"/>
        </w:rPr>
        <w:t>“</w:t>
      </w:r>
      <w:r>
        <w:rPr>
          <w:rFonts w:hint="default" w:ascii="宋体" w:hAnsi="宋体" w:eastAsia="宋体"/>
          <w:color w:val="000000"/>
          <w:sz w:val="28"/>
        </w:rPr>
        <w:t>十三五</w:t>
      </w:r>
      <w:r>
        <w:rPr>
          <w:rFonts w:hint="default" w:ascii="Times New Roman" w:hAnsi="Times New Roman" w:eastAsia="Times New Roman"/>
          <w:color w:val="000000"/>
          <w:sz w:val="28"/>
        </w:rPr>
        <w:t>”</w:t>
      </w:r>
      <w:r>
        <w:rPr>
          <w:rFonts w:hint="default" w:ascii="宋体" w:hAnsi="宋体" w:eastAsia="宋体"/>
          <w:color w:val="000000"/>
          <w:sz w:val="28"/>
        </w:rPr>
        <w:t>节能规划》，苏经信节能〔</w:t>
      </w:r>
      <w:r>
        <w:rPr>
          <w:rFonts w:hint="default" w:ascii="Times New Roman" w:hAnsi="Times New Roman" w:eastAsia="Times New Roman"/>
          <w:color w:val="000000"/>
          <w:sz w:val="28"/>
        </w:rPr>
        <w:t>2016</w:t>
      </w:r>
      <w:r>
        <w:rPr>
          <w:rFonts w:hint="default" w:ascii="宋体" w:hAnsi="宋体" w:eastAsia="宋体"/>
          <w:color w:val="000000"/>
          <w:sz w:val="28"/>
        </w:rPr>
        <w:t>〕</w:t>
      </w:r>
      <w:r>
        <w:rPr>
          <w:rFonts w:hint="default" w:ascii="Times New Roman" w:hAnsi="Times New Roman" w:eastAsia="Times New Roman"/>
          <w:color w:val="000000"/>
          <w:sz w:val="28"/>
        </w:rPr>
        <w:t>50</w:t>
      </w:r>
      <w:r>
        <w:rPr>
          <w:rFonts w:hint="eastAsia" w:ascii="Times New Roman" w:hAnsi="Times New Roman"/>
          <w:color w:val="000000"/>
          <w:sz w:val="28"/>
          <w:lang w:val="en-US" w:eastAsia="zh-CN"/>
        </w:rPr>
        <w:t>3号；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《江苏省地表水（环境）功能区划》</w:t>
      </w:r>
      <w:r>
        <w:rPr>
          <w:rFonts w:hint="eastAsia" w:ascii="Times New Roman" w:hAnsi="Times New Roman"/>
          <w:lang w:eastAsia="zh-CN"/>
        </w:rPr>
        <w:t>，</w:t>
      </w:r>
      <w:r>
        <w:rPr>
          <w:rFonts w:ascii="Times New Roman" w:hAnsi="Times New Roman"/>
          <w:lang w:eastAsia="zh-CN"/>
        </w:rPr>
        <w:t>苏政复[2003]29号；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《省政府关于江苏省地表水新增水功能区划方案的批复》，苏政复〔</w:t>
      </w:r>
      <w:r>
        <w:rPr>
          <w:rFonts w:hint="default" w:ascii="Times New Roman" w:hAnsi="Times New Roman" w:eastAsia="Times New Roman"/>
          <w:color w:val="000000"/>
          <w:sz w:val="28"/>
        </w:rPr>
        <w:t>2016</w:t>
      </w:r>
      <w:r>
        <w:rPr>
          <w:rFonts w:hint="default" w:ascii="宋体" w:hAnsi="宋体" w:eastAsia="宋体"/>
          <w:color w:val="000000"/>
          <w:sz w:val="28"/>
        </w:rPr>
        <w:t>〕</w:t>
      </w:r>
      <w:r>
        <w:rPr>
          <w:rFonts w:hint="default" w:ascii="Times New Roman" w:hAnsi="Times New Roman" w:eastAsia="Times New Roman"/>
          <w:color w:val="000000"/>
          <w:sz w:val="28"/>
        </w:rPr>
        <w:t>106</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lang w:eastAsia="zh-CN"/>
        </w:rPr>
        <w:t>《江苏省人民政府关于印发江苏省生态空间管控区域规划的通知》，苏政发</w:t>
      </w:r>
      <w:r>
        <w:rPr>
          <w:rFonts w:hint="eastAsia"/>
          <w:lang w:val="en-US" w:eastAsia="zh-CN"/>
        </w:rPr>
        <w:t>[2020]1号</w:t>
      </w:r>
      <w:r>
        <w:rPr>
          <w:rFonts w:ascii="Times New Roman" w:hAnsi="Times New Roman"/>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《省政府关于印发江苏省国家级生态保护红线规划的通知》</w:t>
      </w:r>
      <w:r>
        <w:rPr>
          <w:rFonts w:hint="eastAsia" w:ascii="宋体" w:hAnsi="宋体"/>
          <w:color w:val="000000"/>
          <w:sz w:val="28"/>
          <w:lang w:eastAsia="zh-CN"/>
        </w:rPr>
        <w:t>，</w:t>
      </w:r>
      <w:r>
        <w:rPr>
          <w:rFonts w:hint="default" w:ascii="宋体" w:hAnsi="宋体" w:eastAsia="宋体"/>
          <w:color w:val="000000"/>
          <w:sz w:val="28"/>
        </w:rPr>
        <w:t>苏政发</w:t>
      </w:r>
      <w:r>
        <w:rPr>
          <w:rFonts w:hint="default" w:ascii="Times New Roman" w:hAnsi="Times New Roman" w:eastAsia="Times New Roman"/>
          <w:color w:val="000000"/>
          <w:sz w:val="28"/>
        </w:rPr>
        <w:t>[2018]7</w:t>
      </w:r>
      <w:r>
        <w:rPr>
          <w:rFonts w:hint="eastAsia" w:ascii="Times New Roman" w:hAnsi="Times New Roman"/>
          <w:color w:val="000000"/>
          <w:sz w:val="28"/>
          <w:lang w:val="en-US" w:eastAsia="zh-CN"/>
        </w:rPr>
        <w:t>4号；</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Times New Roman" w:hAnsi="Times New Roman"/>
          <w:lang w:eastAsia="zh-CN"/>
        </w:rPr>
        <w:t>《省政府关于印发江苏省生态空间管控区域规划的通知》</w:t>
      </w:r>
      <w:r>
        <w:rPr>
          <w:rFonts w:hint="eastAsia" w:ascii="Times New Roman" w:hAnsi="Times New Roman"/>
          <w:lang w:eastAsia="zh-CN"/>
        </w:rPr>
        <w:t>，</w:t>
      </w:r>
      <w:r>
        <w:rPr>
          <w:rFonts w:hint="default" w:ascii="Times New Roman" w:hAnsi="Times New Roman"/>
          <w:lang w:eastAsia="zh-CN"/>
        </w:rPr>
        <w:t>苏政发[2020]1号；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w:t>
      </w:r>
      <w:r>
        <w:rPr>
          <w:rFonts w:hint="default" w:ascii="Times New Roman" w:hAnsi="Times New Roman" w:eastAsia="Times New Roman"/>
          <w:color w:val="000000"/>
          <w:sz w:val="28"/>
        </w:rPr>
        <w:t>“</w:t>
      </w:r>
      <w:r>
        <w:rPr>
          <w:rFonts w:hint="default" w:ascii="宋体" w:hAnsi="宋体" w:eastAsia="宋体"/>
          <w:color w:val="000000"/>
          <w:sz w:val="28"/>
        </w:rPr>
        <w:t>两减六治三提升</w:t>
      </w:r>
      <w:r>
        <w:rPr>
          <w:rFonts w:hint="default" w:ascii="Times New Roman" w:hAnsi="Times New Roman" w:eastAsia="Times New Roman"/>
          <w:color w:val="000000"/>
          <w:sz w:val="28"/>
        </w:rPr>
        <w:t>”</w:t>
      </w:r>
      <w:r>
        <w:rPr>
          <w:rFonts w:hint="default" w:ascii="宋体" w:hAnsi="宋体" w:eastAsia="宋体"/>
          <w:color w:val="000000"/>
          <w:sz w:val="28"/>
        </w:rPr>
        <w:t>专项行动方案》，苏发</w:t>
      </w:r>
      <w:r>
        <w:rPr>
          <w:rFonts w:hint="default" w:ascii="Times New Roman" w:hAnsi="Times New Roman" w:eastAsia="Times New Roman"/>
          <w:color w:val="000000"/>
          <w:sz w:val="28"/>
        </w:rPr>
        <w:t>[2016]47</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《江苏省排污口设置及规范化整治管理办法》</w:t>
      </w:r>
      <w:r>
        <w:rPr>
          <w:rFonts w:hint="eastAsia" w:ascii="Times New Roman" w:hAnsi="Times New Roman"/>
          <w:lang w:eastAsia="zh-CN"/>
        </w:rPr>
        <w:t>，</w:t>
      </w:r>
      <w:r>
        <w:rPr>
          <w:rFonts w:ascii="Times New Roman" w:hAnsi="Times New Roman"/>
          <w:lang w:eastAsia="zh-CN"/>
        </w:rPr>
        <w:t>苏环控[</w:t>
      </w:r>
      <w:r>
        <w:rPr>
          <w:rFonts w:hint="eastAsia" w:ascii="Times New Roman" w:hAnsi="Times New Roman"/>
          <w:lang w:val="en-US" w:eastAsia="zh-CN"/>
        </w:rPr>
        <w:t>19</w:t>
      </w:r>
      <w:r>
        <w:rPr>
          <w:rFonts w:ascii="Times New Roman" w:hAnsi="Times New Roman"/>
          <w:lang w:eastAsia="zh-CN"/>
        </w:rPr>
        <w:t>97]122号；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《江苏省工业和信息产业结构调整指导目录（2012年本）》</w:t>
      </w:r>
      <w:r>
        <w:rPr>
          <w:rFonts w:hint="eastAsia" w:ascii="Times New Roman" w:hAnsi="Times New Roman"/>
          <w:lang w:eastAsia="zh-CN"/>
        </w:rPr>
        <w:t>，</w:t>
      </w:r>
      <w:r>
        <w:rPr>
          <w:rFonts w:ascii="Times New Roman" w:hAnsi="Times New Roman"/>
          <w:lang w:eastAsia="zh-CN"/>
        </w:rPr>
        <w:t>苏政办发[2013]9号</w:t>
      </w:r>
      <w:r>
        <w:rPr>
          <w:rFonts w:hint="eastAsia" w:ascii="Times New Roman" w:hAnsi="Times New Roman"/>
          <w:lang w:eastAsia="zh-CN"/>
        </w:rPr>
        <w:t>；</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《关于修改&lt;江苏省工业和信息产业结构调整指导目录(2012年本)&gt;部分条目的通知》</w:t>
      </w:r>
      <w:r>
        <w:rPr>
          <w:rFonts w:hint="eastAsia" w:ascii="Times New Roman" w:hAnsi="Times New Roman"/>
          <w:lang w:eastAsia="zh-CN"/>
        </w:rPr>
        <w:t>，</w:t>
      </w:r>
      <w:r>
        <w:rPr>
          <w:rFonts w:ascii="Times New Roman" w:hAnsi="Times New Roman"/>
          <w:lang w:eastAsia="zh-CN"/>
        </w:rPr>
        <w:t>苏经信产业[2013]183号</w:t>
      </w:r>
      <w:r>
        <w:rPr>
          <w:rFonts w:hint="eastAsia" w:ascii="Times New Roman" w:hAnsi="Times New Roman"/>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lang w:eastAsia="zh-CN"/>
        </w:rPr>
        <w:t>《江苏省工业和信息产业结构调整限制淘汰目录和能耗限额的通知》，苏政办发[2015]118号；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hint="default" w:ascii="宋体" w:hAnsi="宋体" w:eastAsia="宋体"/>
          <w:color w:val="000000"/>
          <w:sz w:val="28"/>
        </w:rPr>
        <w:t>《省生态环境厅关于进一步做好建设项目环评审批工作的通知》</w:t>
      </w:r>
      <w:r>
        <w:rPr>
          <w:rFonts w:hint="eastAsia" w:ascii="宋体" w:hAnsi="宋体"/>
          <w:color w:val="000000"/>
          <w:sz w:val="28"/>
          <w:lang w:eastAsia="zh-CN"/>
        </w:rPr>
        <w:t>，</w:t>
      </w:r>
      <w:r>
        <w:rPr>
          <w:rFonts w:hint="default" w:ascii="宋体" w:hAnsi="宋体" w:eastAsia="宋体"/>
          <w:color w:val="000000"/>
          <w:sz w:val="28"/>
        </w:rPr>
        <w:t>苏环办</w:t>
      </w:r>
      <w:r>
        <w:rPr>
          <w:rFonts w:hint="default" w:ascii="Times New Roman" w:hAnsi="Times New Roman" w:eastAsia="Times New Roman"/>
          <w:color w:val="000000"/>
          <w:sz w:val="28"/>
        </w:rPr>
        <w:t>[2019]36</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《关于加强环境影响评价现状监测管理的通知》，苏环办</w:t>
      </w:r>
      <w:r>
        <w:rPr>
          <w:rFonts w:hint="default" w:ascii="Times New Roman" w:hAnsi="Times New Roman" w:eastAsia="Times New Roman"/>
          <w:color w:val="000000"/>
          <w:sz w:val="28"/>
        </w:rPr>
        <w:t>[2016]185</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《省生态环境厅关于进一步加强排污单位自行监测质量管理的通知》，苏环办</w:t>
      </w:r>
      <w:r>
        <w:rPr>
          <w:rFonts w:hint="default" w:ascii="Times New Roman" w:hAnsi="Times New Roman" w:eastAsia="Times New Roman"/>
          <w:color w:val="000000"/>
          <w:sz w:val="28"/>
        </w:rPr>
        <w:t>[2019]93</w:t>
      </w:r>
      <w:r>
        <w:rPr>
          <w:rFonts w:hint="eastAsia" w:ascii="Times New Roman" w:hAnsi="Times New Roman"/>
          <w:color w:val="000000"/>
          <w:sz w:val="28"/>
          <w:lang w:eastAsia="zh-CN"/>
        </w:rPr>
        <w:t>号；</w:t>
      </w:r>
    </w:p>
    <w:p>
      <w:pPr>
        <w:numPr>
          <w:ilvl w:val="0"/>
          <w:numId w:val="5"/>
        </w:numPr>
        <w:tabs>
          <w:tab w:val="left" w:pos="1080"/>
        </w:tabs>
        <w:adjustRightInd w:val="0"/>
        <w:snapToGrid w:val="0"/>
        <w:spacing w:line="360" w:lineRule="auto"/>
        <w:ind w:left="0" w:firstLine="560" w:firstLineChars="200"/>
        <w:jc w:val="both"/>
        <w:rPr>
          <w:rFonts w:ascii="Times New Roman" w:hAnsi="Times New Roman"/>
          <w:lang w:eastAsia="zh-CN"/>
        </w:rPr>
      </w:pPr>
      <w:r>
        <w:rPr>
          <w:rFonts w:ascii="Times New Roman" w:hAnsi="Times New Roman"/>
          <w:lang w:eastAsia="zh-CN"/>
        </w:rPr>
        <w:t>《关于印发江苏省建设项目主要污染物排放总量区域平衡方案审核管理办法的通知》（苏环办[2011]71号），江苏省环境保护厅，2011年3月17日；</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lang w:eastAsia="zh-CN"/>
        </w:rPr>
        <w:t>《</w:t>
      </w:r>
      <w:r>
        <w:rPr>
          <w:rFonts w:hint="eastAsia" w:ascii="Times New Roman" w:hAnsi="Times New Roman"/>
          <w:bCs/>
          <w:lang w:eastAsia="zh-CN"/>
        </w:rPr>
        <w:t>关于切实加强建设项目环境保护公众参与的意见</w:t>
      </w:r>
      <w:r>
        <w:rPr>
          <w:rFonts w:hint="eastAsia" w:ascii="Times New Roman" w:hAnsi="Times New Roman"/>
          <w:lang w:eastAsia="zh-CN"/>
        </w:rPr>
        <w:t>》，苏环规[2012]4号；</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lang w:eastAsia="zh-CN"/>
        </w:rPr>
        <w:t>《江苏省环境保护公众参与办法（试行）》，苏环规[2016]1号文，2016年11月28日；</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lang w:eastAsia="zh-CN"/>
        </w:rPr>
        <w:t>《江苏省突发环境事件应急预案编制导则（试行）》（企业事业单位版）；</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《关于印发连云港市环境保护局</w:t>
      </w:r>
      <w:r>
        <w:rPr>
          <w:rFonts w:hint="default" w:ascii="Times New Roman" w:hAnsi="Times New Roman" w:eastAsia="Times New Roman"/>
          <w:color w:val="000000"/>
          <w:sz w:val="28"/>
        </w:rPr>
        <w:t>&lt;</w:t>
      </w:r>
      <w:r>
        <w:rPr>
          <w:rFonts w:hint="default" w:ascii="宋体" w:hAnsi="宋体" w:eastAsia="宋体"/>
          <w:color w:val="000000"/>
          <w:sz w:val="28"/>
        </w:rPr>
        <w:t>建设项目环境影响评价政府信息公开指南（试行）</w:t>
      </w:r>
      <w:r>
        <w:rPr>
          <w:rFonts w:hint="default" w:ascii="Times New Roman" w:hAnsi="Times New Roman" w:eastAsia="Times New Roman"/>
          <w:color w:val="000000"/>
          <w:sz w:val="28"/>
        </w:rPr>
        <w:t>&gt;</w:t>
      </w:r>
      <w:r>
        <w:rPr>
          <w:rFonts w:hint="default" w:ascii="宋体" w:hAnsi="宋体" w:eastAsia="宋体"/>
          <w:color w:val="000000"/>
          <w:sz w:val="28"/>
        </w:rPr>
        <w:t>工作规程的通知》，连环发</w:t>
      </w:r>
      <w:r>
        <w:rPr>
          <w:rFonts w:hint="default" w:ascii="Times New Roman" w:hAnsi="Times New Roman" w:eastAsia="Times New Roman"/>
          <w:color w:val="000000"/>
          <w:sz w:val="28"/>
        </w:rPr>
        <w:t>[2014]46</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《市政府关于印发连云港市水污染防治工作方案的通知》，连政发〔</w:t>
      </w:r>
      <w:r>
        <w:rPr>
          <w:rFonts w:hint="eastAsia" w:ascii="Times New Roman" w:hAnsi="Times New Roman" w:eastAsia="Times New Roman"/>
          <w:color w:val="000000"/>
          <w:sz w:val="28"/>
        </w:rPr>
        <w:t>2016</w:t>
      </w:r>
      <w:r>
        <w:rPr>
          <w:rFonts w:hint="default" w:ascii="宋体" w:hAnsi="宋体" w:eastAsia="宋体"/>
          <w:color w:val="000000"/>
          <w:sz w:val="28"/>
        </w:rPr>
        <w:t>〕</w:t>
      </w:r>
      <w:r>
        <w:rPr>
          <w:rFonts w:hint="eastAsia" w:ascii="Times New Roman" w:hAnsi="Times New Roman" w:eastAsia="Times New Roman"/>
          <w:color w:val="000000"/>
          <w:sz w:val="28"/>
        </w:rPr>
        <w:t>69</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eastAsia="Times New Roman"/>
          <w:color w:val="000000"/>
          <w:sz w:val="28"/>
        </w:rPr>
        <w:t xml:space="preserve"> </w:t>
      </w:r>
      <w:r>
        <w:rPr>
          <w:rFonts w:hint="default" w:ascii="宋体" w:hAnsi="宋体" w:eastAsia="宋体"/>
          <w:color w:val="000000"/>
          <w:sz w:val="28"/>
        </w:rPr>
        <w:t>《市政府关于印发连云港市土壤污染防治工作方案的通知》连政发〔</w:t>
      </w:r>
      <w:r>
        <w:rPr>
          <w:rFonts w:hint="eastAsia" w:ascii="Times New Roman" w:hAnsi="Times New Roman" w:eastAsia="Times New Roman"/>
          <w:color w:val="000000"/>
          <w:sz w:val="28"/>
        </w:rPr>
        <w:t>2017</w:t>
      </w:r>
      <w:r>
        <w:rPr>
          <w:rFonts w:hint="default" w:ascii="宋体" w:hAnsi="宋体" w:eastAsia="宋体"/>
          <w:color w:val="000000"/>
          <w:sz w:val="28"/>
        </w:rPr>
        <w:t>〕</w:t>
      </w:r>
      <w:r>
        <w:rPr>
          <w:rFonts w:hint="eastAsia" w:ascii="Times New Roman" w:hAnsi="Times New Roman" w:eastAsia="Times New Roman"/>
          <w:color w:val="000000"/>
          <w:sz w:val="28"/>
        </w:rPr>
        <w:t>35</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《关于印发连云港市环境影响评价现状监测管理实施细则</w:t>
      </w:r>
      <w:r>
        <w:rPr>
          <w:rFonts w:hint="eastAsia" w:ascii="Times New Roman" w:hAnsi="Times New Roman" w:eastAsia="Times New Roman"/>
          <w:color w:val="000000"/>
          <w:sz w:val="28"/>
        </w:rPr>
        <w:t>(</w:t>
      </w:r>
      <w:r>
        <w:rPr>
          <w:rFonts w:hint="default" w:ascii="宋体" w:hAnsi="宋体" w:eastAsia="宋体"/>
          <w:color w:val="000000"/>
          <w:sz w:val="28"/>
        </w:rPr>
        <w:t>试行</w:t>
      </w:r>
      <w:r>
        <w:rPr>
          <w:rFonts w:hint="eastAsia" w:ascii="Times New Roman" w:hAnsi="Times New Roman" w:eastAsia="Times New Roman"/>
          <w:color w:val="000000"/>
          <w:sz w:val="28"/>
        </w:rPr>
        <w:t>)</w:t>
      </w:r>
      <w:r>
        <w:rPr>
          <w:rFonts w:hint="default" w:ascii="宋体" w:hAnsi="宋体" w:eastAsia="宋体"/>
          <w:color w:val="000000"/>
          <w:sz w:val="28"/>
        </w:rPr>
        <w:t>的通知》，连环办</w:t>
      </w:r>
      <w:r>
        <w:rPr>
          <w:rFonts w:hint="eastAsia" w:ascii="Times New Roman" w:hAnsi="Times New Roman" w:eastAsia="Times New Roman"/>
          <w:color w:val="000000"/>
          <w:sz w:val="28"/>
        </w:rPr>
        <w:t>[2017]1</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《关于印发连云港市基于空间控制单元的环境准入制度及负面清单管理办法（试行）的通知》，连政办发</w:t>
      </w:r>
      <w:r>
        <w:rPr>
          <w:rFonts w:hint="eastAsia" w:ascii="Times New Roman" w:hAnsi="Times New Roman" w:eastAsia="Times New Roman"/>
          <w:color w:val="000000"/>
          <w:sz w:val="28"/>
        </w:rPr>
        <w:t>[2018]9</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eastAsia" w:ascii="Times New Roman" w:hAnsi="Times New Roman" w:eastAsia="Times New Roman"/>
          <w:color w:val="000000"/>
          <w:sz w:val="28"/>
        </w:rPr>
        <w:t xml:space="preserve"> </w:t>
      </w:r>
      <w:r>
        <w:rPr>
          <w:rFonts w:hint="default" w:ascii="宋体" w:hAnsi="宋体" w:eastAsia="宋体"/>
          <w:color w:val="000000"/>
          <w:sz w:val="28"/>
        </w:rPr>
        <w:t>《市政府办公室关于印发连云港市生态环境管理底图的通知》，连政办发〔</w:t>
      </w:r>
      <w:r>
        <w:rPr>
          <w:rFonts w:hint="eastAsia" w:ascii="Times New Roman" w:hAnsi="Times New Roman" w:eastAsia="Times New Roman"/>
          <w:color w:val="000000"/>
          <w:sz w:val="28"/>
        </w:rPr>
        <w:t>2017</w:t>
      </w:r>
      <w:r>
        <w:rPr>
          <w:rFonts w:hint="default" w:ascii="宋体" w:hAnsi="宋体" w:eastAsia="宋体"/>
          <w:color w:val="000000"/>
          <w:sz w:val="28"/>
        </w:rPr>
        <w:t>〕</w:t>
      </w:r>
      <w:r>
        <w:rPr>
          <w:rFonts w:hint="eastAsia" w:ascii="Times New Roman" w:hAnsi="Times New Roman" w:eastAsia="Times New Roman"/>
          <w:color w:val="000000"/>
          <w:sz w:val="28"/>
        </w:rPr>
        <w:t>188</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《市政府办公室关于印发连云港市资源利用上线管理办法（试行）的通知》，连政办发</w:t>
      </w:r>
      <w:r>
        <w:rPr>
          <w:rFonts w:hint="eastAsia" w:ascii="Times New Roman" w:hAnsi="Times New Roman" w:eastAsia="Times New Roman"/>
          <w:color w:val="000000"/>
          <w:sz w:val="28"/>
        </w:rPr>
        <w:t>[2018]37</w:t>
      </w:r>
      <w:r>
        <w:rPr>
          <w:rFonts w:hint="default" w:ascii="宋体" w:hAnsi="宋体" w:eastAsia="宋体"/>
          <w:color w:val="000000"/>
          <w:sz w:val="28"/>
        </w:rPr>
        <w:t>号</w:t>
      </w:r>
      <w:r>
        <w:rPr>
          <w:rFonts w:hint="eastAsia" w:ascii="宋体" w:hAnsi="宋体"/>
          <w:color w:val="000000"/>
          <w:sz w:val="28"/>
          <w:lang w:eastAsia="zh-CN"/>
        </w:rPr>
        <w:t>；</w:t>
      </w:r>
    </w:p>
    <w:p>
      <w:pPr>
        <w:numPr>
          <w:ilvl w:val="0"/>
          <w:numId w:val="5"/>
        </w:numPr>
        <w:tabs>
          <w:tab w:val="left" w:pos="1080"/>
        </w:tabs>
        <w:adjustRightInd w:val="0"/>
        <w:snapToGrid w:val="0"/>
        <w:spacing w:line="360" w:lineRule="auto"/>
        <w:ind w:left="0" w:firstLine="560" w:firstLineChars="200"/>
        <w:jc w:val="both"/>
        <w:rPr>
          <w:rFonts w:hint="eastAsia" w:ascii="Times New Roman" w:hAnsi="Times New Roman"/>
          <w:lang w:eastAsia="zh-CN"/>
        </w:rPr>
      </w:pPr>
      <w:r>
        <w:rPr>
          <w:rFonts w:hint="default" w:ascii="宋体" w:hAnsi="宋体" w:eastAsia="宋体"/>
          <w:color w:val="000000"/>
          <w:sz w:val="28"/>
        </w:rPr>
        <w:t>《市政府办公室关于印发连云港市环境质量底线管理办法（试行）的通知》，连政办发</w:t>
      </w:r>
      <w:r>
        <w:rPr>
          <w:rFonts w:hint="eastAsia" w:ascii="Times New Roman" w:hAnsi="Times New Roman" w:eastAsia="Times New Roman"/>
          <w:color w:val="000000"/>
          <w:sz w:val="28"/>
        </w:rPr>
        <w:t>[2018]3</w:t>
      </w:r>
      <w:r>
        <w:rPr>
          <w:rFonts w:hint="eastAsia" w:ascii="Times New Roman" w:hAnsi="Times New Roman"/>
          <w:color w:val="000000"/>
          <w:sz w:val="28"/>
          <w:lang w:val="en-US" w:eastAsia="zh-CN"/>
        </w:rPr>
        <w:t>8号。</w:t>
      </w:r>
    </w:p>
    <w:p>
      <w:pPr>
        <w:pStyle w:val="5"/>
        <w:bidi w:val="0"/>
      </w:pPr>
      <w:bookmarkStart w:id="17" w:name="_Toc322259557"/>
      <w:bookmarkStart w:id="18" w:name="_Toc353473345"/>
      <w:bookmarkStart w:id="19" w:name="_Toc51592645"/>
      <w:bookmarkStart w:id="20" w:name="_Toc317838732"/>
      <w:r>
        <w:t>2.1.</w:t>
      </w:r>
      <w:r>
        <w:rPr>
          <w:rFonts w:hint="eastAsia"/>
          <w:lang w:val="en-US" w:eastAsia="zh-CN"/>
        </w:rPr>
        <w:t>3</w:t>
      </w:r>
      <w:r>
        <w:rPr>
          <w:lang w:eastAsia="zh-CN"/>
        </w:rPr>
        <w:t xml:space="preserve">  </w:t>
      </w:r>
      <w:r>
        <w:t>有关技术导则</w:t>
      </w:r>
      <w:bookmarkEnd w:id="17"/>
      <w:bookmarkEnd w:id="18"/>
      <w:bookmarkEnd w:id="19"/>
      <w:bookmarkEnd w:id="20"/>
    </w:p>
    <w:p>
      <w:pPr>
        <w:bidi w:val="0"/>
        <w:rPr>
          <w:lang w:eastAsia="zh-CN"/>
        </w:rPr>
      </w:pPr>
      <w:r>
        <w:rPr>
          <w:lang w:eastAsia="zh-CN"/>
        </w:rPr>
        <w:fldChar w:fldCharType="begin"/>
      </w:r>
      <w:r>
        <w:rPr>
          <w:lang w:eastAsia="zh-CN"/>
        </w:rPr>
        <w:instrText xml:space="preserve"> = 1 \* GB2 \* MERGEFORMAT </w:instrText>
      </w:r>
      <w:r>
        <w:rPr>
          <w:lang w:eastAsia="zh-CN"/>
        </w:rPr>
        <w:fldChar w:fldCharType="separate"/>
      </w:r>
      <w:r>
        <w:t>⑴</w:t>
      </w:r>
      <w:r>
        <w:rPr>
          <w:lang w:eastAsia="zh-CN"/>
        </w:rPr>
        <w:fldChar w:fldCharType="end"/>
      </w:r>
      <w:r>
        <w:rPr>
          <w:lang w:eastAsia="zh-CN"/>
        </w:rPr>
        <w:t>《环境影响评价技术导则—总纲》（HJ 2.1-201</w:t>
      </w:r>
      <w:r>
        <w:rPr>
          <w:rFonts w:hint="eastAsia"/>
          <w:lang w:eastAsia="zh-CN"/>
        </w:rPr>
        <w:t>6</w:t>
      </w:r>
      <w:r>
        <w:rPr>
          <w:lang w:eastAsia="zh-CN"/>
        </w:rPr>
        <w:t>）；</w:t>
      </w:r>
    </w:p>
    <w:p>
      <w:pPr>
        <w:bidi w:val="0"/>
        <w:rPr>
          <w:lang w:eastAsia="zh-CN"/>
        </w:rPr>
      </w:pPr>
      <w:r>
        <w:rPr>
          <w:lang w:eastAsia="zh-CN"/>
        </w:rPr>
        <w:fldChar w:fldCharType="begin"/>
      </w:r>
      <w:r>
        <w:rPr>
          <w:lang w:eastAsia="zh-CN"/>
        </w:rPr>
        <w:instrText xml:space="preserve"> = 2 \* GB2 \* MERGEFORMAT </w:instrText>
      </w:r>
      <w:r>
        <w:rPr>
          <w:lang w:eastAsia="zh-CN"/>
        </w:rPr>
        <w:fldChar w:fldCharType="separate"/>
      </w:r>
      <w:r>
        <w:t>⑵</w:t>
      </w:r>
      <w:r>
        <w:rPr>
          <w:lang w:eastAsia="zh-CN"/>
        </w:rPr>
        <w:fldChar w:fldCharType="end"/>
      </w:r>
      <w:r>
        <w:rPr>
          <w:lang w:eastAsia="zh-CN"/>
        </w:rPr>
        <w:t>《环境影响评价技术导则—大气环境》（HJ 2.2-20</w:t>
      </w:r>
      <w:r>
        <w:rPr>
          <w:rFonts w:hint="eastAsia"/>
          <w:lang w:val="en-US" w:eastAsia="zh-CN"/>
        </w:rPr>
        <w:t>18</w:t>
      </w:r>
      <w:r>
        <w:rPr>
          <w:lang w:eastAsia="zh-CN"/>
        </w:rPr>
        <w:t>）；</w:t>
      </w:r>
    </w:p>
    <w:p>
      <w:pPr>
        <w:bidi w:val="0"/>
        <w:rPr>
          <w:lang w:eastAsia="zh-CN"/>
        </w:rPr>
      </w:pPr>
      <w:r>
        <w:rPr>
          <w:lang w:eastAsia="zh-CN"/>
        </w:rPr>
        <w:fldChar w:fldCharType="begin"/>
      </w:r>
      <w:r>
        <w:rPr>
          <w:lang w:eastAsia="zh-CN"/>
        </w:rPr>
        <w:instrText xml:space="preserve"> = 3 \* GB2 \* MERGEFORMAT </w:instrText>
      </w:r>
      <w:r>
        <w:rPr>
          <w:lang w:eastAsia="zh-CN"/>
        </w:rPr>
        <w:fldChar w:fldCharType="separate"/>
      </w:r>
      <w:r>
        <w:t>⑶</w:t>
      </w:r>
      <w:r>
        <w:rPr>
          <w:lang w:eastAsia="zh-CN"/>
        </w:rPr>
        <w:fldChar w:fldCharType="end"/>
      </w:r>
      <w:r>
        <w:rPr>
          <w:lang w:eastAsia="zh-CN"/>
        </w:rPr>
        <w:t>《环境影响评价技术导则—地</w:t>
      </w:r>
      <w:r>
        <w:rPr>
          <w:rFonts w:hint="eastAsia"/>
          <w:lang w:eastAsia="zh-CN"/>
        </w:rPr>
        <w:t>表</w:t>
      </w:r>
      <w:r>
        <w:rPr>
          <w:lang w:eastAsia="zh-CN"/>
        </w:rPr>
        <w:t>水环境》（HJ/T2.3-</w:t>
      </w:r>
      <w:r>
        <w:rPr>
          <w:rFonts w:hint="eastAsia"/>
          <w:lang w:val="en-US" w:eastAsia="zh-CN"/>
        </w:rPr>
        <w:t>2018</w:t>
      </w:r>
      <w:r>
        <w:rPr>
          <w:lang w:eastAsia="zh-CN"/>
        </w:rPr>
        <w:t>）；</w:t>
      </w:r>
    </w:p>
    <w:p>
      <w:pPr>
        <w:bidi w:val="0"/>
        <w:rPr>
          <w:lang w:eastAsia="zh-CN"/>
        </w:rPr>
      </w:pPr>
      <w:r>
        <w:rPr>
          <w:lang w:eastAsia="zh-CN"/>
        </w:rPr>
        <w:fldChar w:fldCharType="begin"/>
      </w:r>
      <w:r>
        <w:rPr>
          <w:lang w:eastAsia="zh-CN"/>
        </w:rPr>
        <w:instrText xml:space="preserve"> = 4 \* GB2 \* MERGEFORMAT </w:instrText>
      </w:r>
      <w:r>
        <w:rPr>
          <w:lang w:eastAsia="zh-CN"/>
        </w:rPr>
        <w:fldChar w:fldCharType="separate"/>
      </w:r>
      <w:r>
        <w:t>⑷</w:t>
      </w:r>
      <w:r>
        <w:rPr>
          <w:lang w:eastAsia="zh-CN"/>
        </w:rPr>
        <w:fldChar w:fldCharType="end"/>
      </w:r>
      <w:r>
        <w:rPr>
          <w:lang w:eastAsia="zh-CN"/>
        </w:rPr>
        <w:t>《环境影响评价技术导则—声环境》（HJ 2.4-2009）；</w:t>
      </w:r>
    </w:p>
    <w:p>
      <w:pPr>
        <w:bidi w:val="0"/>
        <w:rPr>
          <w:rFonts w:hint="default"/>
          <w:lang w:val="en-US" w:eastAsia="zh-CN"/>
        </w:rPr>
      </w:pPr>
      <w:r>
        <w:rPr>
          <w:rFonts w:hint="eastAsia"/>
          <w:lang w:eastAsia="zh-CN"/>
        </w:rPr>
        <w:fldChar w:fldCharType="begin"/>
      </w:r>
      <w:r>
        <w:rPr>
          <w:rFonts w:hint="eastAsia"/>
          <w:lang w:eastAsia="zh-CN"/>
        </w:rPr>
        <w:instrText xml:space="preserve"> = 5 \* GB2 \* MERGEFORMAT </w:instrText>
      </w:r>
      <w:r>
        <w:rPr>
          <w:rFonts w:hint="eastAsia"/>
          <w:lang w:eastAsia="zh-CN"/>
        </w:rPr>
        <w:fldChar w:fldCharType="separate"/>
      </w:r>
      <w:r>
        <w:t>⑸</w:t>
      </w:r>
      <w:r>
        <w:rPr>
          <w:rFonts w:hint="eastAsia"/>
          <w:lang w:eastAsia="zh-CN"/>
        </w:rPr>
        <w:fldChar w:fldCharType="end"/>
      </w:r>
      <w:r>
        <w:rPr>
          <w:lang w:eastAsia="zh-CN"/>
        </w:rPr>
        <w:t>《环境影响评价技术导则—</w:t>
      </w:r>
      <w:r>
        <w:rPr>
          <w:rFonts w:hint="eastAsia"/>
          <w:lang w:eastAsia="zh-CN"/>
        </w:rPr>
        <w:t>土壤</w:t>
      </w:r>
      <w:r>
        <w:rPr>
          <w:lang w:eastAsia="zh-CN"/>
        </w:rPr>
        <w:t xml:space="preserve">环境》（HJ </w:t>
      </w:r>
      <w:r>
        <w:rPr>
          <w:rFonts w:hint="eastAsia"/>
          <w:lang w:val="en-US" w:eastAsia="zh-CN"/>
        </w:rPr>
        <w:t>964-2018</w:t>
      </w:r>
      <w:r>
        <w:rPr>
          <w:lang w:eastAsia="zh-CN"/>
        </w:rPr>
        <w:t>）</w:t>
      </w:r>
    </w:p>
    <w:p>
      <w:pPr>
        <w:bidi w:val="0"/>
        <w:rPr>
          <w:lang w:eastAsia="zh-CN"/>
        </w:rPr>
      </w:pPr>
      <w:r>
        <w:rPr>
          <w:lang w:eastAsia="zh-CN"/>
        </w:rPr>
        <w:fldChar w:fldCharType="begin"/>
      </w:r>
      <w:r>
        <w:rPr>
          <w:lang w:eastAsia="zh-CN"/>
        </w:rPr>
        <w:instrText xml:space="preserve"> = 6 \* GB2 \* MERGEFORMAT </w:instrText>
      </w:r>
      <w:r>
        <w:rPr>
          <w:lang w:eastAsia="zh-CN"/>
        </w:rPr>
        <w:fldChar w:fldCharType="separate"/>
      </w:r>
      <w:r>
        <w:t>⑹</w:t>
      </w:r>
      <w:r>
        <w:rPr>
          <w:lang w:eastAsia="zh-CN"/>
        </w:rPr>
        <w:fldChar w:fldCharType="end"/>
      </w:r>
      <w:r>
        <w:rPr>
          <w:lang w:eastAsia="zh-CN"/>
        </w:rPr>
        <w:t>《环境影响评价技术导则—地下水环境》（HJ 610-201</w:t>
      </w:r>
      <w:r>
        <w:rPr>
          <w:rFonts w:hint="eastAsia"/>
          <w:lang w:eastAsia="zh-CN"/>
        </w:rPr>
        <w:t>6</w:t>
      </w:r>
      <w:r>
        <w:rPr>
          <w:lang w:eastAsia="zh-CN"/>
        </w:rPr>
        <w:t>）；</w:t>
      </w:r>
    </w:p>
    <w:p>
      <w:pPr>
        <w:bidi w:val="0"/>
        <w:rPr>
          <w:lang w:eastAsia="zh-CN"/>
        </w:rPr>
      </w:pPr>
      <w:r>
        <w:rPr>
          <w:lang w:eastAsia="zh-CN"/>
        </w:rPr>
        <w:fldChar w:fldCharType="begin"/>
      </w:r>
      <w:r>
        <w:rPr>
          <w:lang w:eastAsia="zh-CN"/>
        </w:rPr>
        <w:instrText xml:space="preserve"> = 7 \* GB2 \* MERGEFORMAT </w:instrText>
      </w:r>
      <w:r>
        <w:rPr>
          <w:lang w:eastAsia="zh-CN"/>
        </w:rPr>
        <w:fldChar w:fldCharType="separate"/>
      </w:r>
      <w:r>
        <w:t>⑺</w:t>
      </w:r>
      <w:r>
        <w:rPr>
          <w:lang w:eastAsia="zh-CN"/>
        </w:rPr>
        <w:fldChar w:fldCharType="end"/>
      </w:r>
      <w:r>
        <w:rPr>
          <w:lang w:eastAsia="zh-CN"/>
        </w:rPr>
        <w:t>《环境影响评价技术导则—生态影响》（HJ 19-2011）；</w:t>
      </w:r>
    </w:p>
    <w:p>
      <w:pPr>
        <w:bidi w:val="0"/>
        <w:rPr>
          <w:lang w:eastAsia="zh-CN"/>
        </w:rPr>
      </w:pPr>
      <w:r>
        <w:rPr>
          <w:lang w:eastAsia="zh-CN"/>
        </w:rPr>
        <w:fldChar w:fldCharType="begin"/>
      </w:r>
      <w:r>
        <w:rPr>
          <w:lang w:eastAsia="zh-CN"/>
        </w:rPr>
        <w:instrText xml:space="preserve"> = 8 \* GB2 \* MERGEFORMAT </w:instrText>
      </w:r>
      <w:r>
        <w:rPr>
          <w:lang w:eastAsia="zh-CN"/>
        </w:rPr>
        <w:fldChar w:fldCharType="separate"/>
      </w:r>
      <w:r>
        <w:t>⑻</w:t>
      </w:r>
      <w:r>
        <w:rPr>
          <w:lang w:eastAsia="zh-CN"/>
        </w:rPr>
        <w:fldChar w:fldCharType="end"/>
      </w:r>
      <w:r>
        <w:rPr>
          <w:lang w:eastAsia="zh-CN"/>
        </w:rPr>
        <w:t>《建设项目环境风险评价技术导则》（HJ/T169-20</w:t>
      </w:r>
      <w:r>
        <w:rPr>
          <w:rFonts w:hint="eastAsia"/>
          <w:lang w:val="en-US" w:eastAsia="zh-CN"/>
        </w:rPr>
        <w:t>18</w:t>
      </w:r>
      <w:r>
        <w:rPr>
          <w:lang w:eastAsia="zh-CN"/>
        </w:rPr>
        <w:t>）；</w:t>
      </w:r>
    </w:p>
    <w:p>
      <w:pPr>
        <w:bidi w:val="0"/>
        <w:rPr>
          <w:rFonts w:hint="eastAsia"/>
          <w:lang w:eastAsia="zh-CN"/>
        </w:rPr>
      </w:pPr>
      <w:r>
        <w:rPr>
          <w:rFonts w:hint="eastAsia"/>
          <w:lang w:eastAsia="zh-CN"/>
        </w:rPr>
        <w:fldChar w:fldCharType="begin"/>
      </w:r>
      <w:r>
        <w:rPr>
          <w:rFonts w:hint="eastAsia"/>
          <w:lang w:eastAsia="zh-CN"/>
        </w:rPr>
        <w:instrText xml:space="preserve"> = 9 \* GB2 \* MERGEFORMAT </w:instrText>
      </w:r>
      <w:r>
        <w:rPr>
          <w:rFonts w:hint="eastAsia"/>
          <w:lang w:eastAsia="zh-CN"/>
        </w:rPr>
        <w:fldChar w:fldCharType="separate"/>
      </w:r>
      <w:r>
        <w:t>⑼</w:t>
      </w:r>
      <w:r>
        <w:rPr>
          <w:rFonts w:hint="eastAsia"/>
          <w:lang w:eastAsia="zh-CN"/>
        </w:rPr>
        <w:fldChar w:fldCharType="end"/>
      </w:r>
      <w:r>
        <w:rPr>
          <w:rFonts w:hint="default"/>
        </w:rPr>
        <w:t>《排污单位自行监测技术指南</w:t>
      </w:r>
      <w:r>
        <w:rPr>
          <w:rFonts w:hint="eastAsia"/>
          <w:lang w:val="en-US" w:eastAsia="zh-CN"/>
        </w:rPr>
        <w:t xml:space="preserve"> </w:t>
      </w:r>
      <w:r>
        <w:rPr>
          <w:rFonts w:hint="default"/>
        </w:rPr>
        <w:t>总则》</w:t>
      </w:r>
      <w:r>
        <w:rPr>
          <w:rFonts w:hint="eastAsia"/>
          <w:lang w:eastAsia="zh-CN"/>
        </w:rPr>
        <w:t>（</w:t>
      </w:r>
      <w:r>
        <w:rPr>
          <w:rFonts w:hint="default"/>
        </w:rPr>
        <w:t>HJ819-2017</w:t>
      </w:r>
      <w:r>
        <w:rPr>
          <w:rFonts w:hint="eastAsia"/>
          <w:lang w:eastAsia="zh-CN"/>
        </w:rPr>
        <w:t>）；</w:t>
      </w:r>
    </w:p>
    <w:p>
      <w:pPr>
        <w:bidi w:val="0"/>
        <w:rPr>
          <w:rFonts w:hint="eastAsia"/>
          <w:lang w:val="en-US" w:eastAsia="zh-CN"/>
        </w:rPr>
      </w:pPr>
      <w:r>
        <w:rPr>
          <w:rFonts w:hint="eastAsia"/>
          <w:lang w:eastAsia="zh-CN"/>
        </w:rPr>
        <w:fldChar w:fldCharType="begin"/>
      </w:r>
      <w:r>
        <w:rPr>
          <w:rFonts w:hint="eastAsia"/>
          <w:lang w:eastAsia="zh-CN"/>
        </w:rPr>
        <w:instrText xml:space="preserve"> = 10 \* GB2 \* MERGEFORMAT </w:instrText>
      </w:r>
      <w:r>
        <w:rPr>
          <w:rFonts w:hint="eastAsia"/>
          <w:lang w:eastAsia="zh-CN"/>
        </w:rPr>
        <w:fldChar w:fldCharType="separate"/>
      </w:r>
      <w:r>
        <w:t>⑽</w:t>
      </w:r>
      <w:r>
        <w:rPr>
          <w:rFonts w:hint="eastAsia"/>
          <w:lang w:eastAsia="zh-CN"/>
        </w:rPr>
        <w:fldChar w:fldCharType="end"/>
      </w:r>
      <w:r>
        <w:rPr>
          <w:rFonts w:hint="eastAsia"/>
          <w:lang w:val="en-US" w:eastAsia="zh-CN"/>
        </w:rPr>
        <w:t>《污染源源强核算技术指南 准则》（HJ884-2018)；</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11 \* GB2 \* MERGEFORMAT </w:instrText>
      </w:r>
      <w:r>
        <w:rPr>
          <w:rFonts w:hint="eastAsia"/>
          <w:lang w:val="en-US" w:eastAsia="zh-CN"/>
        </w:rPr>
        <w:fldChar w:fldCharType="separate"/>
      </w:r>
      <w:r>
        <w:t>⑾</w:t>
      </w:r>
      <w:r>
        <w:rPr>
          <w:rFonts w:hint="eastAsia"/>
          <w:lang w:val="en-US" w:eastAsia="zh-CN"/>
        </w:rPr>
        <w:fldChar w:fldCharType="end"/>
      </w:r>
      <w:r>
        <w:rPr>
          <w:rFonts w:hint="eastAsia"/>
          <w:lang w:val="en-US" w:eastAsia="zh-CN"/>
        </w:rPr>
        <w:t>《排污许可证申请与核发技术规范 石墨及其他非金属矿物制品制造》（HJ1119-2020)；</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12 \* GB2 \* MERGEFORMAT </w:instrText>
      </w:r>
      <w:r>
        <w:rPr>
          <w:rFonts w:hint="eastAsia"/>
          <w:lang w:val="en-US" w:eastAsia="zh-CN"/>
        </w:rPr>
        <w:fldChar w:fldCharType="separate"/>
      </w:r>
      <w:r>
        <w:t>⑿</w:t>
      </w:r>
      <w:r>
        <w:rPr>
          <w:rFonts w:hint="eastAsia"/>
          <w:lang w:val="en-US" w:eastAsia="zh-CN"/>
        </w:rPr>
        <w:fldChar w:fldCharType="end"/>
      </w:r>
      <w:r>
        <w:rPr>
          <w:rFonts w:hint="default"/>
          <w:lang w:val="en-US" w:eastAsia="zh-CN"/>
        </w:rPr>
        <w:t>《大气污染治理工程技术导则》（HJ2000-2010）</w:t>
      </w:r>
      <w:r>
        <w:rPr>
          <w:rFonts w:hint="eastAsia"/>
          <w:lang w:val="en-US" w:eastAsia="zh-CN"/>
        </w:rPr>
        <w:t>。</w:t>
      </w:r>
    </w:p>
    <w:p>
      <w:pPr>
        <w:pStyle w:val="5"/>
        <w:bidi w:val="0"/>
      </w:pPr>
      <w:bookmarkStart w:id="21" w:name="_Toc53372018"/>
      <w:bookmarkStart w:id="22" w:name="_Toc17618525"/>
      <w:bookmarkStart w:id="23" w:name="_Toc17531997"/>
      <w:bookmarkStart w:id="24" w:name="_Toc17880799"/>
      <w:bookmarkStart w:id="25" w:name="_Toc17531339"/>
      <w:bookmarkStart w:id="26" w:name="_Toc18141222"/>
      <w:bookmarkStart w:id="27" w:name="_Toc60545866"/>
      <w:bookmarkStart w:id="28" w:name="_Toc53737340"/>
      <w:bookmarkStart w:id="29" w:name="_Toc17881013"/>
      <w:bookmarkStart w:id="30" w:name="_Toc353473346"/>
      <w:bookmarkStart w:id="31" w:name="_Toc322259558"/>
      <w:bookmarkStart w:id="32" w:name="_Toc317838733"/>
      <w:r>
        <w:t>2.1.</w:t>
      </w:r>
      <w:r>
        <w:rPr>
          <w:rFonts w:hint="eastAsia"/>
          <w:lang w:val="en-US" w:eastAsia="zh-CN"/>
        </w:rPr>
        <w:t>4</w:t>
      </w:r>
      <w:r>
        <w:rPr>
          <w:lang w:eastAsia="zh-CN"/>
        </w:rPr>
        <w:t xml:space="preserve">  </w:t>
      </w:r>
      <w:r>
        <w:t>项目</w:t>
      </w:r>
      <w:bookmarkEnd w:id="21"/>
      <w:bookmarkEnd w:id="22"/>
      <w:bookmarkEnd w:id="23"/>
      <w:bookmarkEnd w:id="24"/>
      <w:bookmarkEnd w:id="25"/>
      <w:bookmarkEnd w:id="26"/>
      <w:bookmarkEnd w:id="27"/>
      <w:bookmarkEnd w:id="28"/>
      <w:bookmarkEnd w:id="29"/>
      <w:r>
        <w:t>有关技术文件</w:t>
      </w:r>
      <w:bookmarkEnd w:id="30"/>
      <w:bookmarkEnd w:id="31"/>
      <w:bookmarkEnd w:id="32"/>
    </w:p>
    <w:p>
      <w:pPr>
        <w:bidi w:val="0"/>
        <w:rPr>
          <w:rFonts w:hint="eastAsia"/>
          <w:lang w:eastAsia="zh-CN"/>
        </w:rPr>
      </w:pPr>
      <w:r>
        <w:rPr>
          <w:rFonts w:hint="eastAsia"/>
          <w:lang w:eastAsia="zh-CN"/>
        </w:rPr>
        <w:fldChar w:fldCharType="begin"/>
      </w:r>
      <w:r>
        <w:rPr>
          <w:rFonts w:hint="eastAsia"/>
          <w:lang w:eastAsia="zh-CN"/>
        </w:rPr>
        <w:instrText xml:space="preserve"> = 1 \* GB2 \* MERGEFORMAT </w:instrText>
      </w:r>
      <w:r>
        <w:rPr>
          <w:rFonts w:hint="eastAsia"/>
          <w:lang w:eastAsia="zh-CN"/>
        </w:rPr>
        <w:fldChar w:fldCharType="separate"/>
      </w:r>
      <w:r>
        <w:t>⑴</w:t>
      </w:r>
      <w:r>
        <w:rPr>
          <w:rFonts w:hint="eastAsia"/>
          <w:lang w:eastAsia="zh-CN"/>
        </w:rPr>
        <w:fldChar w:fldCharType="end"/>
      </w:r>
      <w:r>
        <w:rPr>
          <w:rFonts w:hint="eastAsia"/>
          <w:lang w:eastAsia="zh-CN"/>
        </w:rPr>
        <w:t>环境影响评价委托书；</w:t>
      </w:r>
    </w:p>
    <w:p>
      <w:pPr>
        <w:bidi w:val="0"/>
        <w:rPr>
          <w:rFonts w:hint="eastAsia"/>
          <w:lang w:eastAsia="zh-CN"/>
        </w:rPr>
      </w:pPr>
      <w:r>
        <w:rPr>
          <w:rFonts w:hint="eastAsia"/>
          <w:lang w:eastAsia="zh-CN"/>
        </w:rPr>
        <w:fldChar w:fldCharType="begin"/>
      </w:r>
      <w:r>
        <w:rPr>
          <w:rFonts w:hint="eastAsia"/>
          <w:lang w:eastAsia="zh-CN"/>
        </w:rPr>
        <w:instrText xml:space="preserve"> = 2 \* GB2 \* MERGEFORMAT </w:instrText>
      </w:r>
      <w:r>
        <w:rPr>
          <w:rFonts w:hint="eastAsia"/>
          <w:lang w:eastAsia="zh-CN"/>
        </w:rPr>
        <w:fldChar w:fldCharType="separate"/>
      </w:r>
      <w:r>
        <w:t>⑵</w:t>
      </w:r>
      <w:r>
        <w:rPr>
          <w:rFonts w:hint="eastAsia"/>
          <w:lang w:eastAsia="zh-CN"/>
        </w:rPr>
        <w:fldChar w:fldCharType="end"/>
      </w:r>
      <w:r>
        <w:rPr>
          <w:rFonts w:hint="eastAsia"/>
          <w:lang w:eastAsia="zh-CN"/>
        </w:rPr>
        <w:t>企业投资项目备案通知书；</w:t>
      </w:r>
    </w:p>
    <w:p>
      <w:pPr>
        <w:bidi w:val="0"/>
        <w:rPr>
          <w:rFonts w:hint="eastAsia"/>
          <w:lang w:eastAsia="zh-CN"/>
        </w:rPr>
      </w:pPr>
      <w:r>
        <w:rPr>
          <w:rFonts w:hint="eastAsia"/>
          <w:lang w:eastAsia="zh-CN"/>
        </w:rPr>
        <w:fldChar w:fldCharType="begin"/>
      </w:r>
      <w:r>
        <w:rPr>
          <w:rFonts w:hint="eastAsia"/>
          <w:lang w:eastAsia="zh-CN"/>
        </w:rPr>
        <w:instrText xml:space="preserve"> = 3 \* GB2 \* MERGEFORMAT </w:instrText>
      </w:r>
      <w:r>
        <w:rPr>
          <w:rFonts w:hint="eastAsia"/>
          <w:lang w:eastAsia="zh-CN"/>
        </w:rPr>
        <w:fldChar w:fldCharType="separate"/>
      </w:r>
      <w:r>
        <w:t>⑶</w:t>
      </w:r>
      <w:r>
        <w:rPr>
          <w:rFonts w:hint="eastAsia"/>
          <w:lang w:eastAsia="zh-CN"/>
        </w:rPr>
        <w:fldChar w:fldCharType="end"/>
      </w:r>
      <w:r>
        <w:rPr>
          <w:rFonts w:hint="eastAsia"/>
          <w:lang w:eastAsia="zh-CN"/>
        </w:rPr>
        <w:t>关于对《东海县青湖镇人民政府东海县青湖镇工业集中区控制性详细规划》环境影响报告书的审查意见，东环发</w:t>
      </w:r>
      <w:r>
        <w:rPr>
          <w:rFonts w:hint="eastAsia"/>
          <w:lang w:val="en-US" w:eastAsia="zh-CN"/>
        </w:rPr>
        <w:t>[2015]23号</w:t>
      </w:r>
      <w:r>
        <w:rPr>
          <w:rFonts w:hint="eastAsia"/>
          <w:lang w:eastAsia="zh-CN"/>
        </w:rPr>
        <w:t xml:space="preserve">； </w:t>
      </w:r>
    </w:p>
    <w:p>
      <w:pPr>
        <w:bidi w:val="0"/>
        <w:rPr>
          <w:rFonts w:hint="eastAsia"/>
          <w:lang w:eastAsia="zh-CN"/>
        </w:rPr>
      </w:pPr>
      <w:r>
        <w:rPr>
          <w:rFonts w:hint="eastAsia"/>
          <w:lang w:eastAsia="zh-CN"/>
        </w:rPr>
        <w:fldChar w:fldCharType="begin"/>
      </w:r>
      <w:r>
        <w:rPr>
          <w:rFonts w:hint="eastAsia"/>
          <w:lang w:eastAsia="zh-CN"/>
        </w:rPr>
        <w:instrText xml:space="preserve"> = 4 \* GB2 \* MERGEFORMAT </w:instrText>
      </w:r>
      <w:r>
        <w:rPr>
          <w:rFonts w:hint="eastAsia"/>
          <w:lang w:eastAsia="zh-CN"/>
        </w:rPr>
        <w:fldChar w:fldCharType="separate"/>
      </w:r>
      <w:r>
        <w:t>⑷</w:t>
      </w:r>
      <w:r>
        <w:rPr>
          <w:rFonts w:hint="eastAsia"/>
          <w:lang w:eastAsia="zh-CN"/>
        </w:rPr>
        <w:fldChar w:fldCharType="end"/>
      </w:r>
      <w:r>
        <w:rPr>
          <w:rFonts w:hint="eastAsia"/>
          <w:lang w:eastAsia="zh-CN"/>
        </w:rPr>
        <w:t>关于对《东海经济开发区西区中小企业园和东海县青湖镇工业集中区控制性详细规划》的批复，东政复</w:t>
      </w:r>
      <w:r>
        <w:rPr>
          <w:rFonts w:hint="eastAsia"/>
          <w:lang w:val="en-US" w:eastAsia="zh-CN"/>
        </w:rPr>
        <w:t>[</w:t>
      </w:r>
      <w:r>
        <w:rPr>
          <w:rFonts w:hint="eastAsia"/>
          <w:lang w:eastAsia="zh-CN"/>
        </w:rPr>
        <w:t>2012</w:t>
      </w:r>
      <w:r>
        <w:rPr>
          <w:rFonts w:hint="eastAsia"/>
          <w:lang w:val="en-US" w:eastAsia="zh-CN"/>
        </w:rPr>
        <w:t>]</w:t>
      </w:r>
      <w:r>
        <w:rPr>
          <w:rFonts w:hint="eastAsia"/>
          <w:lang w:eastAsia="zh-CN"/>
        </w:rPr>
        <w:t xml:space="preserve">3号； </w:t>
      </w:r>
    </w:p>
    <w:p>
      <w:pPr>
        <w:bidi w:val="0"/>
        <w:rPr>
          <w:rFonts w:hint="eastAsia"/>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eastAsia="zh-CN"/>
        </w:rPr>
        <w:fldChar w:fldCharType="begin"/>
      </w:r>
      <w:r>
        <w:rPr>
          <w:rFonts w:hint="eastAsia"/>
          <w:lang w:eastAsia="zh-CN"/>
        </w:rPr>
        <w:instrText xml:space="preserve"> = 5 \* GB2 \* MERGEFORMAT </w:instrText>
      </w:r>
      <w:r>
        <w:rPr>
          <w:rFonts w:hint="eastAsia"/>
          <w:lang w:eastAsia="zh-CN"/>
        </w:rPr>
        <w:fldChar w:fldCharType="separate"/>
      </w:r>
      <w:r>
        <w:t>⑸</w:t>
      </w:r>
      <w:r>
        <w:rPr>
          <w:rFonts w:hint="eastAsia"/>
          <w:lang w:eastAsia="zh-CN"/>
        </w:rPr>
        <w:fldChar w:fldCharType="end"/>
      </w:r>
      <w:r>
        <w:rPr>
          <w:rFonts w:hint="eastAsia"/>
          <w:lang w:eastAsia="zh-CN"/>
        </w:rPr>
        <w:t>项目可研报告及企业提供的其它资料。</w:t>
      </w:r>
    </w:p>
    <w:p>
      <w:pPr>
        <w:pStyle w:val="4"/>
        <w:bidi w:val="0"/>
        <w:rPr>
          <w:rFonts w:hint="eastAsia"/>
          <w:lang w:val="en-US" w:eastAsia="zh-CN"/>
        </w:rPr>
      </w:pPr>
      <w:bookmarkStart w:id="33" w:name="_Toc23564"/>
      <w:r>
        <w:rPr>
          <w:rFonts w:hint="eastAsia"/>
          <w:lang w:val="en-US" w:eastAsia="zh-CN"/>
        </w:rPr>
        <w:t>2.2 评价目的和工作原则</w:t>
      </w:r>
      <w:bookmarkEnd w:id="33"/>
    </w:p>
    <w:p>
      <w:pPr>
        <w:pStyle w:val="5"/>
        <w:bidi w:val="0"/>
        <w:rPr>
          <w:rFonts w:hint="eastAsia"/>
          <w:lang w:val="en-US" w:eastAsia="zh-CN"/>
        </w:rPr>
      </w:pPr>
      <w:r>
        <w:rPr>
          <w:rFonts w:hint="eastAsia"/>
          <w:lang w:val="en-US" w:eastAsia="zh-CN"/>
        </w:rPr>
        <w:t>2.2.1 评价目的</w:t>
      </w:r>
    </w:p>
    <w:p>
      <w:pPr>
        <w:bidi w:val="0"/>
        <w:rPr>
          <w:rFonts w:hint="default"/>
        </w:rPr>
      </w:pPr>
      <w:r>
        <w:rPr>
          <w:rFonts w:hint="default"/>
        </w:rPr>
        <w:t>通过环境现状调查和对项目工艺过程及污染源的分析，确定其主要污染因子和排放强度，分析预测项目对周围环境的影响程度和范围，从环境保护的角度论证项目的可行性，以及环保安全措施在技术上、经济上的先进性与合理性，进一步提出防治和减轻污染的对策和建议，为项目的决策、工程环保措施的设计和环境管理提供基础资料，为环境保护行政主管部门审批提供决策依据。</w:t>
      </w:r>
    </w:p>
    <w:p>
      <w:pPr>
        <w:pStyle w:val="5"/>
        <w:bidi w:val="0"/>
        <w:rPr>
          <w:rFonts w:hint="default"/>
          <w:lang w:val="en-US" w:eastAsia="zh-CN"/>
        </w:rPr>
      </w:pPr>
      <w:r>
        <w:rPr>
          <w:rFonts w:hint="eastAsia"/>
          <w:lang w:val="en-US" w:eastAsia="zh-CN"/>
        </w:rPr>
        <w:t>2.2.2 工作原则</w:t>
      </w:r>
    </w:p>
    <w:p>
      <w:pPr>
        <w:bidi w:val="0"/>
        <w:rPr>
          <w:rFonts w:hint="default"/>
        </w:rPr>
      </w:pPr>
      <w:r>
        <w:rPr>
          <w:rFonts w:hint="default"/>
        </w:rPr>
        <w:t>（1）根据建设项目环境保护管理的有关规定，坚持“依法评价、科学评价、突出重点”的原则。</w:t>
      </w:r>
    </w:p>
    <w:p>
      <w:pPr>
        <w:bidi w:val="0"/>
        <w:rPr>
          <w:rFonts w:hint="default"/>
        </w:rPr>
      </w:pPr>
      <w:r>
        <w:rPr>
          <w:rFonts w:hint="default"/>
        </w:rPr>
        <w:t>（2）贯彻“清洁生产”、“源头控制”的原则，做好工程分析，最大限度地减少污染物的产生量和排放量。根据建设项目环境保护管理的有关规定，贯彻“达标排放”的原则。通过对项目的工程分析，算清污染物“三本帐”，对环境风险进行识别，通过科学、规范的预测评价项目对环境的影响程度。</w:t>
      </w:r>
    </w:p>
    <w:p>
      <w:pPr>
        <w:bidi w:val="0"/>
        <w:rPr>
          <w:rFonts w:hint="default"/>
        </w:rPr>
      </w:pPr>
      <w:r>
        <w:rPr>
          <w:rFonts w:hint="default"/>
        </w:rPr>
        <w:t>（3）充分利用近年来项目所在地区取得的环境管理方面的成果，进行该项目的环境影响评价工作。</w:t>
      </w:r>
    </w:p>
    <w:p>
      <w:pPr>
        <w:bidi w:val="0"/>
        <w:rPr>
          <w:rFonts w:hint="default"/>
        </w:rPr>
      </w:pPr>
      <w:r>
        <w:rPr>
          <w:rFonts w:hint="default"/>
        </w:rPr>
        <w:t>（4）评价过程对环境保护措施的有效性进行充分论证，提出环境管理与监测要求，保证污染防治设施长期稳定运行、污染物达标排放。</w:t>
      </w:r>
    </w:p>
    <w:p>
      <w:pPr>
        <w:bidi w:val="0"/>
        <w:rPr>
          <w:rFonts w:hint="default"/>
        </w:rPr>
      </w:pPr>
      <w:r>
        <w:rPr>
          <w:rFonts w:hint="default"/>
        </w:rPr>
        <w:t>（5）通过环境影响评价为环境管理提供决策依据，为项目实施环保措施提供指导性意见。</w:t>
      </w:r>
    </w:p>
    <w:p>
      <w:pPr>
        <w:pStyle w:val="4"/>
        <w:bidi w:val="0"/>
        <w:rPr>
          <w:rFonts w:hint="eastAsia"/>
          <w:lang w:val="en-US" w:eastAsia="zh-CN"/>
        </w:rPr>
      </w:pPr>
      <w:bookmarkStart w:id="34" w:name="_Toc21921"/>
      <w:r>
        <w:rPr>
          <w:rFonts w:hint="eastAsia"/>
          <w:lang w:val="en-US" w:eastAsia="zh-CN"/>
        </w:rPr>
        <w:t>2.3 环境影响因素识别</w:t>
      </w:r>
      <w:bookmarkEnd w:id="34"/>
    </w:p>
    <w:p>
      <w:pPr>
        <w:pStyle w:val="27"/>
        <w:bidi w:val="0"/>
        <w:rPr>
          <w:rFonts w:hint="default"/>
        </w:rPr>
      </w:pPr>
      <w:r>
        <w:rPr>
          <w:rFonts w:hint="eastAsia"/>
          <w:lang w:val="en-US" w:eastAsia="zh-CN"/>
        </w:rPr>
        <w:t>表2.3</w:t>
      </w:r>
      <w:r>
        <w:rPr>
          <w:rFonts w:hint="default"/>
        </w:rPr>
        <w:t>环境影响因素识别</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834"/>
        <w:gridCol w:w="602"/>
        <w:gridCol w:w="602"/>
        <w:gridCol w:w="954"/>
        <w:gridCol w:w="1130"/>
        <w:gridCol w:w="778"/>
        <w:gridCol w:w="954"/>
        <w:gridCol w:w="951"/>
        <w:gridCol w:w="601"/>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工程阶段</w:t>
            </w:r>
          </w:p>
        </w:tc>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工程作用因素</w:t>
            </w:r>
          </w:p>
        </w:tc>
        <w:tc>
          <w:tcPr>
            <w:tcW w:w="0" w:type="auto"/>
            <w:gridSpan w:val="9"/>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工程引起的环境影响及影响程度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水文</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水质</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土壤污染</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地下水污染</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声环境</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空气环境</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陆生环境</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景观</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文物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建设期</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污水排放</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eastAsia" w:ascii="Times New Roman" w:hAnsi="Times New Roman" w:eastAsia="宋体" w:cs="Arial"/>
                <w:b w:val="0"/>
                <w:bCs/>
                <w:sz w:val="21"/>
                <w:lang w:val="en-US" w:eastAsia="zh-CN"/>
              </w:rPr>
              <w:t>废气排放</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固体废物排放</w:t>
            </w:r>
          </w:p>
        </w:tc>
        <w:tc>
          <w:tcPr>
            <w:tcW w:w="602"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2"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噪声</w:t>
            </w:r>
          </w:p>
        </w:tc>
        <w:tc>
          <w:tcPr>
            <w:tcW w:w="602"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2"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营运期</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bCs/>
                <w:kern w:val="2"/>
                <w:sz w:val="21"/>
                <w:szCs w:val="24"/>
                <w:lang w:val="en-US" w:eastAsia="zh-CN" w:bidi="ar-SA"/>
              </w:rPr>
            </w:pPr>
            <w:r>
              <w:rPr>
                <w:rFonts w:hint="eastAsia" w:ascii="Times New Roman" w:hAnsi="Times New Roman" w:eastAsia="宋体"/>
                <w:b w:val="0"/>
                <w:bCs/>
                <w:sz w:val="21"/>
                <w:lang w:val="en-US" w:eastAsia="zh-CN"/>
              </w:rPr>
              <w:t>污水排放</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bCs/>
                <w:kern w:val="2"/>
                <w:sz w:val="21"/>
                <w:szCs w:val="24"/>
                <w:lang w:val="en-US" w:eastAsia="zh-CN" w:bidi="ar-SA"/>
              </w:rPr>
            </w:pPr>
            <w:r>
              <w:rPr>
                <w:rFonts w:hint="eastAsia" w:ascii="Times New Roman" w:hAnsi="Times New Roman" w:eastAsia="宋体"/>
                <w:b w:val="0"/>
                <w:bCs/>
                <w:sz w:val="21"/>
                <w:lang w:val="en-US" w:eastAsia="zh-CN"/>
              </w:rPr>
              <w:t>废气排放</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固体废物处置和管理</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噪声</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Times New Roman"/>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ascii="Times New Roman" w:hAnsi="Times New Roman" w:eastAsia="宋体"/>
                <w:b w:val="0"/>
                <w:bCs/>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风险事故</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Δ</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sz w:val="21"/>
                <w:lang w:val="en-US" w:eastAsia="zh-CN"/>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b w:val="0"/>
                <w:bCs/>
                <w:sz w:val="21"/>
                <w:lang w:val="en-US" w:eastAsia="zh-CN"/>
              </w:rPr>
            </w:pPr>
            <w:r>
              <w:rPr>
                <w:rFonts w:hint="eastAsia" w:ascii="Times New Roman" w:hAnsi="Times New Roman" w:eastAsia="宋体"/>
                <w:b w:val="0"/>
                <w:bCs/>
                <w:sz w:val="21"/>
                <w:lang w:val="en-US" w:eastAsia="zh-CN"/>
              </w:rPr>
              <w:t>项目总体影响</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Δ</w:t>
            </w:r>
          </w:p>
        </w:tc>
        <w:tc>
          <w:tcPr>
            <w:tcW w:w="95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601" w:type="dxa"/>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Arial"/>
                <w:b w:val="0"/>
                <w:bCs/>
                <w:kern w:val="2"/>
                <w:sz w:val="21"/>
                <w:szCs w:val="24"/>
                <w:lang w:val="en-US" w:eastAsia="zh-CN" w:bidi="ar-SA"/>
              </w:rPr>
            </w:pPr>
            <w:r>
              <w:rPr>
                <w:rFonts w:hint="default" w:ascii="Times New Roman" w:hAnsi="Times New Roman" w:eastAsia="宋体" w:cs="Arial"/>
                <w:b w:val="0"/>
                <w:bCs/>
                <w:sz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default" w:ascii="宋体" w:hAnsi="宋体" w:eastAsia="宋体"/>
          <w:color w:val="000000"/>
          <w:sz w:val="18"/>
          <w:szCs w:val="18"/>
        </w:rPr>
        <w:t>图例：</w:t>
      </w:r>
      <w:r>
        <w:rPr>
          <w:rFonts w:hint="default" w:ascii="Times New Roman" w:hAnsi="Times New Roman" w:eastAsia="Times New Roman"/>
          <w:color w:val="000000"/>
          <w:sz w:val="18"/>
          <w:szCs w:val="18"/>
        </w:rPr>
        <w:t>×—</w:t>
      </w:r>
      <w:r>
        <w:rPr>
          <w:rFonts w:hint="default" w:ascii="宋体" w:hAnsi="宋体" w:eastAsia="宋体"/>
          <w:color w:val="000000"/>
          <w:sz w:val="18"/>
          <w:szCs w:val="18"/>
        </w:rPr>
        <w:t>无影响；负面影响</w:t>
      </w:r>
      <w:r>
        <w:rPr>
          <w:rFonts w:hint="default" w:ascii="Times New Roman" w:hAnsi="Times New Roman" w:eastAsia="Times New Roman"/>
          <w:color w:val="000000"/>
          <w:sz w:val="18"/>
          <w:szCs w:val="18"/>
        </w:rPr>
        <w:t>—Δ</w:t>
      </w:r>
      <w:r>
        <w:rPr>
          <w:rFonts w:hint="default" w:ascii="宋体" w:hAnsi="宋体" w:eastAsia="宋体"/>
          <w:color w:val="000000"/>
          <w:sz w:val="18"/>
          <w:szCs w:val="18"/>
        </w:rPr>
        <w:t>轻微影响、</w:t>
      </w:r>
      <w:r>
        <w:rPr>
          <w:rFonts w:hint="default" w:ascii="Times New Roman" w:hAnsi="Times New Roman" w:eastAsia="Times New Roman"/>
          <w:color w:val="000000"/>
          <w:sz w:val="18"/>
          <w:szCs w:val="18"/>
        </w:rPr>
        <w:t>ο</w:t>
      </w:r>
      <w:r>
        <w:rPr>
          <w:rFonts w:hint="default" w:ascii="宋体" w:hAnsi="宋体" w:eastAsia="宋体"/>
          <w:color w:val="000000"/>
          <w:sz w:val="18"/>
          <w:szCs w:val="18"/>
        </w:rPr>
        <w:t>较大影响、</w:t>
      </w:r>
      <w:r>
        <w:rPr>
          <w:rFonts w:hint="default" w:ascii="Times New Roman" w:hAnsi="Times New Roman" w:eastAsia="Times New Roman"/>
          <w:color w:val="000000"/>
          <w:sz w:val="18"/>
          <w:szCs w:val="18"/>
        </w:rPr>
        <w:t>●</w:t>
      </w:r>
      <w:r>
        <w:rPr>
          <w:rFonts w:hint="default" w:ascii="宋体" w:hAnsi="宋体" w:eastAsia="宋体"/>
          <w:color w:val="000000"/>
          <w:sz w:val="18"/>
          <w:szCs w:val="18"/>
        </w:rPr>
        <w:t>有重大影响、⊕可能；★</w:t>
      </w:r>
      <w:r>
        <w:rPr>
          <w:rFonts w:hint="default" w:ascii="Times New Roman" w:hAnsi="Times New Roman" w:eastAsia="Times New Roman"/>
          <w:color w:val="000000"/>
          <w:sz w:val="18"/>
          <w:szCs w:val="18"/>
        </w:rPr>
        <w:t>—</w:t>
      </w:r>
      <w:r>
        <w:rPr>
          <w:rFonts w:hint="default" w:ascii="宋体" w:hAnsi="宋体" w:eastAsia="宋体"/>
          <w:color w:val="000000"/>
          <w:sz w:val="18"/>
          <w:szCs w:val="18"/>
        </w:rPr>
        <w:t>正面影响</w:t>
      </w:r>
      <w:r>
        <w:rPr>
          <w:rFonts w:hint="eastAsia"/>
          <w:sz w:val="18"/>
          <w:szCs w:val="18"/>
          <w:lang w:val="en-US" w:eastAsia="zh-CN"/>
        </w:rPr>
        <w:t>.</w:t>
      </w:r>
    </w:p>
    <w:p>
      <w:pPr>
        <w:pStyle w:val="4"/>
        <w:bidi w:val="0"/>
        <w:rPr>
          <w:rFonts w:hint="eastAsia"/>
          <w:lang w:val="en-US" w:eastAsia="zh-CN"/>
        </w:rPr>
      </w:pPr>
      <w:bookmarkStart w:id="35" w:name="_Toc3371"/>
      <w:r>
        <w:rPr>
          <w:rFonts w:hint="eastAsia"/>
          <w:lang w:val="en-US" w:eastAsia="zh-CN"/>
        </w:rPr>
        <w:t>2.4 评价因子筛选</w:t>
      </w:r>
      <w:bookmarkEnd w:id="35"/>
    </w:p>
    <w:p>
      <w:pPr>
        <w:bidi w:val="0"/>
        <w:rPr>
          <w:rFonts w:hint="default"/>
        </w:rPr>
      </w:pPr>
      <w:r>
        <w:rPr>
          <w:rFonts w:hint="default"/>
        </w:rPr>
        <w:t>本项目现状评价因子、影响预测评价因子和总量控制因子见表2.4。</w:t>
      </w:r>
    </w:p>
    <w:p>
      <w:pPr>
        <w:pStyle w:val="27"/>
        <w:bidi w:val="0"/>
        <w:rPr>
          <w:rFonts w:hint="default"/>
        </w:rPr>
      </w:pPr>
      <w:r>
        <w:rPr>
          <w:rFonts w:hint="default"/>
        </w:rPr>
        <w:t>表2.4 项目评价因子一览表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5458"/>
        <w:gridCol w:w="1210"/>
        <w:gridCol w:w="118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环境类别</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现状评价因子</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影响评价因子</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总量控制因子</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总量考核因子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大气</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非甲烷总烃、SO</w:t>
            </w:r>
            <w:r>
              <w:rPr>
                <w:rFonts w:hint="eastAsia"/>
                <w:b w:val="0"/>
                <w:bCs/>
                <w:vertAlign w:val="subscript"/>
                <w:lang w:val="en-US" w:eastAsia="zh-CN"/>
              </w:rPr>
              <w:t>2</w:t>
            </w:r>
            <w:r>
              <w:rPr>
                <w:rFonts w:hint="eastAsia"/>
                <w:b w:val="0"/>
                <w:bCs/>
                <w:vertAlign w:val="baseline"/>
                <w:lang w:val="en-US" w:eastAsia="zh-CN"/>
              </w:rPr>
              <w:t>、PM</w:t>
            </w:r>
            <w:r>
              <w:rPr>
                <w:rFonts w:hint="eastAsia"/>
                <w:b w:val="0"/>
                <w:bCs/>
                <w:vertAlign w:val="subscript"/>
                <w:lang w:val="en-US" w:eastAsia="zh-CN"/>
              </w:rPr>
              <w:t>10</w:t>
            </w:r>
            <w:r>
              <w:rPr>
                <w:rFonts w:hint="eastAsia"/>
                <w:b w:val="0"/>
                <w:bCs/>
                <w:vertAlign w:val="baseline"/>
                <w:lang w:val="en-US" w:eastAsia="zh-CN"/>
              </w:rPr>
              <w:t>、NOx</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SO</w:t>
            </w:r>
            <w:r>
              <w:rPr>
                <w:rFonts w:hint="eastAsia"/>
                <w:b w:val="0"/>
                <w:bCs/>
                <w:vertAlign w:val="subscript"/>
                <w:lang w:val="en-US" w:eastAsia="zh-CN"/>
              </w:rPr>
              <w:t>2</w:t>
            </w:r>
            <w:r>
              <w:rPr>
                <w:rFonts w:hint="eastAsia"/>
                <w:b w:val="0"/>
                <w:bCs/>
                <w:vertAlign w:val="baseline"/>
                <w:lang w:val="en-US" w:eastAsia="zh-CN"/>
              </w:rPr>
              <w:t>、NOx、颗粒物</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SO</w:t>
            </w:r>
            <w:r>
              <w:rPr>
                <w:rFonts w:hint="eastAsia"/>
                <w:b w:val="0"/>
                <w:bCs/>
                <w:vertAlign w:val="subscript"/>
                <w:lang w:val="en-US" w:eastAsia="zh-CN"/>
              </w:rPr>
              <w:t>2</w:t>
            </w:r>
            <w:r>
              <w:rPr>
                <w:rFonts w:hint="eastAsia"/>
                <w:b w:val="0"/>
                <w:bCs/>
                <w:vertAlign w:val="baseline"/>
                <w:lang w:val="en-US" w:eastAsia="zh-CN"/>
              </w:rPr>
              <w:t>、NOx、颗粒物</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地表水</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pH、COD、SS、石油类、氨氮、总磷、总氮</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COD、氨氮、总氮、总磷</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SS、动植物油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声环境</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default"/>
                <w:b w:val="0"/>
                <w:bCs/>
                <w:vertAlign w:val="baseline"/>
                <w:lang w:val="en-US" w:eastAsia="zh-CN"/>
              </w:rPr>
              <w:t>连续等效A声级</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default"/>
                <w:b w:val="0"/>
                <w:bCs/>
                <w:vertAlign w:val="baseline"/>
                <w:lang w:val="en-US" w:eastAsia="zh-CN"/>
              </w:rPr>
              <w:t>连续等效A声级</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固体废物</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固体废物排放量</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地下水</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al="0"/>
                <w:vertAlign w:val="baseline"/>
                <w:lang w:val="en-US" w:eastAsia="zh-CN"/>
              </w:rPr>
            </w:pPr>
            <w:r>
              <w:rPr>
                <w:rFonts w:hint="eastAsia" w:ascii="Times New Roman" w:hAnsi="Times New Roman" w:eastAsia="宋体"/>
                <w:b w:val="0"/>
                <w:bCs w:val="0"/>
                <w:color w:val="auto"/>
                <w:sz w:val="21"/>
                <w:szCs w:val="21"/>
                <w:lang w:eastAsia="zh-CN"/>
              </w:rPr>
              <w:t>水位、</w:t>
            </w:r>
            <w:r>
              <w:rPr>
                <w:rFonts w:ascii="Times New Roman" w:hAnsi="Times New Roman" w:eastAsia="宋体"/>
                <w:b w:val="0"/>
                <w:bCs w:val="0"/>
                <w:color w:val="auto"/>
                <w:sz w:val="21"/>
                <w:szCs w:val="21"/>
              </w:rPr>
              <w:t>pH、K</w:t>
            </w:r>
            <w:r>
              <w:rPr>
                <w:rFonts w:ascii="Times New Roman" w:hAnsi="Times New Roman" w:eastAsia="宋体"/>
                <w:b w:val="0"/>
                <w:bCs w:val="0"/>
                <w:color w:val="auto"/>
                <w:sz w:val="21"/>
                <w:szCs w:val="21"/>
                <w:vertAlign w:val="superscript"/>
              </w:rPr>
              <w:t>+</w:t>
            </w:r>
            <w:r>
              <w:rPr>
                <w:rFonts w:hint="eastAsia" w:ascii="Times New Roman" w:hAnsi="Times New Roman" w:eastAsia="宋体"/>
                <w:b w:val="0"/>
                <w:bCs w:val="0"/>
                <w:color w:val="auto"/>
                <w:sz w:val="21"/>
                <w:szCs w:val="21"/>
              </w:rPr>
              <w:t>、</w:t>
            </w:r>
            <w:r>
              <w:rPr>
                <w:rFonts w:ascii="Times New Roman" w:hAnsi="Times New Roman" w:eastAsia="宋体"/>
                <w:b w:val="0"/>
                <w:bCs w:val="0"/>
                <w:color w:val="auto"/>
                <w:sz w:val="21"/>
                <w:szCs w:val="21"/>
              </w:rPr>
              <w:t>Na</w:t>
            </w:r>
            <w:r>
              <w:rPr>
                <w:rFonts w:ascii="Times New Roman" w:hAnsi="Times New Roman" w:eastAsia="宋体"/>
                <w:b w:val="0"/>
                <w:bCs w:val="0"/>
                <w:color w:val="auto"/>
                <w:sz w:val="21"/>
                <w:szCs w:val="21"/>
                <w:vertAlign w:val="superscript"/>
              </w:rPr>
              <w:t>+</w:t>
            </w:r>
            <w:r>
              <w:rPr>
                <w:rFonts w:ascii="Times New Roman" w:hAnsi="Times New Roman" w:eastAsia="宋体"/>
                <w:b w:val="0"/>
                <w:bCs w:val="0"/>
                <w:color w:val="auto"/>
                <w:sz w:val="21"/>
                <w:szCs w:val="21"/>
              </w:rPr>
              <w:t>、Ca</w:t>
            </w:r>
            <w:r>
              <w:rPr>
                <w:rFonts w:ascii="Times New Roman" w:hAnsi="Times New Roman" w:eastAsia="宋体"/>
                <w:b w:val="0"/>
                <w:bCs w:val="0"/>
                <w:color w:val="auto"/>
                <w:sz w:val="21"/>
                <w:szCs w:val="21"/>
                <w:vertAlign w:val="superscript"/>
              </w:rPr>
              <w:t>2+</w:t>
            </w:r>
            <w:r>
              <w:rPr>
                <w:rFonts w:ascii="Times New Roman" w:hAnsi="Times New Roman" w:eastAsia="宋体"/>
                <w:b w:val="0"/>
                <w:bCs w:val="0"/>
                <w:color w:val="auto"/>
                <w:sz w:val="21"/>
                <w:szCs w:val="21"/>
              </w:rPr>
              <w:t>、Mg</w:t>
            </w:r>
            <w:r>
              <w:rPr>
                <w:rFonts w:ascii="Times New Roman" w:hAnsi="Times New Roman" w:eastAsia="宋体"/>
                <w:b w:val="0"/>
                <w:bCs w:val="0"/>
                <w:color w:val="auto"/>
                <w:sz w:val="21"/>
                <w:szCs w:val="21"/>
                <w:vertAlign w:val="superscript"/>
              </w:rPr>
              <w:t>2+</w:t>
            </w:r>
            <w:r>
              <w:rPr>
                <w:rFonts w:ascii="Times New Roman" w:hAnsi="Times New Roman" w:eastAsia="宋体"/>
                <w:b w:val="0"/>
                <w:bCs w:val="0"/>
                <w:color w:val="auto"/>
                <w:sz w:val="21"/>
                <w:szCs w:val="21"/>
              </w:rPr>
              <w:t>、CO</w:t>
            </w:r>
            <w:r>
              <w:rPr>
                <w:rFonts w:ascii="Times New Roman" w:hAnsi="Times New Roman" w:eastAsia="宋体"/>
                <w:b w:val="0"/>
                <w:bCs w:val="0"/>
                <w:color w:val="auto"/>
                <w:sz w:val="21"/>
                <w:szCs w:val="21"/>
                <w:vertAlign w:val="subscript"/>
              </w:rPr>
              <w:t>3</w:t>
            </w:r>
            <w:r>
              <w:rPr>
                <w:rFonts w:ascii="Times New Roman" w:hAnsi="Times New Roman" w:eastAsia="宋体"/>
                <w:b w:val="0"/>
                <w:bCs w:val="0"/>
                <w:color w:val="auto"/>
                <w:sz w:val="21"/>
                <w:szCs w:val="21"/>
                <w:vertAlign w:val="superscript"/>
              </w:rPr>
              <w:t>2-</w:t>
            </w:r>
            <w:r>
              <w:rPr>
                <w:rFonts w:ascii="Times New Roman" w:hAnsi="Times New Roman" w:eastAsia="宋体"/>
                <w:b w:val="0"/>
                <w:bCs w:val="0"/>
                <w:color w:val="auto"/>
                <w:sz w:val="21"/>
                <w:szCs w:val="21"/>
              </w:rPr>
              <w:t>、HCO</w:t>
            </w:r>
            <w:r>
              <w:rPr>
                <w:rFonts w:ascii="Times New Roman" w:hAnsi="Times New Roman" w:eastAsia="宋体"/>
                <w:b w:val="0"/>
                <w:bCs w:val="0"/>
                <w:color w:val="auto"/>
                <w:sz w:val="21"/>
                <w:szCs w:val="21"/>
                <w:vertAlign w:val="subscript"/>
              </w:rPr>
              <w:t>3</w:t>
            </w:r>
            <w:r>
              <w:rPr>
                <w:rFonts w:ascii="Times New Roman" w:hAnsi="Times New Roman" w:eastAsia="宋体"/>
                <w:b w:val="0"/>
                <w:bCs w:val="0"/>
                <w:color w:val="auto"/>
                <w:sz w:val="21"/>
                <w:szCs w:val="21"/>
                <w:vertAlign w:val="superscript"/>
              </w:rPr>
              <w:t>-</w:t>
            </w:r>
            <w:r>
              <w:rPr>
                <w:rFonts w:ascii="Times New Roman" w:hAnsi="Times New Roman" w:eastAsia="宋体"/>
                <w:b w:val="0"/>
                <w:bCs w:val="0"/>
                <w:color w:val="auto"/>
                <w:sz w:val="21"/>
                <w:szCs w:val="21"/>
              </w:rPr>
              <w:t>、Cl</w:t>
            </w:r>
            <w:r>
              <w:rPr>
                <w:rFonts w:ascii="Times New Roman" w:hAnsi="Times New Roman" w:eastAsia="宋体"/>
                <w:b w:val="0"/>
                <w:bCs w:val="0"/>
                <w:color w:val="auto"/>
                <w:sz w:val="21"/>
                <w:szCs w:val="21"/>
                <w:vertAlign w:val="superscript"/>
              </w:rPr>
              <w:t>-</w:t>
            </w:r>
            <w:r>
              <w:rPr>
                <w:rFonts w:ascii="Times New Roman" w:hAnsi="Times New Roman" w:eastAsia="宋体"/>
                <w:b w:val="0"/>
                <w:bCs w:val="0"/>
                <w:color w:val="auto"/>
                <w:sz w:val="21"/>
                <w:szCs w:val="21"/>
              </w:rPr>
              <w:t>、SO</w:t>
            </w:r>
            <w:r>
              <w:rPr>
                <w:rFonts w:ascii="Times New Roman" w:hAnsi="Times New Roman" w:eastAsia="宋体"/>
                <w:b w:val="0"/>
                <w:bCs w:val="0"/>
                <w:color w:val="auto"/>
                <w:sz w:val="21"/>
                <w:szCs w:val="21"/>
                <w:vertAlign w:val="subscript"/>
              </w:rPr>
              <w:t>4</w:t>
            </w:r>
            <w:r>
              <w:rPr>
                <w:rFonts w:ascii="Times New Roman" w:hAnsi="Times New Roman" w:eastAsia="宋体"/>
                <w:b w:val="0"/>
                <w:bCs w:val="0"/>
                <w:color w:val="auto"/>
                <w:sz w:val="21"/>
                <w:szCs w:val="21"/>
                <w:vertAlign w:val="superscript"/>
              </w:rPr>
              <w:t>2-</w:t>
            </w:r>
            <w:r>
              <w:rPr>
                <w:rFonts w:ascii="Times New Roman" w:hAnsi="Times New Roman" w:eastAsia="宋体"/>
                <w:b w:val="0"/>
                <w:bCs w:val="0"/>
                <w:color w:val="auto"/>
                <w:sz w:val="21"/>
                <w:szCs w:val="21"/>
              </w:rPr>
              <w:t>、氨氮、硝酸盐、亚硝酸盐、挥发酚、</w:t>
            </w:r>
            <w:r>
              <w:rPr>
                <w:rFonts w:hint="eastAsia" w:ascii="Times New Roman" w:hAnsi="Times New Roman" w:eastAsia="宋体"/>
                <w:b w:val="0"/>
                <w:bCs w:val="0"/>
                <w:color w:val="auto"/>
                <w:sz w:val="21"/>
                <w:szCs w:val="21"/>
                <w:lang w:eastAsia="zh-CN"/>
              </w:rPr>
              <w:t>氰化物、</w:t>
            </w:r>
            <w:r>
              <w:rPr>
                <w:rFonts w:ascii="Times New Roman" w:hAnsi="Times New Roman" w:eastAsia="宋体"/>
                <w:b w:val="0"/>
                <w:bCs w:val="0"/>
                <w:color w:val="auto"/>
                <w:sz w:val="21"/>
                <w:szCs w:val="21"/>
              </w:rPr>
              <w:t>砷、</w:t>
            </w:r>
            <w:r>
              <w:rPr>
                <w:rFonts w:hint="eastAsia" w:ascii="Times New Roman" w:hAnsi="Times New Roman" w:eastAsia="宋体"/>
                <w:b w:val="0"/>
                <w:bCs w:val="0"/>
                <w:color w:val="auto"/>
                <w:sz w:val="21"/>
                <w:szCs w:val="21"/>
                <w:lang w:eastAsia="zh-CN"/>
              </w:rPr>
              <w:t>氟、</w:t>
            </w:r>
            <w:r>
              <w:rPr>
                <w:rFonts w:ascii="Times New Roman" w:hAnsi="Times New Roman" w:eastAsia="宋体"/>
                <w:b w:val="0"/>
                <w:bCs w:val="0"/>
                <w:color w:val="auto"/>
                <w:sz w:val="21"/>
                <w:szCs w:val="21"/>
              </w:rPr>
              <w:t>汞、六价铬、总硬度、高锰酸盐指数、总大肠菌群、</w:t>
            </w:r>
            <w:r>
              <w:rPr>
                <w:rFonts w:hint="eastAsia" w:ascii="Times New Roman" w:hAnsi="Times New Roman" w:eastAsia="宋体"/>
                <w:b w:val="0"/>
                <w:bCs w:val="0"/>
                <w:color w:val="auto"/>
                <w:sz w:val="21"/>
                <w:szCs w:val="21"/>
                <w:lang w:eastAsia="zh-CN"/>
              </w:rPr>
              <w:t>铅、</w:t>
            </w:r>
            <w:r>
              <w:rPr>
                <w:rFonts w:ascii="Times New Roman" w:hAnsi="Times New Roman" w:eastAsia="宋体"/>
                <w:b w:val="0"/>
                <w:bCs w:val="0"/>
                <w:color w:val="auto"/>
                <w:sz w:val="21"/>
                <w:szCs w:val="21"/>
              </w:rPr>
              <w:t>镉、溶解性总固体</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al="0"/>
                <w:vertAlign w:val="baseline"/>
                <w:lang w:val="en-US" w:eastAsia="zh-CN"/>
              </w:rPr>
            </w:pPr>
            <w:r>
              <w:rPr>
                <w:rFonts w:hint="eastAsia"/>
                <w:b w:val="0"/>
                <w:bCs/>
                <w:vertAlign w:val="baseline"/>
                <w:lang w:val="en-US" w:eastAsia="zh-CN"/>
              </w:rPr>
              <w:t>/</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b w:val="0"/>
                <w:bCs/>
                <w:vertAlign w:val="baseline"/>
                <w:lang w:val="en-US" w:eastAsia="zh-CN"/>
              </w:rPr>
            </w:pPr>
            <w:r>
              <w:rPr>
                <w:rFonts w:hint="eastAsia"/>
                <w:b w:val="0"/>
                <w:bCs/>
                <w:vertAlign w:val="baseline"/>
                <w:lang w:val="en-US" w:eastAsia="zh-CN"/>
              </w:rPr>
              <w:t>土壤</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sz w:val="21"/>
                <w:szCs w:val="21"/>
                <w:lang w:eastAsia="zh-CN"/>
              </w:rPr>
              <w:t>汞、镉、铬、铅、镍、铜、砷、四氯化碳、氯仿、氯甲烷、1,1-二氯乙烷、1,2-二氯乙烷、1,1-二氯乙烯、顺-1,2-二氯乙烯、反-1,2-二氯乙烯、二氯甲烷、1,2-二氯丙烷、1,1,1,2-四氯乙烷、1,1,2,2-四氯乙烷、四氯乙烯、1,1,1-四氯乙烯、1,1,2-四氯乙烯、三氯乙烯、1,2,3-三氯丙烷、氯乙烯、苯、氯苯、1,2-二氯苯、1,4-二氯苯、乙苯、苯乙烯、甲苯、间二甲苯+对二甲苯、邻二甲苯、硝基苯、苯胺、2-氯苯、苯并[a]蒽、苯并[a]芘、苯并[b]荧蒽、苯并[k]荧蒽、䓛、二苯并[a，h] 蒽、䒢并[1,2,3-cd] 芘、萘</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环境风险</w:t>
            </w:r>
          </w:p>
        </w:tc>
        <w:tc>
          <w:tcPr>
            <w:tcW w:w="2738"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c>
          <w:tcPr>
            <w:tcW w:w="607"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简单分析</w:t>
            </w:r>
          </w:p>
        </w:tc>
        <w:tc>
          <w:tcPr>
            <w:tcW w:w="592"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c>
          <w:tcPr>
            <w:tcW w:w="530" w:type="pc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b w:val="0"/>
                <w:bCs/>
                <w:vertAlign w:val="baseline"/>
                <w:lang w:val="en-US" w:eastAsia="zh-CN"/>
              </w:rPr>
            </w:pPr>
            <w:r>
              <w:rPr>
                <w:rFonts w:hint="eastAsia"/>
                <w:b w:val="0"/>
                <w:bCs/>
                <w:vertAlign w:val="baseline"/>
                <w:lang w:val="en-US" w:eastAsia="zh-CN"/>
              </w:rPr>
              <w:t>/</w:t>
            </w:r>
          </w:p>
        </w:tc>
      </w:tr>
    </w:tbl>
    <w:p>
      <w:pPr>
        <w:pStyle w:val="28"/>
        <w:keepNext/>
        <w:keepLines/>
        <w:pageBreakBefore w:val="0"/>
        <w:widowControl w:val="0"/>
        <w:kinsoku/>
        <w:wordWrap/>
        <w:overflowPunct/>
        <w:topLinePunct w:val="0"/>
        <w:autoSpaceDE/>
        <w:autoSpaceDN/>
        <w:bidi w:val="0"/>
        <w:adjustRightInd/>
        <w:snapToGrid/>
        <w:textAlignment w:val="auto"/>
        <w:outlineLvl w:val="9"/>
        <w:rPr>
          <w:rFonts w:hint="eastAsia"/>
          <w:lang w:val="en-US" w:eastAsia="zh-CN"/>
        </w:rPr>
      </w:pPr>
    </w:p>
    <w:p>
      <w:pPr>
        <w:pStyle w:val="4"/>
        <w:bidi w:val="0"/>
        <w:rPr>
          <w:rFonts w:hint="eastAsia"/>
          <w:lang w:val="en-US" w:eastAsia="zh-CN"/>
        </w:rPr>
      </w:pPr>
      <w:bookmarkStart w:id="36" w:name="_Toc29344"/>
      <w:r>
        <w:rPr>
          <w:rFonts w:hint="eastAsia"/>
          <w:lang w:val="en-US" w:eastAsia="zh-CN"/>
        </w:rPr>
        <w:t>2.5 环境保护目标</w:t>
      </w:r>
      <w:bookmarkEnd w:id="36"/>
    </w:p>
    <w:p>
      <w:pPr>
        <w:pStyle w:val="27"/>
        <w:bidi w:val="0"/>
      </w:pPr>
      <w:r>
        <w:t>表</w:t>
      </w:r>
      <w:r>
        <w:rPr>
          <w:rFonts w:hint="eastAsia"/>
          <w:lang w:val="en-US" w:eastAsia="zh-CN"/>
        </w:rPr>
        <w:t>2.5-1</w:t>
      </w:r>
      <w:r>
        <w:t>项目主要大气环境保护目标表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42"/>
        <w:gridCol w:w="1043"/>
        <w:gridCol w:w="754"/>
        <w:gridCol w:w="994"/>
        <w:gridCol w:w="2875"/>
        <w:gridCol w:w="79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vMerge w:val="restart"/>
            <w:tcBorders>
              <w:tl2br w:val="nil"/>
              <w:tr2bl w:val="nil"/>
            </w:tcBorders>
            <w:noWrap w:val="0"/>
            <w:tcMar>
              <w:left w:w="28" w:type="dxa"/>
              <w:right w:w="28" w:type="dxa"/>
            </w:tcMar>
            <w:vAlign w:val="center"/>
          </w:tcPr>
          <w:p>
            <w:pPr>
              <w:pStyle w:val="28"/>
              <w:suppressLineNumbers w:val="0"/>
              <w:bidi w:val="0"/>
              <w:spacing w:before="0" w:after="0"/>
              <w:ind w:left="0" w:right="0"/>
            </w:pPr>
            <w:r>
              <w:t>名称</w:t>
            </w:r>
          </w:p>
        </w:tc>
        <w:tc>
          <w:tcPr>
            <w:tcW w:w="1885" w:type="dxa"/>
            <w:gridSpan w:val="2"/>
            <w:tcBorders>
              <w:tl2br w:val="nil"/>
              <w:tr2bl w:val="nil"/>
            </w:tcBorders>
            <w:noWrap w:val="0"/>
            <w:vAlign w:val="center"/>
          </w:tcPr>
          <w:p>
            <w:pPr>
              <w:pStyle w:val="28"/>
              <w:suppressLineNumbers w:val="0"/>
              <w:bidi w:val="0"/>
              <w:spacing w:before="0" w:after="0"/>
              <w:ind w:left="0" w:right="0"/>
            </w:pPr>
            <w:r>
              <w:t>坐标/m</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保护对象</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保护内容</w:t>
            </w:r>
          </w:p>
        </w:tc>
        <w:tc>
          <w:tcPr>
            <w:tcW w:w="2875" w:type="dxa"/>
            <w:vMerge w:val="restart"/>
            <w:tcBorders>
              <w:tl2br w:val="nil"/>
              <w:tr2bl w:val="nil"/>
            </w:tcBorders>
            <w:noWrap w:val="0"/>
            <w:vAlign w:val="center"/>
          </w:tcPr>
          <w:p>
            <w:pPr>
              <w:pStyle w:val="28"/>
              <w:suppressLineNumbers w:val="0"/>
              <w:bidi w:val="0"/>
              <w:spacing w:before="0" w:after="0"/>
              <w:ind w:left="0" w:right="0"/>
            </w:pPr>
            <w:r>
              <w:t>环境功能区</w:t>
            </w:r>
          </w:p>
        </w:tc>
        <w:tc>
          <w:tcPr>
            <w:tcW w:w="795"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相对厂址</w:t>
            </w:r>
            <w:r>
              <w:t>方位</w:t>
            </w:r>
          </w:p>
        </w:tc>
        <w:tc>
          <w:tcPr>
            <w:tcW w:w="1234"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w:t>
            </w:r>
            <w:r>
              <w:t>厂界距离</w:t>
            </w:r>
            <w:r>
              <w:rPr>
                <w:rFonts w:hint="eastAsia"/>
                <w:lang w:val="en-US" w:eastAsia="zh-CN"/>
              </w:rPr>
              <w:t>/</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vMerge w:val="continue"/>
            <w:tcBorders>
              <w:tl2br w:val="nil"/>
              <w:tr2bl w:val="nil"/>
            </w:tcBorders>
            <w:noWrap w:val="0"/>
            <w:tcMar>
              <w:left w:w="28" w:type="dxa"/>
              <w:right w:w="28" w:type="dxa"/>
            </w:tcMar>
            <w:vAlign w:val="center"/>
          </w:tcPr>
          <w:p>
            <w:pPr>
              <w:pStyle w:val="28"/>
              <w:suppressLineNumbers w:val="0"/>
              <w:bidi w:val="0"/>
              <w:spacing w:before="0" w:after="0"/>
              <w:ind w:left="0" w:right="0"/>
              <w:outlineLvl w:val="9"/>
            </w:pPr>
          </w:p>
        </w:tc>
        <w:tc>
          <w:tcPr>
            <w:tcW w:w="842" w:type="dxa"/>
            <w:tcBorders>
              <w:tl2br w:val="nil"/>
              <w:tr2bl w:val="nil"/>
            </w:tcBorders>
            <w:noWrap w:val="0"/>
            <w:vAlign w:val="center"/>
          </w:tcPr>
          <w:p>
            <w:pPr>
              <w:pStyle w:val="28"/>
              <w:suppressLineNumbers w:val="0"/>
              <w:bidi w:val="0"/>
              <w:spacing w:before="0" w:after="0"/>
              <w:ind w:left="0" w:right="0"/>
            </w:pPr>
            <w:r>
              <w:t>X</w:t>
            </w:r>
          </w:p>
        </w:tc>
        <w:tc>
          <w:tcPr>
            <w:tcW w:w="1043" w:type="dxa"/>
            <w:tcBorders>
              <w:tl2br w:val="nil"/>
              <w:tr2bl w:val="nil"/>
            </w:tcBorders>
            <w:noWrap w:val="0"/>
            <w:vAlign w:val="center"/>
          </w:tcPr>
          <w:p>
            <w:pPr>
              <w:pStyle w:val="28"/>
              <w:suppressLineNumbers w:val="0"/>
              <w:bidi w:val="0"/>
              <w:spacing w:before="0" w:after="0"/>
              <w:ind w:left="0" w:right="0"/>
            </w:pPr>
            <w:r>
              <w:t>Y</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pPr>
          </w:p>
        </w:tc>
        <w:tc>
          <w:tcPr>
            <w:tcW w:w="795" w:type="dxa"/>
            <w:vMerge w:val="continue"/>
            <w:tcBorders>
              <w:tl2br w:val="nil"/>
              <w:tr2bl w:val="nil"/>
            </w:tcBorders>
            <w:noWrap w:val="0"/>
            <w:vAlign w:val="center"/>
          </w:tcPr>
          <w:p>
            <w:pPr>
              <w:pStyle w:val="28"/>
              <w:suppressLineNumbers w:val="0"/>
              <w:bidi w:val="0"/>
              <w:spacing w:before="0" w:after="0"/>
              <w:ind w:left="0" w:right="0"/>
              <w:outlineLvl w:val="9"/>
            </w:pPr>
          </w:p>
        </w:tc>
        <w:tc>
          <w:tcPr>
            <w:tcW w:w="1234"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大丁旺村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239</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410</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居民区</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大气环境、环境风险</w:t>
            </w:r>
          </w:p>
        </w:tc>
        <w:tc>
          <w:tcPr>
            <w:tcW w:w="2875" w:type="dxa"/>
            <w:vMerge w:val="restart"/>
            <w:tcBorders>
              <w:tl2br w:val="nil"/>
              <w:tr2bl w:val="nil"/>
            </w:tcBorders>
            <w:noWrap w:val="0"/>
            <w:vAlign w:val="center"/>
          </w:tcPr>
          <w:p>
            <w:pPr>
              <w:pStyle w:val="28"/>
              <w:suppressLineNumbers w:val="0"/>
              <w:bidi w:val="0"/>
              <w:spacing w:before="0" w:after="0"/>
              <w:ind w:left="0" w:right="0"/>
            </w:pPr>
            <w:r>
              <w:t>《环境空气质量标准》（GB3095-2012）二级类区</w:t>
            </w: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西丁旺小学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772</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312</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eastAsia="zh-CN"/>
              </w:rPr>
            </w:pPr>
            <w:r>
              <w:rPr>
                <w:rFonts w:hint="eastAsia"/>
                <w:lang w:eastAsia="zh-CN"/>
              </w:rPr>
              <w:t>西丁旺村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365</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691</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丁后庄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鲁埠墩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西埠村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徐埠墩</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3840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2310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时湖村</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710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东旺村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尚庄村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1580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-650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张村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3860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小屯村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上河套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4130</w:t>
            </w:r>
          </w:p>
        </w:tc>
        <w:tc>
          <w:tcPr>
            <w:tcW w:w="104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-1680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北辰</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-1900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张顶</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640</w:t>
            </w:r>
          </w:p>
        </w:tc>
        <w:tc>
          <w:tcPr>
            <w:tcW w:w="1043" w:type="dxa"/>
            <w:tcBorders>
              <w:tl2br w:val="nil"/>
              <w:tr2bl w:val="nil"/>
            </w:tcBorders>
            <w:noWrap w:val="0"/>
            <w:vAlign w:val="center"/>
          </w:tcPr>
          <w:p>
            <w:pPr>
              <w:pStyle w:val="28"/>
              <w:suppressLineNumbers w:val="0"/>
              <w:bidi w:val="0"/>
              <w:spacing w:before="0" w:after="0"/>
              <w:ind w:left="0" w:right="0"/>
              <w:rPr>
                <w:b/>
                <w:bCs/>
              </w:rPr>
            </w:pPr>
            <w:r>
              <w:rPr>
                <w:rFonts w:hint="eastAsia"/>
                <w:lang w:val="en-US" w:eastAsia="zh-CN"/>
              </w:rPr>
              <w:t>-5230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花荡村  </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大房庄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-4660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河口村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-1370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青湖镇</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-560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打磨塘</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-4000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新庄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青湖中学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优圩子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朱咀雁</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张小店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-3620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齐庄村</w:t>
            </w:r>
          </w:p>
        </w:tc>
        <w:tc>
          <w:tcPr>
            <w:tcW w:w="842"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N</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东岭村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范围子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bl>
    <w:p>
      <w:pPr>
        <w:keepNext w:val="0"/>
        <w:keepLines w:val="0"/>
        <w:pageBreakBefore w:val="0"/>
        <w:widowControl w:val="0"/>
        <w:kinsoku/>
        <w:wordWrap/>
        <w:overflowPunct/>
        <w:topLinePunct w:val="0"/>
        <w:autoSpaceDE/>
        <w:autoSpaceDN/>
        <w:bidi w:val="0"/>
        <w:adjustRightInd/>
        <w:snapToGrid w:val="0"/>
        <w:spacing w:line="300" w:lineRule="exact"/>
        <w:textAlignment w:val="auto"/>
        <w:rPr>
          <w:rFonts w:ascii="Times New Roman" w:hAnsi="Times New Roman" w:eastAsia="宋体"/>
          <w:sz w:val="18"/>
          <w:szCs w:val="18"/>
        </w:rPr>
      </w:pPr>
      <w:r>
        <w:rPr>
          <w:rFonts w:ascii="Times New Roman" w:hAnsi="Times New Roman" w:eastAsia="宋体"/>
          <w:sz w:val="18"/>
          <w:szCs w:val="18"/>
        </w:rPr>
        <w:t>注：本次评价以</w:t>
      </w:r>
      <w:r>
        <w:rPr>
          <w:rFonts w:hint="eastAsia" w:ascii="Times New Roman" w:hAnsi="Times New Roman" w:eastAsia="宋体"/>
          <w:sz w:val="18"/>
          <w:szCs w:val="18"/>
        </w:rPr>
        <w:t>项目</w:t>
      </w:r>
      <w:r>
        <w:rPr>
          <w:rFonts w:hint="eastAsia"/>
          <w:sz w:val="18"/>
          <w:szCs w:val="18"/>
          <w:lang w:eastAsia="zh-CN"/>
        </w:rPr>
        <w:t>厂界东北角</w:t>
      </w:r>
      <w:r>
        <w:rPr>
          <w:rFonts w:ascii="Times New Roman" w:hAnsi="Times New Roman" w:eastAsia="宋体"/>
          <w:sz w:val="18"/>
          <w:szCs w:val="18"/>
        </w:rPr>
        <w:t>为原点，坐标（0,0），东西方向为X轴、南北方向为Y轴，保护目标坐标为相对坐标。</w:t>
      </w:r>
    </w:p>
    <w:p>
      <w:pPr>
        <w:pStyle w:val="27"/>
        <w:bidi w:val="0"/>
      </w:pPr>
      <w:r>
        <w:t>表</w:t>
      </w:r>
      <w:r>
        <w:rPr>
          <w:rFonts w:hint="eastAsia"/>
          <w:lang w:val="en-US" w:eastAsia="zh-CN"/>
        </w:rPr>
        <w:t>2.5-2</w:t>
      </w:r>
      <w:r>
        <w:t>地表水主要环境保护目标</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827"/>
        <w:gridCol w:w="827"/>
        <w:gridCol w:w="781"/>
        <w:gridCol w:w="921"/>
        <w:gridCol w:w="831"/>
        <w:gridCol w:w="893"/>
        <w:gridCol w:w="516"/>
        <w:gridCol w:w="520"/>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2" w:type="pct"/>
            <w:vMerge w:val="restart"/>
            <w:tcBorders>
              <w:tl2br w:val="nil"/>
              <w:tr2bl w:val="nil"/>
            </w:tcBorders>
            <w:noWrap w:val="0"/>
            <w:vAlign w:val="center"/>
          </w:tcPr>
          <w:p>
            <w:pPr>
              <w:pStyle w:val="28"/>
              <w:suppressLineNumbers w:val="0"/>
              <w:bidi w:val="0"/>
              <w:spacing w:before="0" w:after="0"/>
              <w:ind w:left="0" w:right="0"/>
            </w:pPr>
            <w:r>
              <w:t>保护</w:t>
            </w:r>
          </w:p>
          <w:p>
            <w:pPr>
              <w:pStyle w:val="28"/>
              <w:suppressLineNumbers w:val="0"/>
              <w:bidi w:val="0"/>
              <w:spacing w:before="0" w:after="0"/>
              <w:ind w:left="0" w:right="0"/>
            </w:pPr>
            <w:r>
              <w:t>对象</w:t>
            </w:r>
          </w:p>
        </w:tc>
        <w:tc>
          <w:tcPr>
            <w:tcW w:w="415" w:type="pct"/>
            <w:vMerge w:val="restart"/>
            <w:tcBorders>
              <w:tl2br w:val="nil"/>
              <w:tr2bl w:val="nil"/>
            </w:tcBorders>
            <w:noWrap w:val="0"/>
            <w:vAlign w:val="center"/>
          </w:tcPr>
          <w:p>
            <w:pPr>
              <w:pStyle w:val="28"/>
              <w:suppressLineNumbers w:val="0"/>
              <w:bidi w:val="0"/>
              <w:spacing w:before="0" w:after="0"/>
              <w:ind w:left="0" w:right="0"/>
            </w:pPr>
            <w:r>
              <w:t>保护</w:t>
            </w:r>
          </w:p>
          <w:p>
            <w:pPr>
              <w:pStyle w:val="28"/>
              <w:suppressLineNumbers w:val="0"/>
              <w:bidi w:val="0"/>
              <w:spacing w:before="0" w:after="0"/>
              <w:ind w:left="0" w:right="0"/>
            </w:pPr>
            <w:r>
              <w:t>内容</w:t>
            </w:r>
          </w:p>
        </w:tc>
        <w:tc>
          <w:tcPr>
            <w:tcW w:w="1685" w:type="pct"/>
            <w:gridSpan w:val="4"/>
            <w:tcBorders>
              <w:tl2br w:val="nil"/>
              <w:tr2bl w:val="nil"/>
            </w:tcBorders>
            <w:noWrap w:val="0"/>
            <w:vAlign w:val="center"/>
          </w:tcPr>
          <w:p>
            <w:pPr>
              <w:pStyle w:val="28"/>
              <w:suppressLineNumbers w:val="0"/>
              <w:bidi w:val="0"/>
              <w:spacing w:before="0" w:after="0"/>
              <w:ind w:left="0" w:right="0"/>
            </w:pPr>
            <w:r>
              <w:t>相对厂界m</w:t>
            </w:r>
          </w:p>
        </w:tc>
        <w:tc>
          <w:tcPr>
            <w:tcW w:w="968" w:type="pct"/>
            <w:gridSpan w:val="3"/>
            <w:tcBorders>
              <w:tl2br w:val="nil"/>
              <w:tr2bl w:val="nil"/>
            </w:tcBorders>
            <w:noWrap w:val="0"/>
            <w:vAlign w:val="center"/>
          </w:tcPr>
          <w:p>
            <w:pPr>
              <w:pStyle w:val="28"/>
              <w:suppressLineNumbers w:val="0"/>
              <w:bidi w:val="0"/>
              <w:spacing w:before="0" w:after="0"/>
              <w:ind w:left="0" w:right="0"/>
            </w:pPr>
            <w:r>
              <w:t>相对排放口m</w:t>
            </w:r>
          </w:p>
        </w:tc>
        <w:tc>
          <w:tcPr>
            <w:tcW w:w="1376" w:type="pct"/>
            <w:vMerge w:val="restart"/>
            <w:tcBorders>
              <w:tl2br w:val="nil"/>
              <w:tr2bl w:val="nil"/>
            </w:tcBorders>
            <w:noWrap w:val="0"/>
            <w:vAlign w:val="center"/>
          </w:tcPr>
          <w:p>
            <w:pPr>
              <w:pStyle w:val="28"/>
              <w:suppressLineNumbers w:val="0"/>
              <w:bidi w:val="0"/>
              <w:spacing w:before="0" w:after="0"/>
              <w:ind w:left="0" w:right="0"/>
            </w:pPr>
            <w:r>
              <w:t>与本项目的水利联系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2" w:type="pct"/>
            <w:vMerge w:val="continue"/>
            <w:tcBorders>
              <w:tl2br w:val="nil"/>
              <w:tr2bl w:val="nil"/>
            </w:tcBorders>
            <w:noWrap w:val="0"/>
            <w:vAlign w:val="center"/>
          </w:tcPr>
          <w:p>
            <w:pPr>
              <w:pStyle w:val="28"/>
              <w:suppressLineNumbers w:val="0"/>
              <w:bidi w:val="0"/>
              <w:spacing w:before="0" w:after="0"/>
              <w:ind w:left="0" w:right="0"/>
              <w:outlineLvl w:val="9"/>
            </w:pPr>
          </w:p>
        </w:tc>
        <w:tc>
          <w:tcPr>
            <w:tcW w:w="415" w:type="pct"/>
            <w:vMerge w:val="continue"/>
            <w:tcBorders>
              <w:tl2br w:val="nil"/>
              <w:tr2bl w:val="nil"/>
            </w:tcBorders>
            <w:noWrap w:val="0"/>
            <w:vAlign w:val="center"/>
          </w:tcPr>
          <w:p>
            <w:pPr>
              <w:pStyle w:val="28"/>
              <w:suppressLineNumbers w:val="0"/>
              <w:bidi w:val="0"/>
              <w:spacing w:before="0" w:after="0"/>
              <w:ind w:left="0" w:right="0"/>
              <w:outlineLvl w:val="9"/>
            </w:pPr>
          </w:p>
        </w:tc>
        <w:tc>
          <w:tcPr>
            <w:tcW w:w="415" w:type="pct"/>
            <w:vMerge w:val="restart"/>
            <w:tcBorders>
              <w:tl2br w:val="nil"/>
              <w:tr2bl w:val="nil"/>
            </w:tcBorders>
            <w:noWrap w:val="0"/>
            <w:vAlign w:val="center"/>
          </w:tcPr>
          <w:p>
            <w:pPr>
              <w:pStyle w:val="28"/>
              <w:suppressLineNumbers w:val="0"/>
              <w:bidi w:val="0"/>
              <w:spacing w:before="0" w:after="0"/>
              <w:ind w:left="0" w:right="0"/>
            </w:pPr>
            <w:r>
              <w:t>距离</w:t>
            </w:r>
          </w:p>
        </w:tc>
        <w:tc>
          <w:tcPr>
            <w:tcW w:w="854" w:type="pct"/>
            <w:gridSpan w:val="2"/>
            <w:tcBorders>
              <w:tl2br w:val="nil"/>
              <w:tr2bl w:val="nil"/>
            </w:tcBorders>
            <w:noWrap w:val="0"/>
            <w:vAlign w:val="center"/>
          </w:tcPr>
          <w:p>
            <w:pPr>
              <w:pStyle w:val="28"/>
              <w:suppressLineNumbers w:val="0"/>
              <w:bidi w:val="0"/>
              <w:spacing w:before="0" w:after="0"/>
              <w:ind w:left="0" w:right="0"/>
            </w:pPr>
            <w:r>
              <w:t>坐标</w:t>
            </w:r>
          </w:p>
        </w:tc>
        <w:tc>
          <w:tcPr>
            <w:tcW w:w="415" w:type="pct"/>
            <w:vMerge w:val="restart"/>
            <w:tcBorders>
              <w:tl2br w:val="nil"/>
              <w:tr2bl w:val="nil"/>
            </w:tcBorders>
            <w:noWrap w:val="0"/>
            <w:vAlign w:val="center"/>
          </w:tcPr>
          <w:p>
            <w:pPr>
              <w:pStyle w:val="28"/>
              <w:suppressLineNumbers w:val="0"/>
              <w:bidi w:val="0"/>
              <w:spacing w:before="0" w:after="0"/>
              <w:ind w:left="0" w:right="0"/>
            </w:pPr>
            <w:r>
              <w:t>高差</w:t>
            </w:r>
          </w:p>
        </w:tc>
        <w:tc>
          <w:tcPr>
            <w:tcW w:w="448" w:type="pct"/>
            <w:vMerge w:val="restart"/>
            <w:tcBorders>
              <w:tl2br w:val="nil"/>
              <w:tr2bl w:val="nil"/>
            </w:tcBorders>
            <w:noWrap w:val="0"/>
            <w:vAlign w:val="center"/>
          </w:tcPr>
          <w:p>
            <w:pPr>
              <w:pStyle w:val="28"/>
              <w:suppressLineNumbers w:val="0"/>
              <w:bidi w:val="0"/>
              <w:spacing w:before="0" w:after="0"/>
              <w:ind w:left="0" w:right="0"/>
            </w:pPr>
            <w:r>
              <w:t>距离</w:t>
            </w:r>
          </w:p>
        </w:tc>
        <w:tc>
          <w:tcPr>
            <w:tcW w:w="520" w:type="pct"/>
            <w:gridSpan w:val="2"/>
            <w:tcBorders>
              <w:tl2br w:val="nil"/>
              <w:tr2bl w:val="nil"/>
            </w:tcBorders>
            <w:noWrap w:val="0"/>
            <w:vAlign w:val="center"/>
          </w:tcPr>
          <w:p>
            <w:pPr>
              <w:pStyle w:val="28"/>
              <w:suppressLineNumbers w:val="0"/>
              <w:bidi w:val="0"/>
              <w:spacing w:before="0" w:after="0"/>
              <w:ind w:left="0" w:right="0"/>
            </w:pPr>
            <w:r>
              <w:t>坐标</w:t>
            </w:r>
          </w:p>
        </w:tc>
        <w:tc>
          <w:tcPr>
            <w:tcW w:w="1376"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2" w:type="pct"/>
            <w:vMerge w:val="continue"/>
            <w:tcBorders>
              <w:tl2br w:val="nil"/>
              <w:tr2bl w:val="nil"/>
            </w:tcBorders>
            <w:noWrap w:val="0"/>
            <w:vAlign w:val="center"/>
          </w:tcPr>
          <w:p>
            <w:pPr>
              <w:pStyle w:val="28"/>
              <w:suppressLineNumbers w:val="0"/>
              <w:bidi w:val="0"/>
              <w:spacing w:before="0" w:after="0"/>
              <w:ind w:left="0" w:right="0"/>
              <w:outlineLvl w:val="9"/>
            </w:pPr>
          </w:p>
        </w:tc>
        <w:tc>
          <w:tcPr>
            <w:tcW w:w="415" w:type="pct"/>
            <w:vMerge w:val="continue"/>
            <w:tcBorders>
              <w:tl2br w:val="nil"/>
              <w:tr2bl w:val="nil"/>
            </w:tcBorders>
            <w:noWrap w:val="0"/>
            <w:vAlign w:val="center"/>
          </w:tcPr>
          <w:p>
            <w:pPr>
              <w:pStyle w:val="28"/>
              <w:suppressLineNumbers w:val="0"/>
              <w:bidi w:val="0"/>
              <w:spacing w:before="0" w:after="0"/>
              <w:ind w:left="0" w:right="0"/>
              <w:outlineLvl w:val="9"/>
            </w:pPr>
          </w:p>
        </w:tc>
        <w:tc>
          <w:tcPr>
            <w:tcW w:w="415" w:type="pct"/>
            <w:vMerge w:val="continue"/>
            <w:tcBorders>
              <w:tl2br w:val="nil"/>
              <w:tr2bl w:val="nil"/>
            </w:tcBorders>
            <w:noWrap w:val="0"/>
            <w:vAlign w:val="center"/>
          </w:tcPr>
          <w:p>
            <w:pPr>
              <w:pStyle w:val="28"/>
              <w:suppressLineNumbers w:val="0"/>
              <w:bidi w:val="0"/>
              <w:spacing w:before="0" w:after="0"/>
              <w:ind w:left="0" w:right="0"/>
              <w:outlineLvl w:val="9"/>
            </w:pPr>
          </w:p>
        </w:tc>
        <w:tc>
          <w:tcPr>
            <w:tcW w:w="392" w:type="pct"/>
            <w:tcBorders>
              <w:tl2br w:val="nil"/>
              <w:tr2bl w:val="nil"/>
            </w:tcBorders>
            <w:noWrap w:val="0"/>
            <w:vAlign w:val="center"/>
          </w:tcPr>
          <w:p>
            <w:pPr>
              <w:pStyle w:val="28"/>
              <w:suppressLineNumbers w:val="0"/>
              <w:bidi w:val="0"/>
              <w:spacing w:before="0" w:after="0"/>
              <w:ind w:left="0" w:right="0"/>
            </w:pPr>
            <w:r>
              <w:t>X</w:t>
            </w:r>
          </w:p>
        </w:tc>
        <w:tc>
          <w:tcPr>
            <w:tcW w:w="461" w:type="pct"/>
            <w:tcBorders>
              <w:tl2br w:val="nil"/>
              <w:tr2bl w:val="nil"/>
            </w:tcBorders>
            <w:noWrap w:val="0"/>
            <w:vAlign w:val="center"/>
          </w:tcPr>
          <w:p>
            <w:pPr>
              <w:pStyle w:val="28"/>
              <w:suppressLineNumbers w:val="0"/>
              <w:bidi w:val="0"/>
              <w:spacing w:before="0" w:after="0"/>
              <w:ind w:left="0" w:right="0"/>
            </w:pPr>
            <w:r>
              <w:t>Y</w:t>
            </w:r>
          </w:p>
        </w:tc>
        <w:tc>
          <w:tcPr>
            <w:tcW w:w="415" w:type="pct"/>
            <w:vMerge w:val="continue"/>
            <w:tcBorders>
              <w:tl2br w:val="nil"/>
              <w:tr2bl w:val="nil"/>
            </w:tcBorders>
            <w:noWrap w:val="0"/>
            <w:vAlign w:val="center"/>
          </w:tcPr>
          <w:p>
            <w:pPr>
              <w:pStyle w:val="28"/>
              <w:suppressLineNumbers w:val="0"/>
              <w:bidi w:val="0"/>
              <w:spacing w:before="0" w:after="0"/>
              <w:ind w:left="0" w:right="0"/>
              <w:outlineLvl w:val="9"/>
            </w:pPr>
          </w:p>
        </w:tc>
        <w:tc>
          <w:tcPr>
            <w:tcW w:w="448" w:type="pct"/>
            <w:vMerge w:val="continue"/>
            <w:tcBorders>
              <w:tl2br w:val="nil"/>
              <w:tr2bl w:val="nil"/>
            </w:tcBorders>
            <w:noWrap w:val="0"/>
            <w:vAlign w:val="center"/>
          </w:tcPr>
          <w:p>
            <w:pPr>
              <w:pStyle w:val="28"/>
              <w:suppressLineNumbers w:val="0"/>
              <w:bidi w:val="0"/>
              <w:spacing w:before="0" w:after="0"/>
              <w:ind w:left="0" w:right="0"/>
              <w:outlineLvl w:val="9"/>
            </w:pPr>
          </w:p>
        </w:tc>
        <w:tc>
          <w:tcPr>
            <w:tcW w:w="259" w:type="pct"/>
            <w:tcBorders>
              <w:tl2br w:val="nil"/>
              <w:tr2bl w:val="nil"/>
            </w:tcBorders>
            <w:noWrap w:val="0"/>
            <w:vAlign w:val="center"/>
          </w:tcPr>
          <w:p>
            <w:pPr>
              <w:pStyle w:val="28"/>
              <w:suppressLineNumbers w:val="0"/>
              <w:bidi w:val="0"/>
              <w:spacing w:before="0" w:after="0"/>
              <w:ind w:left="0" w:right="0"/>
            </w:pPr>
            <w:r>
              <w:t>X</w:t>
            </w:r>
          </w:p>
        </w:tc>
        <w:tc>
          <w:tcPr>
            <w:tcW w:w="260" w:type="pct"/>
            <w:tcBorders>
              <w:tl2br w:val="nil"/>
              <w:tr2bl w:val="nil"/>
            </w:tcBorders>
            <w:noWrap w:val="0"/>
            <w:vAlign w:val="center"/>
          </w:tcPr>
          <w:p>
            <w:pPr>
              <w:pStyle w:val="28"/>
              <w:suppressLineNumbers w:val="0"/>
              <w:bidi w:val="0"/>
              <w:spacing w:before="0" w:after="0"/>
              <w:ind w:left="0" w:right="0"/>
            </w:pPr>
            <w:r>
              <w:t>Y</w:t>
            </w:r>
          </w:p>
        </w:tc>
        <w:tc>
          <w:tcPr>
            <w:tcW w:w="1376"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石安河</w:t>
            </w:r>
          </w:p>
        </w:tc>
        <w:tc>
          <w:tcPr>
            <w:tcW w:w="41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水质</w:t>
            </w:r>
          </w:p>
        </w:tc>
        <w:tc>
          <w:tcPr>
            <w:tcW w:w="41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800</w:t>
            </w:r>
          </w:p>
        </w:tc>
        <w:tc>
          <w:tcPr>
            <w:tcW w:w="392"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rPr>
              <w:t>-</w:t>
            </w:r>
            <w:r>
              <w:rPr>
                <w:rFonts w:hint="eastAsia"/>
                <w:lang w:val="en-US" w:eastAsia="zh-CN"/>
              </w:rPr>
              <w:t>800</w:t>
            </w:r>
          </w:p>
        </w:tc>
        <w:tc>
          <w:tcPr>
            <w:tcW w:w="461"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0</w:t>
            </w:r>
          </w:p>
        </w:tc>
        <w:tc>
          <w:tcPr>
            <w:tcW w:w="41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-1</w:t>
            </w:r>
          </w:p>
        </w:tc>
        <w:tc>
          <w:tcPr>
            <w:tcW w:w="448"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259"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260"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1376"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乌龙河</w:t>
            </w:r>
          </w:p>
        </w:tc>
        <w:tc>
          <w:tcPr>
            <w:tcW w:w="41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水质</w:t>
            </w:r>
          </w:p>
        </w:tc>
        <w:tc>
          <w:tcPr>
            <w:tcW w:w="41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660</w:t>
            </w:r>
          </w:p>
        </w:tc>
        <w:tc>
          <w:tcPr>
            <w:tcW w:w="392"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461"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660</w:t>
            </w:r>
          </w:p>
        </w:tc>
        <w:tc>
          <w:tcPr>
            <w:tcW w:w="41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448"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259"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260"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1376"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鲁兰河</w:t>
            </w:r>
          </w:p>
        </w:tc>
        <w:tc>
          <w:tcPr>
            <w:tcW w:w="41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水质</w:t>
            </w:r>
          </w:p>
        </w:tc>
        <w:tc>
          <w:tcPr>
            <w:tcW w:w="41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3770</w:t>
            </w:r>
          </w:p>
        </w:tc>
        <w:tc>
          <w:tcPr>
            <w:tcW w:w="392"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461"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-3770</w:t>
            </w:r>
          </w:p>
        </w:tc>
        <w:tc>
          <w:tcPr>
            <w:tcW w:w="41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-1</w:t>
            </w:r>
          </w:p>
        </w:tc>
        <w:tc>
          <w:tcPr>
            <w:tcW w:w="448"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259"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260"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1376"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r>
    </w:tbl>
    <w:p>
      <w:pPr>
        <w:pStyle w:val="27"/>
        <w:bidi w:val="0"/>
      </w:pPr>
      <w:r>
        <w:t>表</w:t>
      </w:r>
      <w:r>
        <w:rPr>
          <w:rFonts w:hint="eastAsia"/>
          <w:lang w:val="en-US" w:eastAsia="zh-CN"/>
        </w:rPr>
        <w:t>2.5-3</w:t>
      </w:r>
      <w:r>
        <w:rPr>
          <w:rFonts w:hint="eastAsia"/>
        </w:rPr>
        <w:t xml:space="preserve"> </w:t>
      </w:r>
      <w:r>
        <w:t>项目其他环境保护目标表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626"/>
        <w:gridCol w:w="570"/>
        <w:gridCol w:w="1381"/>
        <w:gridCol w:w="570"/>
        <w:gridCol w:w="1152"/>
        <w:gridCol w:w="3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tcBorders>
              <w:tl2br w:val="nil"/>
              <w:tr2bl w:val="nil"/>
            </w:tcBorders>
            <w:noWrap w:val="0"/>
            <w:vAlign w:val="center"/>
          </w:tcPr>
          <w:p>
            <w:pPr>
              <w:pStyle w:val="28"/>
              <w:suppressLineNumbers w:val="0"/>
              <w:bidi w:val="0"/>
              <w:spacing w:before="0" w:after="0"/>
              <w:ind w:left="0" w:right="0"/>
            </w:pPr>
            <w:r>
              <w:t>环境要素</w:t>
            </w:r>
          </w:p>
        </w:tc>
        <w:tc>
          <w:tcPr>
            <w:tcW w:w="816" w:type="pct"/>
            <w:tcBorders>
              <w:tl2br w:val="nil"/>
              <w:tr2bl w:val="nil"/>
            </w:tcBorders>
            <w:noWrap w:val="0"/>
            <w:vAlign w:val="center"/>
          </w:tcPr>
          <w:p>
            <w:pPr>
              <w:pStyle w:val="28"/>
              <w:suppressLineNumbers w:val="0"/>
              <w:bidi w:val="0"/>
              <w:spacing w:before="0" w:after="0"/>
              <w:ind w:left="0" w:right="0"/>
            </w:pPr>
            <w:r>
              <w:t>环境保护对象名称</w:t>
            </w:r>
          </w:p>
        </w:tc>
        <w:tc>
          <w:tcPr>
            <w:tcW w:w="286" w:type="pct"/>
            <w:tcBorders>
              <w:tl2br w:val="nil"/>
              <w:tr2bl w:val="nil"/>
            </w:tcBorders>
            <w:noWrap w:val="0"/>
            <w:vAlign w:val="center"/>
          </w:tcPr>
          <w:p>
            <w:pPr>
              <w:pStyle w:val="28"/>
              <w:suppressLineNumbers w:val="0"/>
              <w:bidi w:val="0"/>
              <w:spacing w:before="0" w:after="0"/>
              <w:ind w:left="0" w:right="0"/>
            </w:pPr>
            <w:r>
              <w:t>方位</w:t>
            </w:r>
          </w:p>
        </w:tc>
        <w:tc>
          <w:tcPr>
            <w:tcW w:w="693" w:type="pct"/>
            <w:tcBorders>
              <w:tl2br w:val="nil"/>
              <w:tr2bl w:val="nil"/>
            </w:tcBorders>
            <w:noWrap w:val="0"/>
            <w:vAlign w:val="center"/>
          </w:tcPr>
          <w:p>
            <w:pPr>
              <w:pStyle w:val="28"/>
              <w:suppressLineNumbers w:val="0"/>
              <w:bidi w:val="0"/>
              <w:spacing w:before="0" w:after="0"/>
              <w:ind w:left="0" w:right="0"/>
            </w:pPr>
            <w:r>
              <w:t>最近距离（m）</w:t>
            </w:r>
          </w:p>
        </w:tc>
        <w:tc>
          <w:tcPr>
            <w:tcW w:w="286" w:type="pct"/>
            <w:tcBorders>
              <w:tl2br w:val="nil"/>
              <w:tr2bl w:val="nil"/>
            </w:tcBorders>
            <w:noWrap w:val="0"/>
            <w:vAlign w:val="center"/>
          </w:tcPr>
          <w:p>
            <w:pPr>
              <w:pStyle w:val="28"/>
              <w:suppressLineNumbers w:val="0"/>
              <w:bidi w:val="0"/>
              <w:spacing w:before="0" w:after="0"/>
              <w:ind w:left="0" w:right="0"/>
            </w:pPr>
            <w:r>
              <w:t>规模</w:t>
            </w:r>
          </w:p>
        </w:tc>
        <w:tc>
          <w:tcPr>
            <w:tcW w:w="578" w:type="pct"/>
            <w:tcBorders>
              <w:tl2br w:val="nil"/>
              <w:tr2bl w:val="nil"/>
            </w:tcBorders>
            <w:noWrap w:val="0"/>
            <w:vAlign w:val="center"/>
          </w:tcPr>
          <w:p>
            <w:pPr>
              <w:pStyle w:val="28"/>
              <w:suppressLineNumbers w:val="0"/>
              <w:bidi w:val="0"/>
              <w:spacing w:before="0" w:after="0"/>
              <w:ind w:left="0" w:right="0"/>
            </w:pPr>
            <w:r>
              <w:t>环境功能</w:t>
            </w:r>
          </w:p>
        </w:tc>
        <w:tc>
          <w:tcPr>
            <w:tcW w:w="1854"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声环境</w:t>
            </w:r>
          </w:p>
        </w:tc>
        <w:tc>
          <w:tcPr>
            <w:tcW w:w="816"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项目厂界</w:t>
            </w:r>
          </w:p>
        </w:tc>
        <w:tc>
          <w:tcPr>
            <w:tcW w:w="286"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693" w:type="pct"/>
            <w:tcBorders>
              <w:tl2br w:val="nil"/>
              <w:tr2bl w:val="nil"/>
            </w:tcBorders>
            <w:noWrap w:val="0"/>
            <w:vAlign w:val="center"/>
          </w:tcPr>
          <w:p>
            <w:pPr>
              <w:pStyle w:val="28"/>
              <w:suppressLineNumbers w:val="0"/>
              <w:bidi w:val="0"/>
              <w:spacing w:before="0" w:after="0"/>
              <w:ind w:left="0" w:right="0"/>
            </w:pPr>
            <w:r>
              <w:t>厂界</w:t>
            </w:r>
          </w:p>
        </w:tc>
        <w:tc>
          <w:tcPr>
            <w:tcW w:w="286" w:type="pct"/>
            <w:tcBorders>
              <w:tl2br w:val="nil"/>
              <w:tr2bl w:val="nil"/>
            </w:tcBorders>
            <w:noWrap w:val="0"/>
            <w:vAlign w:val="center"/>
          </w:tcPr>
          <w:p>
            <w:pPr>
              <w:pStyle w:val="28"/>
              <w:suppressLineNumbers w:val="0"/>
              <w:bidi w:val="0"/>
              <w:spacing w:before="0" w:after="0"/>
              <w:ind w:left="0" w:right="0"/>
            </w:pPr>
            <w:r>
              <w:t>—</w:t>
            </w:r>
          </w:p>
        </w:tc>
        <w:tc>
          <w:tcPr>
            <w:tcW w:w="578" w:type="pct"/>
            <w:tcBorders>
              <w:tl2br w:val="nil"/>
              <w:tr2bl w:val="nil"/>
            </w:tcBorders>
            <w:noWrap w:val="0"/>
            <w:vAlign w:val="center"/>
          </w:tcPr>
          <w:p>
            <w:pPr>
              <w:pStyle w:val="28"/>
              <w:suppressLineNumbers w:val="0"/>
              <w:bidi w:val="0"/>
              <w:spacing w:before="0" w:after="0"/>
              <w:ind w:left="0" w:right="0"/>
            </w:pPr>
            <w:r>
              <w:t>工业区</w:t>
            </w:r>
          </w:p>
        </w:tc>
        <w:tc>
          <w:tcPr>
            <w:tcW w:w="1854" w:type="pct"/>
            <w:tcBorders>
              <w:tl2br w:val="nil"/>
              <w:tr2bl w:val="nil"/>
            </w:tcBorders>
            <w:noWrap w:val="0"/>
            <w:vAlign w:val="center"/>
          </w:tcPr>
          <w:p>
            <w:pPr>
              <w:pStyle w:val="28"/>
              <w:suppressLineNumbers w:val="0"/>
              <w:bidi w:val="0"/>
              <w:spacing w:before="0" w:after="0"/>
              <w:ind w:left="0" w:right="0"/>
            </w:pPr>
            <w:r>
              <w:t>《声环境质量标准》（GB3096-2008）3类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生态</w:t>
            </w:r>
          </w:p>
        </w:tc>
        <w:tc>
          <w:tcPr>
            <w:tcW w:w="816" w:type="pct"/>
            <w:tcBorders>
              <w:tl2br w:val="nil"/>
              <w:tr2bl w:val="nil"/>
            </w:tcBorders>
            <w:noWrap w:val="0"/>
            <w:vAlign w:val="center"/>
          </w:tcPr>
          <w:p>
            <w:pPr>
              <w:pStyle w:val="28"/>
              <w:suppressLineNumbers w:val="0"/>
              <w:bidi w:val="0"/>
              <w:spacing w:before="0" w:after="0"/>
              <w:ind w:left="0" w:right="0"/>
              <w:rPr>
                <w:rFonts w:hint="eastAsia"/>
              </w:rPr>
            </w:pPr>
            <w:r>
              <w:rPr>
                <w:rFonts w:hint="eastAsia"/>
                <w:lang w:eastAsia="zh-CN"/>
              </w:rPr>
              <w:t>石安河</w:t>
            </w:r>
            <w:r>
              <w:rPr>
                <w:rFonts w:hint="eastAsia"/>
              </w:rPr>
              <w:t>清水通道维护区</w:t>
            </w:r>
          </w:p>
        </w:tc>
        <w:tc>
          <w:tcPr>
            <w:tcW w:w="286" w:type="pct"/>
            <w:tcBorders>
              <w:tl2br w:val="nil"/>
              <w:tr2bl w:val="nil"/>
            </w:tcBorders>
            <w:noWrap w:val="0"/>
            <w:vAlign w:val="center"/>
          </w:tcPr>
          <w:p>
            <w:pPr>
              <w:pStyle w:val="28"/>
              <w:suppressLineNumbers w:val="0"/>
              <w:bidi w:val="0"/>
              <w:spacing w:before="0" w:after="0"/>
              <w:ind w:left="0" w:right="0"/>
              <w:outlineLvl w:val="9"/>
              <w:rPr>
                <w:rFonts w:hint="eastAsia"/>
              </w:rPr>
            </w:pPr>
          </w:p>
        </w:tc>
        <w:tc>
          <w:tcPr>
            <w:tcW w:w="693"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800</w:t>
            </w:r>
          </w:p>
        </w:tc>
        <w:tc>
          <w:tcPr>
            <w:tcW w:w="286" w:type="pct"/>
            <w:tcBorders>
              <w:tl2br w:val="nil"/>
              <w:tr2bl w:val="nil"/>
            </w:tcBorders>
            <w:noWrap w:val="0"/>
            <w:vAlign w:val="center"/>
          </w:tcPr>
          <w:p>
            <w:pPr>
              <w:pStyle w:val="28"/>
              <w:suppressLineNumbers w:val="0"/>
              <w:bidi w:val="0"/>
              <w:spacing w:before="0" w:after="0"/>
              <w:ind w:left="0" w:right="0"/>
            </w:pPr>
            <w:r>
              <w:t>—</w:t>
            </w:r>
          </w:p>
        </w:tc>
        <w:tc>
          <w:tcPr>
            <w:tcW w:w="578" w:type="pct"/>
            <w:tcBorders>
              <w:tl2br w:val="nil"/>
              <w:tr2bl w:val="nil"/>
            </w:tcBorders>
            <w:noWrap w:val="0"/>
            <w:vAlign w:val="center"/>
          </w:tcPr>
          <w:p>
            <w:pPr>
              <w:pStyle w:val="28"/>
              <w:suppressLineNumbers w:val="0"/>
              <w:bidi w:val="0"/>
              <w:spacing w:before="0" w:after="0"/>
              <w:ind w:left="0" w:right="0"/>
            </w:pPr>
            <w:r>
              <w:rPr>
                <w:rFonts w:hint="eastAsia"/>
                <w:lang w:eastAsia="zh-CN"/>
              </w:rPr>
              <w:t>水源水质</w:t>
            </w:r>
            <w:r>
              <w:t>保护</w:t>
            </w:r>
          </w:p>
        </w:tc>
        <w:tc>
          <w:tcPr>
            <w:tcW w:w="1854" w:type="pct"/>
            <w:tcBorders>
              <w:tl2br w:val="nil"/>
              <w:tr2bl w:val="nil"/>
            </w:tcBorders>
            <w:noWrap w:val="0"/>
            <w:vAlign w:val="center"/>
          </w:tcPr>
          <w:p>
            <w:pPr>
              <w:pStyle w:val="28"/>
              <w:suppressLineNumbers w:val="0"/>
              <w:bidi w:val="0"/>
              <w:spacing w:before="0" w:after="0"/>
              <w:ind w:left="0" w:right="0"/>
            </w:pPr>
            <w:r>
              <w:rPr>
                <w:rFonts w:hint="eastAsia"/>
              </w:rPr>
              <w:t>二级管控区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85"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地下水</w:t>
            </w:r>
          </w:p>
        </w:tc>
        <w:tc>
          <w:tcPr>
            <w:tcW w:w="816"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区域地下水</w:t>
            </w:r>
          </w:p>
        </w:tc>
        <w:tc>
          <w:tcPr>
            <w:tcW w:w="286"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693" w:type="pct"/>
            <w:tcBorders>
              <w:tl2br w:val="nil"/>
              <w:tr2bl w:val="nil"/>
            </w:tcBorders>
            <w:noWrap w:val="0"/>
            <w:vAlign w:val="center"/>
          </w:tcPr>
          <w:p>
            <w:pPr>
              <w:pStyle w:val="28"/>
              <w:suppressLineNumbers w:val="0"/>
              <w:bidi w:val="0"/>
              <w:spacing w:before="0" w:after="0"/>
              <w:ind w:left="0" w:right="0"/>
            </w:pPr>
            <w:r>
              <w:t>—</w:t>
            </w:r>
          </w:p>
        </w:tc>
        <w:tc>
          <w:tcPr>
            <w:tcW w:w="286" w:type="pct"/>
            <w:tcBorders>
              <w:tl2br w:val="nil"/>
              <w:tr2bl w:val="nil"/>
            </w:tcBorders>
            <w:noWrap w:val="0"/>
            <w:vAlign w:val="center"/>
          </w:tcPr>
          <w:p>
            <w:pPr>
              <w:pStyle w:val="28"/>
              <w:suppressLineNumbers w:val="0"/>
              <w:bidi w:val="0"/>
              <w:spacing w:before="0" w:after="0"/>
              <w:ind w:left="0" w:right="0"/>
            </w:pPr>
            <w:r>
              <w:t>—</w:t>
            </w:r>
          </w:p>
        </w:tc>
        <w:tc>
          <w:tcPr>
            <w:tcW w:w="578" w:type="pct"/>
            <w:tcBorders>
              <w:tl2br w:val="nil"/>
              <w:tr2bl w:val="nil"/>
            </w:tcBorders>
            <w:noWrap w:val="0"/>
            <w:vAlign w:val="center"/>
          </w:tcPr>
          <w:p>
            <w:pPr>
              <w:pStyle w:val="28"/>
              <w:suppressLineNumbers w:val="0"/>
              <w:bidi w:val="0"/>
              <w:spacing w:before="0" w:after="0"/>
              <w:ind w:left="0" w:right="0"/>
            </w:pPr>
            <w:r>
              <w:t>—</w:t>
            </w:r>
          </w:p>
        </w:tc>
        <w:tc>
          <w:tcPr>
            <w:tcW w:w="1854"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土壤</w:t>
            </w:r>
          </w:p>
        </w:tc>
        <w:tc>
          <w:tcPr>
            <w:tcW w:w="816" w:type="pct"/>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耕地</w:t>
            </w:r>
          </w:p>
        </w:tc>
        <w:tc>
          <w:tcPr>
            <w:tcW w:w="28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西</w:t>
            </w:r>
          </w:p>
        </w:tc>
        <w:tc>
          <w:tcPr>
            <w:tcW w:w="693"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286" w:type="pct"/>
            <w:tcBorders>
              <w:tl2br w:val="nil"/>
              <w:tr2bl w:val="nil"/>
            </w:tcBorders>
            <w:noWrap w:val="0"/>
            <w:vAlign w:val="center"/>
          </w:tcPr>
          <w:p>
            <w:pPr>
              <w:pStyle w:val="28"/>
              <w:suppressLineNumbers w:val="0"/>
              <w:bidi w:val="0"/>
              <w:spacing w:before="0" w:after="0"/>
              <w:ind w:left="0" w:right="0"/>
            </w:pPr>
            <w:r>
              <w:t>—</w:t>
            </w:r>
          </w:p>
        </w:tc>
        <w:tc>
          <w:tcPr>
            <w:tcW w:w="578" w:type="pct"/>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农用地</w:t>
            </w:r>
          </w:p>
        </w:tc>
        <w:tc>
          <w:tcPr>
            <w:tcW w:w="1854" w:type="pct"/>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lang w:eastAsia="zh-CN"/>
              </w:rPr>
              <w:t>《</w:t>
            </w:r>
            <w:r>
              <w:rPr>
                <w:rFonts w:hint="eastAsia"/>
                <w:lang w:val="en-US" w:eastAsia="zh-CN"/>
              </w:rPr>
              <w:t>土壤环境质量 农用地土壤污染风险管控标准</w:t>
            </w:r>
          </w:p>
          <w:p>
            <w:pPr>
              <w:pStyle w:val="28"/>
              <w:suppressLineNumbers w:val="0"/>
              <w:bidi w:val="0"/>
              <w:spacing w:before="0" w:after="0"/>
              <w:ind w:left="0" w:right="0"/>
              <w:rPr>
                <w:rFonts w:hint="eastAsia"/>
                <w:lang w:val="en-US" w:eastAsia="zh-CN"/>
              </w:rPr>
            </w:pPr>
            <w:r>
              <w:rPr>
                <w:rFonts w:hint="eastAsia"/>
                <w:lang w:val="en-US" w:eastAsia="zh-CN"/>
              </w:rPr>
              <w:t>（试行）</w:t>
            </w:r>
            <w:r>
              <w:rPr>
                <w:rFonts w:hint="eastAsia"/>
                <w:lang w:eastAsia="zh-CN"/>
              </w:rPr>
              <w:t>》（</w:t>
            </w:r>
            <w:r>
              <w:rPr>
                <w:rFonts w:hint="eastAsia"/>
                <w:lang w:val="en-US" w:eastAsia="zh-CN"/>
              </w:rPr>
              <w:t>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5" w:type="pct"/>
            <w:vMerge w:val="continue"/>
            <w:tcBorders>
              <w:tl2br w:val="nil"/>
              <w:tr2bl w:val="nil"/>
            </w:tcBorders>
            <w:noWrap w:val="0"/>
            <w:vAlign w:val="center"/>
          </w:tcPr>
          <w:p>
            <w:pPr>
              <w:pStyle w:val="28"/>
              <w:suppressLineNumbers w:val="0"/>
              <w:bidi w:val="0"/>
              <w:spacing w:before="0" w:after="0"/>
              <w:ind w:left="0" w:right="0"/>
              <w:outlineLvl w:val="9"/>
              <w:rPr>
                <w:rFonts w:hint="eastAsia"/>
                <w:lang w:eastAsia="zh-CN"/>
              </w:rPr>
            </w:pPr>
          </w:p>
        </w:tc>
        <w:tc>
          <w:tcPr>
            <w:tcW w:w="816" w:type="pct"/>
            <w:vMerge w:val="continue"/>
            <w:tcBorders>
              <w:tl2br w:val="nil"/>
              <w:tr2bl w:val="nil"/>
            </w:tcBorders>
            <w:noWrap w:val="0"/>
            <w:vAlign w:val="center"/>
          </w:tcPr>
          <w:p>
            <w:pPr>
              <w:pStyle w:val="28"/>
              <w:suppressLineNumbers w:val="0"/>
              <w:bidi w:val="0"/>
              <w:spacing w:before="0" w:after="0"/>
              <w:ind w:left="0" w:right="0"/>
              <w:outlineLvl w:val="9"/>
              <w:rPr>
                <w:rFonts w:hint="eastAsia"/>
                <w:lang w:eastAsia="zh-CN"/>
              </w:rPr>
            </w:pPr>
          </w:p>
        </w:tc>
        <w:tc>
          <w:tcPr>
            <w:tcW w:w="28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北</w:t>
            </w:r>
          </w:p>
        </w:tc>
        <w:tc>
          <w:tcPr>
            <w:tcW w:w="693"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286" w:type="pct"/>
            <w:tcBorders>
              <w:tl2br w:val="nil"/>
              <w:tr2bl w:val="nil"/>
            </w:tcBorders>
            <w:noWrap w:val="0"/>
            <w:vAlign w:val="center"/>
          </w:tcPr>
          <w:p>
            <w:pPr>
              <w:pStyle w:val="28"/>
              <w:suppressLineNumbers w:val="0"/>
              <w:bidi w:val="0"/>
              <w:spacing w:before="0" w:after="0"/>
              <w:ind w:left="0" w:right="0"/>
            </w:pPr>
            <w:r>
              <w:t>—</w:t>
            </w:r>
          </w:p>
        </w:tc>
        <w:tc>
          <w:tcPr>
            <w:tcW w:w="578" w:type="pct"/>
            <w:vMerge w:val="continue"/>
            <w:tcBorders>
              <w:tl2br w:val="nil"/>
              <w:tr2bl w:val="nil"/>
            </w:tcBorders>
            <w:noWrap w:val="0"/>
            <w:vAlign w:val="center"/>
          </w:tcPr>
          <w:p>
            <w:pPr>
              <w:pStyle w:val="28"/>
              <w:suppressLineNumbers w:val="0"/>
              <w:bidi w:val="0"/>
              <w:spacing w:before="0" w:after="0"/>
              <w:ind w:left="0" w:right="0"/>
              <w:outlineLvl w:val="9"/>
            </w:pPr>
          </w:p>
        </w:tc>
        <w:tc>
          <w:tcPr>
            <w:tcW w:w="1854" w:type="pct"/>
            <w:vMerge w:val="continue"/>
            <w:tcBorders>
              <w:tl2br w:val="nil"/>
              <w:tr2bl w:val="nil"/>
            </w:tcBorders>
            <w:noWrap w:val="0"/>
            <w:vAlign w:val="center"/>
          </w:tcPr>
          <w:p>
            <w:pPr>
              <w:pStyle w:val="28"/>
              <w:suppressLineNumbers w:val="0"/>
              <w:bidi w:val="0"/>
              <w:spacing w:before="0" w:after="0"/>
              <w:ind w:left="0" w:right="0"/>
              <w:outlineLvl w:val="9"/>
            </w:pPr>
          </w:p>
        </w:tc>
      </w:tr>
    </w:tbl>
    <w:p>
      <w:pPr>
        <w:pStyle w:val="4"/>
        <w:bidi w:val="0"/>
        <w:rPr>
          <w:rFonts w:hint="default"/>
          <w:lang w:val="en-US" w:eastAsia="zh-CN"/>
        </w:rPr>
      </w:pPr>
      <w:bookmarkStart w:id="37" w:name="_Toc29493"/>
      <w:r>
        <w:rPr>
          <w:rFonts w:hint="eastAsia"/>
          <w:lang w:val="en-US" w:eastAsia="zh-CN"/>
        </w:rPr>
        <w:t>2.6 评价标准</w:t>
      </w:r>
      <w:bookmarkEnd w:id="37"/>
    </w:p>
    <w:p>
      <w:pPr>
        <w:pStyle w:val="5"/>
        <w:bidi w:val="0"/>
        <w:rPr>
          <w:rFonts w:hint="eastAsia"/>
          <w:lang w:val="en-US" w:eastAsia="zh-CN"/>
        </w:rPr>
      </w:pPr>
      <w:r>
        <w:rPr>
          <w:rFonts w:hint="eastAsia"/>
          <w:lang w:val="en-US" w:eastAsia="zh-CN"/>
        </w:rPr>
        <w:t>2.6.1 环境质量标准</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2.6.1.1 大气环境质量标准</w:t>
      </w:r>
    </w:p>
    <w:p>
      <w:pPr>
        <w:bidi w:val="0"/>
        <w:rPr>
          <w:rFonts w:hint="eastAsia"/>
          <w:lang w:eastAsia="zh-CN"/>
        </w:rPr>
      </w:pPr>
      <w:r>
        <w:t>根据《江苏省环境空气质量功能区划分》，本项目所在区域为环境空气质量功能二类区，执行《环境空气质量标准》（GB3095-2012）二级标准；</w:t>
      </w:r>
      <w:r>
        <w:rPr>
          <w:rFonts w:hint="eastAsia"/>
          <w:lang w:eastAsia="zh-CN"/>
        </w:rPr>
        <w:t>非甲烷总烃执行</w:t>
      </w:r>
      <w:r>
        <w:rPr>
          <w:rFonts w:hint="eastAsia"/>
        </w:rPr>
        <w:t xml:space="preserve">《大气污染物综合排放标准详解》 </w:t>
      </w:r>
      <w:r>
        <w:rPr>
          <w:rFonts w:hint="eastAsia"/>
          <w:lang w:eastAsia="zh-CN"/>
        </w:rPr>
        <w:t>。</w:t>
      </w:r>
    </w:p>
    <w:p>
      <w:pPr>
        <w:bidi w:val="0"/>
      </w:pPr>
      <w:r>
        <w:t>具体指标见表</w:t>
      </w:r>
      <w:r>
        <w:rPr>
          <w:rFonts w:hint="eastAsia"/>
          <w:lang w:val="en-US" w:eastAsia="zh-CN"/>
        </w:rPr>
        <w:t>2.6.1-1</w:t>
      </w:r>
      <w:r>
        <w:t>。</w:t>
      </w:r>
    </w:p>
    <w:p>
      <w:pPr>
        <w:pStyle w:val="27"/>
        <w:bidi w:val="0"/>
      </w:pPr>
      <w:r>
        <w:t>表</w:t>
      </w:r>
      <w:r>
        <w:rPr>
          <w:rFonts w:hint="eastAsia"/>
          <w:lang w:val="en-US" w:eastAsia="zh-CN"/>
        </w:rPr>
        <w:t>2.6.1</w:t>
      </w:r>
      <w:r>
        <w:t>-1 环境空气质量标准</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102"/>
        <w:gridCol w:w="1247"/>
        <w:gridCol w:w="1178"/>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Merge w:val="restart"/>
            <w:noWrap w:val="0"/>
            <w:vAlign w:val="center"/>
          </w:tcPr>
          <w:p>
            <w:pPr>
              <w:pStyle w:val="28"/>
              <w:suppressLineNumbers w:val="0"/>
              <w:bidi w:val="0"/>
              <w:spacing w:before="0" w:after="0"/>
              <w:ind w:left="0" w:right="0"/>
            </w:pPr>
            <w:r>
              <w:t>污染物项目</w:t>
            </w:r>
          </w:p>
        </w:tc>
        <w:tc>
          <w:tcPr>
            <w:tcW w:w="1770" w:type="pct"/>
            <w:gridSpan w:val="3"/>
            <w:noWrap w:val="0"/>
            <w:vAlign w:val="center"/>
          </w:tcPr>
          <w:p>
            <w:pPr>
              <w:pStyle w:val="28"/>
              <w:suppressLineNumbers w:val="0"/>
              <w:bidi w:val="0"/>
              <w:spacing w:before="0" w:after="0"/>
              <w:ind w:left="0" w:right="0"/>
            </w:pPr>
            <w:r>
              <w:t>浓度限值，μg/Nm</w:t>
            </w:r>
            <w:r>
              <w:rPr>
                <w:vertAlign w:val="superscript"/>
              </w:rPr>
              <w:t>3</w:t>
            </w:r>
          </w:p>
        </w:tc>
        <w:tc>
          <w:tcPr>
            <w:tcW w:w="2347" w:type="pct"/>
            <w:vMerge w:val="restart"/>
            <w:noWrap w:val="0"/>
            <w:vAlign w:val="center"/>
          </w:tcPr>
          <w:p>
            <w:pPr>
              <w:pStyle w:val="28"/>
              <w:suppressLineNumbers w:val="0"/>
              <w:bidi w:val="0"/>
              <w:spacing w:before="0" w:after="0"/>
              <w:ind w:left="0" w:right="0"/>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Merge w:val="continue"/>
            <w:noWrap w:val="0"/>
            <w:vAlign w:val="center"/>
          </w:tcPr>
          <w:p>
            <w:pPr>
              <w:pStyle w:val="28"/>
              <w:suppressLineNumbers w:val="0"/>
              <w:bidi w:val="0"/>
              <w:spacing w:before="0" w:after="0"/>
              <w:ind w:left="0" w:right="0"/>
              <w:outlineLvl w:val="9"/>
            </w:pPr>
          </w:p>
        </w:tc>
        <w:tc>
          <w:tcPr>
            <w:tcW w:w="553" w:type="pct"/>
            <w:noWrap w:val="0"/>
            <w:vAlign w:val="center"/>
          </w:tcPr>
          <w:p>
            <w:pPr>
              <w:pStyle w:val="28"/>
              <w:suppressLineNumbers w:val="0"/>
              <w:bidi w:val="0"/>
              <w:spacing w:before="0" w:after="0"/>
              <w:ind w:left="0" w:right="0"/>
            </w:pPr>
            <w:r>
              <w:t>1小时</w:t>
            </w:r>
          </w:p>
          <w:p>
            <w:pPr>
              <w:pStyle w:val="28"/>
              <w:suppressLineNumbers w:val="0"/>
              <w:bidi w:val="0"/>
              <w:spacing w:before="0" w:after="0"/>
              <w:ind w:left="0" w:right="0"/>
            </w:pPr>
            <w:r>
              <w:t>平均</w:t>
            </w:r>
          </w:p>
        </w:tc>
        <w:tc>
          <w:tcPr>
            <w:tcW w:w="626" w:type="pct"/>
            <w:noWrap w:val="0"/>
            <w:vAlign w:val="center"/>
          </w:tcPr>
          <w:p>
            <w:pPr>
              <w:pStyle w:val="28"/>
              <w:suppressLineNumbers w:val="0"/>
              <w:bidi w:val="0"/>
              <w:spacing w:before="0" w:after="0"/>
              <w:ind w:left="0" w:right="0"/>
            </w:pPr>
            <w:r>
              <w:t>24小时</w:t>
            </w:r>
          </w:p>
          <w:p>
            <w:pPr>
              <w:pStyle w:val="28"/>
              <w:suppressLineNumbers w:val="0"/>
              <w:bidi w:val="0"/>
              <w:spacing w:before="0" w:after="0"/>
              <w:ind w:left="0" w:right="0"/>
            </w:pPr>
            <w:r>
              <w:t>平均</w:t>
            </w:r>
          </w:p>
        </w:tc>
        <w:tc>
          <w:tcPr>
            <w:tcW w:w="590" w:type="pct"/>
            <w:noWrap w:val="0"/>
            <w:vAlign w:val="center"/>
          </w:tcPr>
          <w:p>
            <w:pPr>
              <w:pStyle w:val="28"/>
              <w:suppressLineNumbers w:val="0"/>
              <w:bidi w:val="0"/>
              <w:spacing w:before="0" w:after="0"/>
              <w:ind w:left="0" w:right="0"/>
            </w:pPr>
            <w:r>
              <w:t>年平均</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pPr>
            <w:r>
              <w:t>TSP</w:t>
            </w:r>
          </w:p>
        </w:tc>
        <w:tc>
          <w:tcPr>
            <w:tcW w:w="553" w:type="pct"/>
            <w:noWrap w:val="0"/>
            <w:vAlign w:val="center"/>
          </w:tcPr>
          <w:p>
            <w:pPr>
              <w:pStyle w:val="28"/>
              <w:suppressLineNumbers w:val="0"/>
              <w:bidi w:val="0"/>
              <w:spacing w:before="0" w:after="0"/>
              <w:ind w:left="0" w:right="0"/>
            </w:pPr>
            <w:r>
              <w:t>/</w:t>
            </w:r>
          </w:p>
        </w:tc>
        <w:tc>
          <w:tcPr>
            <w:tcW w:w="626" w:type="pct"/>
            <w:noWrap w:val="0"/>
            <w:vAlign w:val="center"/>
          </w:tcPr>
          <w:p>
            <w:pPr>
              <w:pStyle w:val="28"/>
              <w:suppressLineNumbers w:val="0"/>
              <w:bidi w:val="0"/>
              <w:spacing w:before="0" w:after="0"/>
              <w:ind w:left="0" w:right="0"/>
            </w:pPr>
            <w:r>
              <w:t>300</w:t>
            </w:r>
          </w:p>
        </w:tc>
        <w:tc>
          <w:tcPr>
            <w:tcW w:w="590" w:type="pct"/>
            <w:noWrap w:val="0"/>
            <w:vAlign w:val="center"/>
          </w:tcPr>
          <w:p>
            <w:pPr>
              <w:pStyle w:val="28"/>
              <w:suppressLineNumbers w:val="0"/>
              <w:bidi w:val="0"/>
              <w:spacing w:before="0" w:after="0"/>
              <w:ind w:left="0" w:right="0"/>
            </w:pPr>
            <w:r>
              <w:t>200</w:t>
            </w:r>
          </w:p>
        </w:tc>
        <w:tc>
          <w:tcPr>
            <w:tcW w:w="2347" w:type="pct"/>
            <w:vMerge w:val="restart"/>
            <w:noWrap w:val="0"/>
            <w:vAlign w:val="center"/>
          </w:tcPr>
          <w:p>
            <w:pPr>
              <w:pStyle w:val="28"/>
              <w:suppressLineNumbers w:val="0"/>
              <w:bidi w:val="0"/>
              <w:spacing w:before="0" w:after="0"/>
              <w:ind w:left="0" w:right="0"/>
            </w:pPr>
            <w: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pPr>
            <w:r>
              <w:t>SO</w:t>
            </w:r>
            <w:r>
              <w:rPr>
                <w:vertAlign w:val="subscript"/>
              </w:rPr>
              <w:t>2</w:t>
            </w:r>
          </w:p>
        </w:tc>
        <w:tc>
          <w:tcPr>
            <w:tcW w:w="553" w:type="pct"/>
            <w:noWrap w:val="0"/>
            <w:vAlign w:val="center"/>
          </w:tcPr>
          <w:p>
            <w:pPr>
              <w:pStyle w:val="28"/>
              <w:suppressLineNumbers w:val="0"/>
              <w:bidi w:val="0"/>
              <w:spacing w:before="0" w:after="0"/>
              <w:ind w:left="0" w:right="0"/>
            </w:pPr>
            <w:r>
              <w:t>500</w:t>
            </w:r>
          </w:p>
        </w:tc>
        <w:tc>
          <w:tcPr>
            <w:tcW w:w="626" w:type="pct"/>
            <w:noWrap w:val="0"/>
            <w:vAlign w:val="center"/>
          </w:tcPr>
          <w:p>
            <w:pPr>
              <w:pStyle w:val="28"/>
              <w:suppressLineNumbers w:val="0"/>
              <w:bidi w:val="0"/>
              <w:spacing w:before="0" w:after="0"/>
              <w:ind w:left="0" w:right="0"/>
            </w:pPr>
            <w:r>
              <w:t>150</w:t>
            </w:r>
          </w:p>
        </w:tc>
        <w:tc>
          <w:tcPr>
            <w:tcW w:w="590" w:type="pct"/>
            <w:noWrap w:val="0"/>
            <w:vAlign w:val="center"/>
          </w:tcPr>
          <w:p>
            <w:pPr>
              <w:pStyle w:val="28"/>
              <w:suppressLineNumbers w:val="0"/>
              <w:bidi w:val="0"/>
              <w:spacing w:before="0" w:after="0"/>
              <w:ind w:left="0" w:right="0"/>
            </w:pPr>
            <w:r>
              <w:t>60</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NOx</w:t>
            </w:r>
          </w:p>
        </w:tc>
        <w:tc>
          <w:tcPr>
            <w:tcW w:w="55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250</w:t>
            </w:r>
          </w:p>
        </w:tc>
        <w:tc>
          <w:tcPr>
            <w:tcW w:w="626"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590"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50</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pPr>
            <w:r>
              <w:t>NO</w:t>
            </w:r>
            <w:r>
              <w:rPr>
                <w:vertAlign w:val="subscript"/>
              </w:rPr>
              <w:t>2</w:t>
            </w:r>
          </w:p>
        </w:tc>
        <w:tc>
          <w:tcPr>
            <w:tcW w:w="553" w:type="pct"/>
            <w:noWrap w:val="0"/>
            <w:vAlign w:val="center"/>
          </w:tcPr>
          <w:p>
            <w:pPr>
              <w:pStyle w:val="28"/>
              <w:suppressLineNumbers w:val="0"/>
              <w:bidi w:val="0"/>
              <w:spacing w:before="0" w:after="0"/>
              <w:ind w:left="0" w:right="0"/>
            </w:pPr>
            <w:r>
              <w:t>200</w:t>
            </w:r>
          </w:p>
        </w:tc>
        <w:tc>
          <w:tcPr>
            <w:tcW w:w="626" w:type="pct"/>
            <w:noWrap w:val="0"/>
            <w:vAlign w:val="center"/>
          </w:tcPr>
          <w:p>
            <w:pPr>
              <w:pStyle w:val="28"/>
              <w:suppressLineNumbers w:val="0"/>
              <w:bidi w:val="0"/>
              <w:spacing w:before="0" w:after="0"/>
              <w:ind w:left="0" w:right="0"/>
            </w:pPr>
            <w:r>
              <w:t>80</w:t>
            </w:r>
          </w:p>
        </w:tc>
        <w:tc>
          <w:tcPr>
            <w:tcW w:w="590" w:type="pct"/>
            <w:noWrap w:val="0"/>
            <w:vAlign w:val="center"/>
          </w:tcPr>
          <w:p>
            <w:pPr>
              <w:pStyle w:val="28"/>
              <w:suppressLineNumbers w:val="0"/>
              <w:bidi w:val="0"/>
              <w:spacing w:before="0" w:after="0"/>
              <w:ind w:left="0" w:right="0"/>
            </w:pPr>
            <w:r>
              <w:t>40</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pPr>
            <w:r>
              <w:t>PM</w:t>
            </w:r>
            <w:r>
              <w:rPr>
                <w:vertAlign w:val="subscript"/>
              </w:rPr>
              <w:t>10</w:t>
            </w:r>
          </w:p>
        </w:tc>
        <w:tc>
          <w:tcPr>
            <w:tcW w:w="553" w:type="pct"/>
            <w:noWrap w:val="0"/>
            <w:vAlign w:val="center"/>
          </w:tcPr>
          <w:p>
            <w:pPr>
              <w:pStyle w:val="28"/>
              <w:suppressLineNumbers w:val="0"/>
              <w:bidi w:val="0"/>
              <w:spacing w:before="0" w:after="0"/>
              <w:ind w:left="0" w:right="0"/>
            </w:pPr>
            <w:r>
              <w:t>/</w:t>
            </w:r>
          </w:p>
        </w:tc>
        <w:tc>
          <w:tcPr>
            <w:tcW w:w="626" w:type="pct"/>
            <w:noWrap w:val="0"/>
            <w:vAlign w:val="center"/>
          </w:tcPr>
          <w:p>
            <w:pPr>
              <w:pStyle w:val="28"/>
              <w:suppressLineNumbers w:val="0"/>
              <w:bidi w:val="0"/>
              <w:spacing w:before="0" w:after="0"/>
              <w:ind w:left="0" w:right="0"/>
            </w:pPr>
            <w:r>
              <w:t>150</w:t>
            </w:r>
          </w:p>
        </w:tc>
        <w:tc>
          <w:tcPr>
            <w:tcW w:w="590" w:type="pct"/>
            <w:noWrap w:val="0"/>
            <w:vAlign w:val="center"/>
          </w:tcPr>
          <w:p>
            <w:pPr>
              <w:pStyle w:val="28"/>
              <w:suppressLineNumbers w:val="0"/>
              <w:bidi w:val="0"/>
              <w:spacing w:before="0" w:after="0"/>
              <w:ind w:left="0" w:right="0"/>
            </w:pPr>
            <w:r>
              <w:t>70</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pPr>
            <w:r>
              <w:t>PM</w:t>
            </w:r>
            <w:r>
              <w:rPr>
                <w:vertAlign w:val="subscript"/>
              </w:rPr>
              <w:t>2.5</w:t>
            </w:r>
          </w:p>
        </w:tc>
        <w:tc>
          <w:tcPr>
            <w:tcW w:w="553" w:type="pct"/>
            <w:noWrap w:val="0"/>
            <w:vAlign w:val="center"/>
          </w:tcPr>
          <w:p>
            <w:pPr>
              <w:pStyle w:val="28"/>
              <w:suppressLineNumbers w:val="0"/>
              <w:bidi w:val="0"/>
              <w:spacing w:before="0" w:after="0"/>
              <w:ind w:left="0" w:right="0"/>
            </w:pPr>
            <w:r>
              <w:t>/</w:t>
            </w:r>
          </w:p>
        </w:tc>
        <w:tc>
          <w:tcPr>
            <w:tcW w:w="626" w:type="pct"/>
            <w:noWrap w:val="0"/>
            <w:vAlign w:val="center"/>
          </w:tcPr>
          <w:p>
            <w:pPr>
              <w:pStyle w:val="28"/>
              <w:suppressLineNumbers w:val="0"/>
              <w:bidi w:val="0"/>
              <w:spacing w:before="0" w:after="0"/>
              <w:ind w:left="0" w:right="0"/>
            </w:pPr>
            <w:r>
              <w:t>75</w:t>
            </w:r>
          </w:p>
        </w:tc>
        <w:tc>
          <w:tcPr>
            <w:tcW w:w="590" w:type="pct"/>
            <w:noWrap w:val="0"/>
            <w:vAlign w:val="center"/>
          </w:tcPr>
          <w:p>
            <w:pPr>
              <w:pStyle w:val="28"/>
              <w:suppressLineNumbers w:val="0"/>
              <w:bidi w:val="0"/>
              <w:spacing w:before="0" w:after="0"/>
              <w:ind w:left="0" w:right="0"/>
            </w:pPr>
            <w:r>
              <w:t>35</w:t>
            </w:r>
          </w:p>
        </w:tc>
        <w:tc>
          <w:tcPr>
            <w:tcW w:w="2347"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noWrap w:val="0"/>
            <w:vAlign w:val="center"/>
          </w:tcPr>
          <w:p>
            <w:pPr>
              <w:pStyle w:val="28"/>
              <w:suppressLineNumbers w:val="0"/>
              <w:bidi w:val="0"/>
              <w:spacing w:before="0" w:after="0"/>
              <w:ind w:left="0" w:right="0"/>
              <w:rPr>
                <w:rFonts w:hint="eastAsia"/>
                <w:lang w:eastAsia="zh-CN"/>
              </w:rPr>
            </w:pPr>
            <w:r>
              <w:rPr>
                <w:rFonts w:hint="eastAsia"/>
                <w:lang w:eastAsia="zh-CN"/>
              </w:rPr>
              <w:t>非甲烷总烃</w:t>
            </w:r>
          </w:p>
        </w:tc>
        <w:tc>
          <w:tcPr>
            <w:tcW w:w="55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w:t>
            </w:r>
          </w:p>
        </w:tc>
        <w:tc>
          <w:tcPr>
            <w:tcW w:w="626"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590"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2347" w:type="pct"/>
            <w:noWrap w:val="0"/>
            <w:vAlign w:val="center"/>
          </w:tcPr>
          <w:p>
            <w:pPr>
              <w:pStyle w:val="28"/>
              <w:suppressLineNumbers w:val="0"/>
              <w:bidi w:val="0"/>
              <w:spacing w:before="0" w:after="0"/>
              <w:ind w:left="0" w:right="0"/>
            </w:pPr>
            <w:r>
              <w:rPr>
                <w:rFonts w:hint="eastAsia"/>
              </w:rPr>
              <w:t xml:space="preserve">《大气污染物综合排放标准详解》 </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2.6.1.2 地表水环境质量标准</w:t>
      </w:r>
    </w:p>
    <w:p>
      <w:pPr>
        <w:bidi w:val="0"/>
        <w:rPr>
          <w:rFonts w:hint="eastAsia"/>
          <w:lang w:eastAsia="zh-CN"/>
        </w:rPr>
      </w:pPr>
      <w:r>
        <w:rPr>
          <w:rFonts w:hint="eastAsia"/>
          <w:lang w:eastAsia="zh-CN"/>
        </w:rPr>
        <w:t>项目所在工业集中区区域河流主要为乌龙河、石安河和鲁兰河，根据《江苏省地表水环境功能区划》，乌龙河评价河段水质执行《地表水环境质量标准》（GB3838-2002）Ⅳ类标准，石安河、鲁兰河执行《地表水环境质量标准》（GB3838-2002）Ⅲ类标准。SS参照《地表水资源质量标准》(SL63-94)相应标准，</w:t>
      </w:r>
      <w:r>
        <w:rPr>
          <w:lang w:eastAsia="zh-CN"/>
        </w:rPr>
        <w:t>有关标准见表</w:t>
      </w:r>
      <w:r>
        <w:rPr>
          <w:rFonts w:hint="eastAsia"/>
          <w:lang w:val="en-US" w:eastAsia="zh-CN"/>
        </w:rPr>
        <w:t>2.6.1-2</w:t>
      </w:r>
      <w:r>
        <w:rPr>
          <w:lang w:eastAsia="zh-CN"/>
        </w:rPr>
        <w:t>。</w:t>
      </w:r>
    </w:p>
    <w:p>
      <w:pPr>
        <w:pStyle w:val="27"/>
        <w:bidi w:val="0"/>
        <w:rPr>
          <w:lang w:eastAsia="zh-CN"/>
        </w:rPr>
      </w:pPr>
      <w:r>
        <w:rPr>
          <w:lang w:eastAsia="zh-CN"/>
        </w:rPr>
        <w:t>表</w:t>
      </w:r>
      <w:r>
        <w:rPr>
          <w:rFonts w:hint="eastAsia"/>
          <w:lang w:val="en-US" w:eastAsia="zh-CN"/>
        </w:rPr>
        <w:t>2.6.1-2</w:t>
      </w:r>
      <w:r>
        <w:rPr>
          <w:lang w:eastAsia="zh-CN"/>
        </w:rPr>
        <w:t xml:space="preserve"> 地表水环境质量标准    单位：mg/l（pH为无量纲）</w:t>
      </w:r>
    </w:p>
    <w:tbl>
      <w:tblPr>
        <w:tblStyle w:val="21"/>
        <w:tblW w:w="5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80"/>
        <w:gridCol w:w="1033"/>
        <w:gridCol w:w="554"/>
        <w:gridCol w:w="1189"/>
        <w:gridCol w:w="923"/>
        <w:gridCol w:w="1373"/>
        <w:gridCol w:w="619"/>
        <w:gridCol w:w="658"/>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项目</w:t>
            </w:r>
          </w:p>
        </w:tc>
        <w:tc>
          <w:tcPr>
            <w:tcW w:w="502"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pH</w:t>
            </w:r>
          </w:p>
        </w:tc>
        <w:tc>
          <w:tcPr>
            <w:tcW w:w="52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COD</w:t>
            </w:r>
          </w:p>
        </w:tc>
        <w:tc>
          <w:tcPr>
            <w:tcW w:w="284"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SS</w:t>
            </w:r>
          </w:p>
        </w:tc>
        <w:tc>
          <w:tcPr>
            <w:tcW w:w="60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BOD</w:t>
            </w:r>
            <w:r>
              <w:rPr>
                <w:sz w:val="21"/>
                <w:szCs w:val="21"/>
                <w:vertAlign w:val="subscript"/>
              </w:rPr>
              <w:t>5</w:t>
            </w:r>
          </w:p>
        </w:tc>
        <w:tc>
          <w:tcPr>
            <w:tcW w:w="47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LAS</w:t>
            </w:r>
          </w:p>
        </w:tc>
        <w:tc>
          <w:tcPr>
            <w:tcW w:w="70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NH</w:t>
            </w:r>
            <w:r>
              <w:rPr>
                <w:sz w:val="21"/>
                <w:szCs w:val="21"/>
                <w:vertAlign w:val="subscript"/>
              </w:rPr>
              <w:t>3</w:t>
            </w:r>
            <w:r>
              <w:rPr>
                <w:sz w:val="21"/>
                <w:szCs w:val="21"/>
              </w:rPr>
              <w:t>-N</w:t>
            </w:r>
          </w:p>
        </w:tc>
        <w:tc>
          <w:tcPr>
            <w:tcW w:w="31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TP</w:t>
            </w:r>
          </w:p>
        </w:tc>
        <w:tc>
          <w:tcPr>
            <w:tcW w:w="33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sz w:val="21"/>
                <w:szCs w:val="21"/>
                <w:lang w:val="en-US" w:eastAsia="zh-CN"/>
              </w:rPr>
            </w:pPr>
            <w:r>
              <w:rPr>
                <w:rFonts w:hint="eastAsia"/>
                <w:sz w:val="21"/>
                <w:szCs w:val="21"/>
                <w:lang w:val="en-US" w:eastAsia="zh-CN"/>
              </w:rPr>
              <w:t>TN</w:t>
            </w:r>
          </w:p>
        </w:tc>
        <w:tc>
          <w:tcPr>
            <w:tcW w:w="75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eastAsia="宋体"/>
                <w:sz w:val="21"/>
                <w:szCs w:val="21"/>
                <w:lang w:eastAsia="zh-CN"/>
              </w:rPr>
            </w:pPr>
            <w:r>
              <w:rPr>
                <w:rFonts w:hint="eastAsia"/>
                <w:sz w:val="21"/>
                <w:szCs w:val="21"/>
                <w:lang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rFonts w:hint="eastAsia"/>
                <w:sz w:val="21"/>
                <w:szCs w:val="21"/>
              </w:rPr>
              <w:t>Ⅲ</w:t>
            </w:r>
            <w:r>
              <w:rPr>
                <w:sz w:val="21"/>
                <w:szCs w:val="21"/>
              </w:rPr>
              <w:t>类</w:t>
            </w:r>
          </w:p>
        </w:tc>
        <w:tc>
          <w:tcPr>
            <w:tcW w:w="502"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6～9</w:t>
            </w:r>
          </w:p>
        </w:tc>
        <w:tc>
          <w:tcPr>
            <w:tcW w:w="52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rPr>
            </w:pPr>
            <w:r>
              <w:rPr>
                <w:rFonts w:hint="eastAsia"/>
                <w:sz w:val="21"/>
                <w:szCs w:val="21"/>
              </w:rPr>
              <w:t>20</w:t>
            </w:r>
          </w:p>
        </w:tc>
        <w:tc>
          <w:tcPr>
            <w:tcW w:w="284"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rPr>
            </w:pPr>
            <w:r>
              <w:rPr>
                <w:rFonts w:hint="eastAsia"/>
                <w:sz w:val="21"/>
                <w:szCs w:val="21"/>
              </w:rPr>
              <w:t>30</w:t>
            </w:r>
          </w:p>
        </w:tc>
        <w:tc>
          <w:tcPr>
            <w:tcW w:w="60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rPr>
            </w:pPr>
            <w:r>
              <w:rPr>
                <w:rFonts w:hint="eastAsia"/>
                <w:sz w:val="21"/>
                <w:szCs w:val="21"/>
              </w:rPr>
              <w:t>4</w:t>
            </w:r>
          </w:p>
        </w:tc>
        <w:tc>
          <w:tcPr>
            <w:tcW w:w="47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lang w:eastAsia="zh-CN"/>
              </w:rPr>
            </w:pPr>
            <w:r>
              <w:rPr>
                <w:rFonts w:hint="eastAsia"/>
                <w:sz w:val="21"/>
                <w:szCs w:val="21"/>
                <w:lang w:eastAsia="zh-CN"/>
              </w:rPr>
              <w:t>0.2</w:t>
            </w:r>
          </w:p>
        </w:tc>
        <w:tc>
          <w:tcPr>
            <w:tcW w:w="70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rPr>
            </w:pPr>
            <w:r>
              <w:rPr>
                <w:rFonts w:hint="eastAsia"/>
                <w:sz w:val="21"/>
                <w:szCs w:val="21"/>
              </w:rPr>
              <w:t>1</w:t>
            </w:r>
          </w:p>
        </w:tc>
        <w:tc>
          <w:tcPr>
            <w:tcW w:w="31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rPr>
            </w:pPr>
            <w:r>
              <w:rPr>
                <w:rFonts w:hint="eastAsia"/>
                <w:sz w:val="21"/>
                <w:szCs w:val="21"/>
              </w:rPr>
              <w:t>0.2</w:t>
            </w:r>
          </w:p>
        </w:tc>
        <w:tc>
          <w:tcPr>
            <w:tcW w:w="33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sz w:val="21"/>
                <w:szCs w:val="21"/>
                <w:lang w:val="en-US" w:eastAsia="zh-CN"/>
              </w:rPr>
            </w:pPr>
            <w:r>
              <w:rPr>
                <w:rFonts w:hint="eastAsia"/>
                <w:sz w:val="21"/>
                <w:szCs w:val="21"/>
                <w:lang w:val="en-US" w:eastAsia="zh-CN"/>
              </w:rPr>
              <w:t>1.0</w:t>
            </w:r>
          </w:p>
        </w:tc>
        <w:tc>
          <w:tcPr>
            <w:tcW w:w="75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sz w:val="21"/>
                <w:szCs w:val="21"/>
                <w:lang w:val="en-US" w:eastAsia="zh-CN"/>
              </w:rPr>
            </w:pPr>
            <w:r>
              <w:rPr>
                <w:rFonts w:hint="eastAsia"/>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rFonts w:hint="eastAsia"/>
                <w:sz w:val="21"/>
                <w:szCs w:val="21"/>
              </w:rPr>
              <w:t>Ⅳ</w:t>
            </w:r>
            <w:r>
              <w:rPr>
                <w:sz w:val="21"/>
                <w:szCs w:val="21"/>
              </w:rPr>
              <w:t>类</w:t>
            </w:r>
          </w:p>
        </w:tc>
        <w:tc>
          <w:tcPr>
            <w:tcW w:w="502"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6～9</w:t>
            </w:r>
          </w:p>
        </w:tc>
        <w:tc>
          <w:tcPr>
            <w:tcW w:w="52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30</w:t>
            </w:r>
          </w:p>
        </w:tc>
        <w:tc>
          <w:tcPr>
            <w:tcW w:w="284"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60</w:t>
            </w:r>
          </w:p>
        </w:tc>
        <w:tc>
          <w:tcPr>
            <w:tcW w:w="609"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6</w:t>
            </w:r>
          </w:p>
        </w:tc>
        <w:tc>
          <w:tcPr>
            <w:tcW w:w="47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sz w:val="21"/>
                <w:szCs w:val="21"/>
                <w:lang w:eastAsia="zh-CN"/>
              </w:rPr>
            </w:pPr>
            <w:r>
              <w:rPr>
                <w:rFonts w:hint="eastAsia"/>
                <w:sz w:val="21"/>
                <w:szCs w:val="21"/>
                <w:lang w:eastAsia="zh-CN"/>
              </w:rPr>
              <w:t>0.3</w:t>
            </w:r>
          </w:p>
        </w:tc>
        <w:tc>
          <w:tcPr>
            <w:tcW w:w="703"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1.5</w:t>
            </w:r>
          </w:p>
        </w:tc>
        <w:tc>
          <w:tcPr>
            <w:tcW w:w="31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0.3</w:t>
            </w:r>
          </w:p>
        </w:tc>
        <w:tc>
          <w:tcPr>
            <w:tcW w:w="337"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sz w:val="21"/>
                <w:szCs w:val="21"/>
                <w:lang w:val="en-US" w:eastAsia="zh-CN"/>
              </w:rPr>
            </w:pPr>
            <w:r>
              <w:rPr>
                <w:rFonts w:hint="eastAsia"/>
                <w:sz w:val="21"/>
                <w:szCs w:val="21"/>
                <w:lang w:val="en-US" w:eastAsia="zh-CN"/>
              </w:rPr>
              <w:t>1.5</w:t>
            </w:r>
          </w:p>
        </w:tc>
        <w:tc>
          <w:tcPr>
            <w:tcW w:w="75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sz w:val="21"/>
                <w:szCs w:val="21"/>
                <w:lang w:val="en-US" w:eastAsia="zh-CN"/>
              </w:rPr>
            </w:pPr>
            <w:r>
              <w:rPr>
                <w:rFonts w:hint="eastAsia"/>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1" w:type="pct"/>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rPr>
            </w:pPr>
            <w:r>
              <w:rPr>
                <w:sz w:val="21"/>
                <w:szCs w:val="21"/>
              </w:rPr>
              <w:t>标准</w:t>
            </w:r>
          </w:p>
        </w:tc>
        <w:tc>
          <w:tcPr>
            <w:tcW w:w="4508" w:type="pct"/>
            <w:gridSpan w:val="9"/>
            <w:tcBorders>
              <w:tl2br w:val="nil"/>
              <w:tr2bl w:val="nil"/>
            </w:tcBorders>
            <w:noWrap w:val="0"/>
            <w:tcMar>
              <w:left w:w="0" w:type="dxa"/>
              <w:right w:w="0"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sz w:val="21"/>
                <w:szCs w:val="21"/>
                <w:lang w:eastAsia="zh-CN"/>
              </w:rPr>
            </w:pPr>
            <w:r>
              <w:rPr>
                <w:sz w:val="21"/>
                <w:szCs w:val="21"/>
                <w:lang w:eastAsia="zh-CN"/>
              </w:rPr>
              <w:t>《地表水环境质量标准》（GB3838-2002）</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default"/>
          <w:lang w:val="en-US" w:eastAsia="zh-CN"/>
        </w:rPr>
      </w:pPr>
      <w:r>
        <w:rPr>
          <w:rFonts w:hint="eastAsia"/>
          <w:lang w:val="en-US" w:eastAsia="zh-CN"/>
        </w:rPr>
        <w:t>2.6.1.3 声环境质量标准</w:t>
      </w:r>
    </w:p>
    <w:p>
      <w:pPr>
        <w:bidi w:val="0"/>
      </w:pPr>
      <w:r>
        <w:t>本项目所在区域为环境噪声3类功能区，执行《声环境质量标准》（GB3096-2008）中的3类标准。具体见表</w:t>
      </w:r>
      <w:r>
        <w:rPr>
          <w:rFonts w:hint="eastAsia"/>
          <w:lang w:val="en-US" w:eastAsia="zh-CN"/>
        </w:rPr>
        <w:t>2.6.1-3</w:t>
      </w:r>
      <w:r>
        <w:t>。</w:t>
      </w:r>
    </w:p>
    <w:p>
      <w:pPr>
        <w:pStyle w:val="27"/>
        <w:bidi w:val="0"/>
      </w:pPr>
      <w:r>
        <w:t>表</w:t>
      </w:r>
      <w:r>
        <w:rPr>
          <w:rFonts w:hint="eastAsia"/>
          <w:lang w:val="en-US" w:eastAsia="zh-CN"/>
        </w:rPr>
        <w:t>2.6.1-3</w:t>
      </w:r>
      <w:r>
        <w:t xml:space="preserve"> 声环境质量标准限值</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130"/>
        <w:gridCol w:w="2130"/>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6" w:type="pct"/>
            <w:vMerge w:val="restart"/>
            <w:noWrap w:val="0"/>
            <w:vAlign w:val="center"/>
          </w:tcPr>
          <w:p>
            <w:pPr>
              <w:pStyle w:val="28"/>
              <w:suppressLineNumbers w:val="0"/>
              <w:bidi w:val="0"/>
              <w:spacing w:before="0" w:after="0"/>
              <w:ind w:left="0" w:right="0"/>
            </w:pPr>
            <w:r>
              <w:t>类别</w:t>
            </w:r>
          </w:p>
        </w:tc>
        <w:tc>
          <w:tcPr>
            <w:tcW w:w="2138" w:type="pct"/>
            <w:gridSpan w:val="2"/>
            <w:noWrap w:val="0"/>
            <w:vAlign w:val="center"/>
          </w:tcPr>
          <w:p>
            <w:pPr>
              <w:pStyle w:val="28"/>
              <w:suppressLineNumbers w:val="0"/>
              <w:bidi w:val="0"/>
              <w:spacing w:before="0" w:after="0"/>
              <w:ind w:left="0" w:right="0"/>
            </w:pPr>
            <w:r>
              <w:t>标准值</w:t>
            </w:r>
          </w:p>
        </w:tc>
        <w:tc>
          <w:tcPr>
            <w:tcW w:w="2135" w:type="pct"/>
            <w:vMerge w:val="restart"/>
            <w:noWrap w:val="0"/>
            <w:vAlign w:val="center"/>
          </w:tcPr>
          <w:p>
            <w:pPr>
              <w:pStyle w:val="28"/>
              <w:suppressLineNumbers w:val="0"/>
              <w:bidi w:val="0"/>
              <w:spacing w:before="0" w:after="0"/>
              <w:ind w:left="0" w:right="0"/>
            </w:pPr>
            <w: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6" w:type="pct"/>
            <w:vMerge w:val="continue"/>
            <w:noWrap w:val="0"/>
            <w:vAlign w:val="center"/>
          </w:tcPr>
          <w:p>
            <w:pPr>
              <w:pStyle w:val="28"/>
              <w:suppressLineNumbers w:val="0"/>
              <w:bidi w:val="0"/>
              <w:spacing w:before="0" w:after="0"/>
              <w:ind w:left="0" w:right="0"/>
              <w:outlineLvl w:val="9"/>
            </w:pPr>
          </w:p>
        </w:tc>
        <w:tc>
          <w:tcPr>
            <w:tcW w:w="1069" w:type="pct"/>
            <w:noWrap w:val="0"/>
            <w:vAlign w:val="center"/>
          </w:tcPr>
          <w:p>
            <w:pPr>
              <w:pStyle w:val="28"/>
              <w:suppressLineNumbers w:val="0"/>
              <w:bidi w:val="0"/>
              <w:spacing w:before="0" w:after="0"/>
              <w:ind w:left="0" w:right="0"/>
            </w:pPr>
            <w:r>
              <w:t>昼间 dB（A）</w:t>
            </w:r>
          </w:p>
        </w:tc>
        <w:tc>
          <w:tcPr>
            <w:tcW w:w="1069" w:type="pct"/>
            <w:noWrap w:val="0"/>
            <w:vAlign w:val="center"/>
          </w:tcPr>
          <w:p>
            <w:pPr>
              <w:pStyle w:val="28"/>
              <w:suppressLineNumbers w:val="0"/>
              <w:bidi w:val="0"/>
              <w:spacing w:before="0" w:after="0"/>
              <w:ind w:left="0" w:right="0"/>
            </w:pPr>
            <w:r>
              <w:t>夜间 dB（A）</w:t>
            </w:r>
          </w:p>
        </w:tc>
        <w:tc>
          <w:tcPr>
            <w:tcW w:w="213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26" w:type="pct"/>
            <w:noWrap w:val="0"/>
            <w:vAlign w:val="center"/>
          </w:tcPr>
          <w:p>
            <w:pPr>
              <w:pStyle w:val="28"/>
              <w:suppressLineNumbers w:val="0"/>
              <w:bidi w:val="0"/>
              <w:spacing w:before="0" w:after="0"/>
              <w:ind w:left="0" w:right="0"/>
            </w:pPr>
            <w:r>
              <w:t>3类</w:t>
            </w:r>
          </w:p>
        </w:tc>
        <w:tc>
          <w:tcPr>
            <w:tcW w:w="1069" w:type="pct"/>
            <w:noWrap w:val="0"/>
            <w:vAlign w:val="center"/>
          </w:tcPr>
          <w:p>
            <w:pPr>
              <w:pStyle w:val="28"/>
              <w:suppressLineNumbers w:val="0"/>
              <w:bidi w:val="0"/>
              <w:spacing w:before="0" w:after="0"/>
              <w:ind w:left="0" w:right="0"/>
            </w:pPr>
            <w:r>
              <w:t>65</w:t>
            </w:r>
          </w:p>
        </w:tc>
        <w:tc>
          <w:tcPr>
            <w:tcW w:w="1069" w:type="pct"/>
            <w:noWrap w:val="0"/>
            <w:vAlign w:val="center"/>
          </w:tcPr>
          <w:p>
            <w:pPr>
              <w:pStyle w:val="28"/>
              <w:suppressLineNumbers w:val="0"/>
              <w:bidi w:val="0"/>
              <w:spacing w:before="0" w:after="0"/>
              <w:ind w:left="0" w:right="0"/>
            </w:pPr>
            <w:r>
              <w:t>55</w:t>
            </w:r>
          </w:p>
        </w:tc>
        <w:tc>
          <w:tcPr>
            <w:tcW w:w="2135" w:type="pct"/>
            <w:noWrap w:val="0"/>
            <w:vAlign w:val="center"/>
          </w:tcPr>
          <w:p>
            <w:pPr>
              <w:pStyle w:val="28"/>
              <w:suppressLineNumbers w:val="0"/>
              <w:bidi w:val="0"/>
              <w:spacing w:before="0" w:after="0"/>
              <w:ind w:left="0" w:right="0"/>
            </w:pPr>
            <w:r>
              <w:t>《声环境质量标准》（GB3096-2008）</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2.6.1.4地下水</w:t>
      </w:r>
    </w:p>
    <w:p>
      <w:pPr>
        <w:bidi w:val="0"/>
      </w:pPr>
      <w:r>
        <w:t>地下水按《地下水质量标准》（GB/T14848-2017）进行分类评价。其主要指标值见表</w:t>
      </w:r>
      <w:r>
        <w:rPr>
          <w:rFonts w:hint="eastAsia"/>
          <w:lang w:val="en-US" w:eastAsia="zh-CN"/>
        </w:rPr>
        <w:t>2.6.1-4</w:t>
      </w:r>
      <w:r>
        <w:t>。</w:t>
      </w:r>
    </w:p>
    <w:p>
      <w:pPr>
        <w:pStyle w:val="27"/>
        <w:bidi w:val="0"/>
      </w:pPr>
      <w:r>
        <w:rPr>
          <w:lang w:val="en-US" w:eastAsia="zh-CN"/>
        </w:rPr>
        <w:t>表</w:t>
      </w:r>
      <w:r>
        <w:rPr>
          <w:rFonts w:hint="eastAsia"/>
          <w:lang w:val="en-US" w:eastAsia="zh-CN"/>
        </w:rPr>
        <w:t>2.6.1</w:t>
      </w:r>
      <w:r>
        <w:rPr>
          <w:lang w:val="en-US" w:eastAsia="zh-CN"/>
        </w:rPr>
        <w:t>-4  地下水质量分类标准值</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9"/>
        <w:gridCol w:w="2917"/>
        <w:gridCol w:w="874"/>
        <w:gridCol w:w="1063"/>
        <w:gridCol w:w="893"/>
        <w:gridCol w:w="1618"/>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序号</w:t>
            </w:r>
          </w:p>
        </w:tc>
        <w:tc>
          <w:tcPr>
            <w:tcW w:w="2917" w:type="dxa"/>
            <w:tcBorders>
              <w:tl2br w:val="nil"/>
              <w:tr2bl w:val="nil"/>
            </w:tcBorders>
            <w:noWrap w:val="0"/>
            <w:vAlign w:val="center"/>
          </w:tcPr>
          <w:p>
            <w:pPr>
              <w:pStyle w:val="28"/>
              <w:suppressLineNumbers w:val="0"/>
              <w:bidi w:val="0"/>
              <w:spacing w:before="0" w:after="0"/>
              <w:ind w:left="0" w:right="0"/>
            </w:pPr>
            <w:r>
              <w:t>指标类别</w:t>
            </w:r>
          </w:p>
        </w:tc>
        <w:tc>
          <w:tcPr>
            <w:tcW w:w="874" w:type="dxa"/>
            <w:tcBorders>
              <w:tl2br w:val="nil"/>
              <w:tr2bl w:val="nil"/>
            </w:tcBorders>
            <w:noWrap w:val="0"/>
            <w:vAlign w:val="center"/>
          </w:tcPr>
          <w:p>
            <w:pPr>
              <w:pStyle w:val="28"/>
              <w:suppressLineNumbers w:val="0"/>
              <w:bidi w:val="0"/>
              <w:spacing w:before="0" w:after="0"/>
              <w:ind w:left="0" w:right="0"/>
            </w:pPr>
            <w:r>
              <w:rPr>
                <w:rFonts w:hint="eastAsia"/>
              </w:rPr>
              <w:t>Ⅰ</w:t>
            </w:r>
            <w:r>
              <w:t>类</w:t>
            </w:r>
          </w:p>
        </w:tc>
        <w:tc>
          <w:tcPr>
            <w:tcW w:w="1063" w:type="dxa"/>
            <w:tcBorders>
              <w:tl2br w:val="nil"/>
              <w:tr2bl w:val="nil"/>
            </w:tcBorders>
            <w:noWrap w:val="0"/>
            <w:vAlign w:val="center"/>
          </w:tcPr>
          <w:p>
            <w:pPr>
              <w:pStyle w:val="28"/>
              <w:suppressLineNumbers w:val="0"/>
              <w:bidi w:val="0"/>
              <w:spacing w:before="0" w:after="0"/>
              <w:ind w:left="0" w:right="0"/>
            </w:pPr>
            <w:r>
              <w:rPr>
                <w:rFonts w:hint="eastAsia"/>
              </w:rPr>
              <w:t>Ⅱ</w:t>
            </w:r>
            <w:r>
              <w:t>类</w:t>
            </w:r>
          </w:p>
        </w:tc>
        <w:tc>
          <w:tcPr>
            <w:tcW w:w="893" w:type="dxa"/>
            <w:tcBorders>
              <w:tl2br w:val="nil"/>
              <w:tr2bl w:val="nil"/>
            </w:tcBorders>
            <w:noWrap w:val="0"/>
            <w:vAlign w:val="center"/>
          </w:tcPr>
          <w:p>
            <w:pPr>
              <w:pStyle w:val="28"/>
              <w:suppressLineNumbers w:val="0"/>
              <w:bidi w:val="0"/>
              <w:spacing w:before="0" w:after="0"/>
              <w:ind w:left="0" w:right="0"/>
            </w:pPr>
            <w:r>
              <w:rPr>
                <w:rFonts w:hint="eastAsia"/>
              </w:rPr>
              <w:t>Ⅲ</w:t>
            </w:r>
            <w:r>
              <w:t>类</w:t>
            </w:r>
          </w:p>
        </w:tc>
        <w:tc>
          <w:tcPr>
            <w:tcW w:w="1618" w:type="dxa"/>
            <w:tcBorders>
              <w:tl2br w:val="nil"/>
              <w:tr2bl w:val="nil"/>
            </w:tcBorders>
            <w:noWrap w:val="0"/>
            <w:vAlign w:val="center"/>
          </w:tcPr>
          <w:p>
            <w:pPr>
              <w:pStyle w:val="28"/>
              <w:suppressLineNumbers w:val="0"/>
              <w:bidi w:val="0"/>
              <w:spacing w:before="0" w:after="0"/>
              <w:ind w:left="0" w:right="0"/>
            </w:pPr>
            <w:r>
              <w:rPr>
                <w:rFonts w:hint="eastAsia"/>
              </w:rPr>
              <w:t>Ⅳ</w:t>
            </w:r>
            <w:r>
              <w:t>类</w:t>
            </w:r>
          </w:p>
        </w:tc>
        <w:tc>
          <w:tcPr>
            <w:tcW w:w="1185" w:type="dxa"/>
            <w:tcBorders>
              <w:tl2br w:val="nil"/>
              <w:tr2bl w:val="nil"/>
            </w:tcBorders>
            <w:noWrap w:val="0"/>
            <w:vAlign w:val="center"/>
          </w:tcPr>
          <w:p>
            <w:pPr>
              <w:pStyle w:val="28"/>
              <w:suppressLineNumbers w:val="0"/>
              <w:bidi w:val="0"/>
              <w:spacing w:before="0" w:after="0"/>
              <w:ind w:left="0" w:right="0"/>
            </w:pPr>
            <w:r>
              <w:rPr>
                <w:rFonts w:hint="eastAsia"/>
              </w:rPr>
              <w:t>Ⅴ</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279" w:type="dxa"/>
            <w:gridSpan w:val="7"/>
            <w:tcBorders>
              <w:tl2br w:val="nil"/>
              <w:tr2bl w:val="nil"/>
            </w:tcBorders>
            <w:noWrap w:val="0"/>
            <w:vAlign w:val="center"/>
          </w:tcPr>
          <w:p>
            <w:pPr>
              <w:pStyle w:val="28"/>
              <w:suppressLineNumbers w:val="0"/>
              <w:bidi w:val="0"/>
              <w:spacing w:before="0" w:after="0"/>
              <w:ind w:left="0" w:right="0"/>
              <w:rPr>
                <w:rFonts w:hint="eastAsia"/>
              </w:rPr>
            </w:pPr>
            <w:r>
              <w:t>感官性状及一般化学指标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w:t>
            </w:r>
          </w:p>
        </w:tc>
        <w:tc>
          <w:tcPr>
            <w:tcW w:w="2917" w:type="dxa"/>
            <w:tcBorders>
              <w:tl2br w:val="nil"/>
              <w:tr2bl w:val="nil"/>
            </w:tcBorders>
            <w:noWrap w:val="0"/>
            <w:vAlign w:val="center"/>
          </w:tcPr>
          <w:p>
            <w:pPr>
              <w:pStyle w:val="28"/>
              <w:suppressLineNumbers w:val="0"/>
              <w:bidi w:val="0"/>
              <w:spacing w:before="0" w:after="0"/>
              <w:ind w:left="0" w:right="0"/>
            </w:pPr>
            <w:r>
              <w:t>pH</w:t>
            </w:r>
          </w:p>
        </w:tc>
        <w:tc>
          <w:tcPr>
            <w:tcW w:w="2830" w:type="dxa"/>
            <w:gridSpan w:val="3"/>
            <w:tcBorders>
              <w:tl2br w:val="nil"/>
              <w:tr2bl w:val="nil"/>
            </w:tcBorders>
            <w:noWrap w:val="0"/>
            <w:vAlign w:val="center"/>
          </w:tcPr>
          <w:p>
            <w:pPr>
              <w:pStyle w:val="28"/>
              <w:suppressLineNumbers w:val="0"/>
              <w:bidi w:val="0"/>
              <w:spacing w:before="0" w:after="0"/>
              <w:ind w:left="0" w:right="0"/>
            </w:pPr>
            <w:r>
              <w:t>6.5～8.5</w:t>
            </w:r>
          </w:p>
        </w:tc>
        <w:tc>
          <w:tcPr>
            <w:tcW w:w="1618" w:type="dxa"/>
            <w:tcBorders>
              <w:tl2br w:val="nil"/>
              <w:tr2bl w:val="nil"/>
            </w:tcBorders>
            <w:noWrap w:val="0"/>
            <w:vAlign w:val="center"/>
          </w:tcPr>
          <w:p>
            <w:pPr>
              <w:pStyle w:val="28"/>
              <w:suppressLineNumbers w:val="0"/>
              <w:bidi w:val="0"/>
              <w:spacing w:before="0" w:after="0"/>
              <w:ind w:left="0" w:right="0"/>
            </w:pPr>
            <w:r>
              <w:t>5.5～6.5，8.5～9</w:t>
            </w:r>
          </w:p>
        </w:tc>
        <w:tc>
          <w:tcPr>
            <w:tcW w:w="1185" w:type="dxa"/>
            <w:tcBorders>
              <w:tl2br w:val="nil"/>
              <w:tr2bl w:val="nil"/>
            </w:tcBorders>
            <w:noWrap w:val="0"/>
            <w:vAlign w:val="center"/>
          </w:tcPr>
          <w:p>
            <w:pPr>
              <w:pStyle w:val="28"/>
              <w:suppressLineNumbers w:val="0"/>
              <w:bidi w:val="0"/>
              <w:spacing w:before="0" w:after="0"/>
              <w:ind w:left="0" w:right="0"/>
            </w:pPr>
            <w:r>
              <w:t>&lt;5.5，&gt;9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2</w:t>
            </w:r>
          </w:p>
        </w:tc>
        <w:tc>
          <w:tcPr>
            <w:tcW w:w="2917" w:type="dxa"/>
            <w:tcBorders>
              <w:tl2br w:val="nil"/>
              <w:tr2bl w:val="nil"/>
            </w:tcBorders>
            <w:noWrap w:val="0"/>
            <w:vAlign w:val="center"/>
          </w:tcPr>
          <w:p>
            <w:pPr>
              <w:pStyle w:val="28"/>
              <w:suppressLineNumbers w:val="0"/>
              <w:bidi w:val="0"/>
              <w:spacing w:before="0" w:after="0"/>
              <w:ind w:left="0" w:right="0"/>
            </w:pPr>
            <w:r>
              <w:rPr>
                <w:rFonts w:hint="eastAsia"/>
              </w:rPr>
              <w:t>耗氧量(</w:t>
            </w:r>
            <w:r>
              <w:t>COD</w:t>
            </w:r>
            <w:r>
              <w:rPr>
                <w:vertAlign w:val="subscript"/>
              </w:rPr>
              <w:t>Mn</w:t>
            </w:r>
            <w:r>
              <w:rPr>
                <w:rFonts w:hint="eastAsia"/>
              </w:rPr>
              <w:t>法，</w:t>
            </w:r>
            <w:r>
              <w:t>以</w:t>
            </w:r>
            <w:r>
              <w:rPr>
                <w:rFonts w:hint="eastAsia"/>
              </w:rPr>
              <w:t>O</w:t>
            </w:r>
            <w:r>
              <w:rPr>
                <w:rFonts w:hint="eastAsia"/>
                <w:vertAlign w:val="subscript"/>
              </w:rPr>
              <w:t>2</w:t>
            </w:r>
            <w:r>
              <w:rPr>
                <w:rFonts w:hint="eastAsia"/>
              </w:rPr>
              <w:t>计</w:t>
            </w:r>
            <w:r>
              <w:t>/mg/L)</w:t>
            </w:r>
          </w:p>
        </w:tc>
        <w:tc>
          <w:tcPr>
            <w:tcW w:w="874" w:type="dxa"/>
            <w:tcBorders>
              <w:tl2br w:val="nil"/>
              <w:tr2bl w:val="nil"/>
            </w:tcBorders>
            <w:noWrap w:val="0"/>
            <w:vAlign w:val="center"/>
          </w:tcPr>
          <w:p>
            <w:pPr>
              <w:pStyle w:val="28"/>
              <w:suppressLineNumbers w:val="0"/>
              <w:bidi w:val="0"/>
              <w:spacing w:before="0" w:after="0"/>
              <w:ind w:left="0" w:right="0"/>
            </w:pPr>
            <w:r>
              <w:t>≤1.0</w:t>
            </w:r>
          </w:p>
        </w:tc>
        <w:tc>
          <w:tcPr>
            <w:tcW w:w="1063" w:type="dxa"/>
            <w:tcBorders>
              <w:tl2br w:val="nil"/>
              <w:tr2bl w:val="nil"/>
            </w:tcBorders>
            <w:noWrap w:val="0"/>
            <w:vAlign w:val="center"/>
          </w:tcPr>
          <w:p>
            <w:pPr>
              <w:pStyle w:val="28"/>
              <w:suppressLineNumbers w:val="0"/>
              <w:bidi w:val="0"/>
              <w:spacing w:before="0" w:after="0"/>
              <w:ind w:left="0" w:right="0"/>
            </w:pPr>
            <w:r>
              <w:t>≤2.0</w:t>
            </w:r>
          </w:p>
        </w:tc>
        <w:tc>
          <w:tcPr>
            <w:tcW w:w="893" w:type="dxa"/>
            <w:tcBorders>
              <w:tl2br w:val="nil"/>
              <w:tr2bl w:val="nil"/>
            </w:tcBorders>
            <w:noWrap w:val="0"/>
            <w:vAlign w:val="center"/>
          </w:tcPr>
          <w:p>
            <w:pPr>
              <w:pStyle w:val="28"/>
              <w:suppressLineNumbers w:val="0"/>
              <w:bidi w:val="0"/>
              <w:spacing w:before="0" w:after="0"/>
              <w:ind w:left="0" w:right="0"/>
            </w:pPr>
            <w:r>
              <w:t>≤3.0</w:t>
            </w:r>
          </w:p>
        </w:tc>
        <w:tc>
          <w:tcPr>
            <w:tcW w:w="1618" w:type="dxa"/>
            <w:tcBorders>
              <w:tl2br w:val="nil"/>
              <w:tr2bl w:val="nil"/>
            </w:tcBorders>
            <w:noWrap w:val="0"/>
            <w:vAlign w:val="center"/>
          </w:tcPr>
          <w:p>
            <w:pPr>
              <w:pStyle w:val="28"/>
              <w:suppressLineNumbers w:val="0"/>
              <w:bidi w:val="0"/>
              <w:spacing w:before="0" w:after="0"/>
              <w:ind w:left="0" w:right="0"/>
            </w:pPr>
            <w:r>
              <w:t>≤10</w:t>
            </w:r>
          </w:p>
        </w:tc>
        <w:tc>
          <w:tcPr>
            <w:tcW w:w="1185" w:type="dxa"/>
            <w:tcBorders>
              <w:tl2br w:val="nil"/>
              <w:tr2bl w:val="nil"/>
            </w:tcBorders>
            <w:noWrap w:val="0"/>
            <w:vAlign w:val="center"/>
          </w:tcPr>
          <w:p>
            <w:pPr>
              <w:pStyle w:val="28"/>
              <w:suppressLineNumbers w:val="0"/>
              <w:bidi w:val="0"/>
              <w:spacing w:before="0" w:after="0"/>
              <w:ind w:left="0" w:right="0"/>
            </w:pPr>
            <w: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29" w:type="dxa"/>
            <w:tcBorders>
              <w:tl2br w:val="nil"/>
              <w:tr2bl w:val="nil"/>
            </w:tcBorders>
            <w:noWrap w:val="0"/>
            <w:vAlign w:val="center"/>
          </w:tcPr>
          <w:p>
            <w:pPr>
              <w:pStyle w:val="28"/>
              <w:suppressLineNumbers w:val="0"/>
              <w:bidi w:val="0"/>
              <w:spacing w:before="0" w:after="0"/>
              <w:ind w:left="0" w:right="0"/>
            </w:pPr>
            <w:r>
              <w:t>3</w:t>
            </w:r>
          </w:p>
        </w:tc>
        <w:tc>
          <w:tcPr>
            <w:tcW w:w="2917" w:type="dxa"/>
            <w:tcBorders>
              <w:tl2br w:val="nil"/>
              <w:tr2bl w:val="nil"/>
            </w:tcBorders>
            <w:noWrap w:val="0"/>
            <w:vAlign w:val="center"/>
          </w:tcPr>
          <w:p>
            <w:pPr>
              <w:pStyle w:val="28"/>
              <w:suppressLineNumbers w:val="0"/>
              <w:bidi w:val="0"/>
              <w:spacing w:before="0" w:after="0"/>
              <w:ind w:left="0" w:right="0"/>
            </w:pPr>
            <w:r>
              <w:t>总硬度(以CaCO</w:t>
            </w:r>
            <w:r>
              <w:rPr>
                <w:vertAlign w:val="subscript"/>
              </w:rPr>
              <w:t>3</w:t>
            </w:r>
            <w:r>
              <w:t>计) (mg/L)</w:t>
            </w:r>
          </w:p>
        </w:tc>
        <w:tc>
          <w:tcPr>
            <w:tcW w:w="874" w:type="dxa"/>
            <w:tcBorders>
              <w:tl2br w:val="nil"/>
              <w:tr2bl w:val="nil"/>
            </w:tcBorders>
            <w:noWrap w:val="0"/>
            <w:vAlign w:val="center"/>
          </w:tcPr>
          <w:p>
            <w:pPr>
              <w:pStyle w:val="28"/>
              <w:suppressLineNumbers w:val="0"/>
              <w:bidi w:val="0"/>
              <w:spacing w:before="0" w:after="0"/>
              <w:ind w:left="0" w:right="0"/>
            </w:pPr>
            <w:r>
              <w:t>≤150</w:t>
            </w:r>
          </w:p>
        </w:tc>
        <w:tc>
          <w:tcPr>
            <w:tcW w:w="1063" w:type="dxa"/>
            <w:tcBorders>
              <w:tl2br w:val="nil"/>
              <w:tr2bl w:val="nil"/>
            </w:tcBorders>
            <w:noWrap w:val="0"/>
            <w:vAlign w:val="center"/>
          </w:tcPr>
          <w:p>
            <w:pPr>
              <w:pStyle w:val="28"/>
              <w:suppressLineNumbers w:val="0"/>
              <w:bidi w:val="0"/>
              <w:spacing w:before="0" w:after="0"/>
              <w:ind w:left="0" w:right="0"/>
            </w:pPr>
            <w:r>
              <w:t>≤300</w:t>
            </w:r>
          </w:p>
        </w:tc>
        <w:tc>
          <w:tcPr>
            <w:tcW w:w="893" w:type="dxa"/>
            <w:tcBorders>
              <w:tl2br w:val="nil"/>
              <w:tr2bl w:val="nil"/>
            </w:tcBorders>
            <w:noWrap w:val="0"/>
            <w:vAlign w:val="center"/>
          </w:tcPr>
          <w:p>
            <w:pPr>
              <w:pStyle w:val="28"/>
              <w:suppressLineNumbers w:val="0"/>
              <w:bidi w:val="0"/>
              <w:spacing w:before="0" w:after="0"/>
              <w:ind w:left="0" w:right="0"/>
            </w:pPr>
            <w:r>
              <w:t>≤450</w:t>
            </w:r>
          </w:p>
        </w:tc>
        <w:tc>
          <w:tcPr>
            <w:tcW w:w="1618" w:type="dxa"/>
            <w:tcBorders>
              <w:tl2br w:val="nil"/>
              <w:tr2bl w:val="nil"/>
            </w:tcBorders>
            <w:noWrap w:val="0"/>
            <w:vAlign w:val="center"/>
          </w:tcPr>
          <w:p>
            <w:pPr>
              <w:pStyle w:val="28"/>
              <w:suppressLineNumbers w:val="0"/>
              <w:bidi w:val="0"/>
              <w:spacing w:before="0" w:after="0"/>
              <w:ind w:left="0" w:right="0"/>
            </w:pPr>
            <w:r>
              <w:t>≤650</w:t>
            </w:r>
          </w:p>
        </w:tc>
        <w:tc>
          <w:tcPr>
            <w:tcW w:w="1185" w:type="dxa"/>
            <w:tcBorders>
              <w:tl2br w:val="nil"/>
              <w:tr2bl w:val="nil"/>
            </w:tcBorders>
            <w:noWrap w:val="0"/>
            <w:vAlign w:val="center"/>
          </w:tcPr>
          <w:p>
            <w:pPr>
              <w:pStyle w:val="28"/>
              <w:suppressLineNumbers w:val="0"/>
              <w:bidi w:val="0"/>
              <w:spacing w:before="0" w:after="0"/>
              <w:ind w:left="0" w:right="0"/>
            </w:pPr>
            <w:r>
              <w:t>&gt;650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4</w:t>
            </w:r>
          </w:p>
        </w:tc>
        <w:tc>
          <w:tcPr>
            <w:tcW w:w="2917" w:type="dxa"/>
            <w:tcBorders>
              <w:tl2br w:val="nil"/>
              <w:tr2bl w:val="nil"/>
            </w:tcBorders>
            <w:noWrap w:val="0"/>
            <w:vAlign w:val="center"/>
          </w:tcPr>
          <w:p>
            <w:pPr>
              <w:pStyle w:val="28"/>
              <w:suppressLineNumbers w:val="0"/>
              <w:bidi w:val="0"/>
              <w:spacing w:before="0" w:after="0"/>
              <w:ind w:left="0" w:right="0"/>
            </w:pPr>
            <w:r>
              <w:t>硫酸盐（mg/L）</w:t>
            </w:r>
          </w:p>
        </w:tc>
        <w:tc>
          <w:tcPr>
            <w:tcW w:w="874" w:type="dxa"/>
            <w:tcBorders>
              <w:tl2br w:val="nil"/>
              <w:tr2bl w:val="nil"/>
            </w:tcBorders>
            <w:noWrap w:val="0"/>
            <w:vAlign w:val="center"/>
          </w:tcPr>
          <w:p>
            <w:pPr>
              <w:pStyle w:val="28"/>
              <w:suppressLineNumbers w:val="0"/>
              <w:bidi w:val="0"/>
              <w:spacing w:before="0" w:after="0"/>
              <w:ind w:left="0" w:right="0"/>
            </w:pPr>
            <w:r>
              <w:t>≤50</w:t>
            </w:r>
          </w:p>
        </w:tc>
        <w:tc>
          <w:tcPr>
            <w:tcW w:w="1063" w:type="dxa"/>
            <w:tcBorders>
              <w:tl2br w:val="nil"/>
              <w:tr2bl w:val="nil"/>
            </w:tcBorders>
            <w:noWrap w:val="0"/>
            <w:vAlign w:val="center"/>
          </w:tcPr>
          <w:p>
            <w:pPr>
              <w:pStyle w:val="28"/>
              <w:suppressLineNumbers w:val="0"/>
              <w:bidi w:val="0"/>
              <w:spacing w:before="0" w:after="0"/>
              <w:ind w:left="0" w:right="0"/>
            </w:pPr>
            <w:r>
              <w:t>≤150</w:t>
            </w:r>
          </w:p>
        </w:tc>
        <w:tc>
          <w:tcPr>
            <w:tcW w:w="893" w:type="dxa"/>
            <w:tcBorders>
              <w:tl2br w:val="nil"/>
              <w:tr2bl w:val="nil"/>
            </w:tcBorders>
            <w:noWrap w:val="0"/>
            <w:vAlign w:val="center"/>
          </w:tcPr>
          <w:p>
            <w:pPr>
              <w:pStyle w:val="28"/>
              <w:suppressLineNumbers w:val="0"/>
              <w:bidi w:val="0"/>
              <w:spacing w:before="0" w:after="0"/>
              <w:ind w:left="0" w:right="0"/>
            </w:pPr>
            <w:r>
              <w:t>≤250</w:t>
            </w:r>
          </w:p>
        </w:tc>
        <w:tc>
          <w:tcPr>
            <w:tcW w:w="1618" w:type="dxa"/>
            <w:tcBorders>
              <w:tl2br w:val="nil"/>
              <w:tr2bl w:val="nil"/>
            </w:tcBorders>
            <w:noWrap w:val="0"/>
            <w:vAlign w:val="center"/>
          </w:tcPr>
          <w:p>
            <w:pPr>
              <w:pStyle w:val="28"/>
              <w:suppressLineNumbers w:val="0"/>
              <w:bidi w:val="0"/>
              <w:spacing w:before="0" w:after="0"/>
              <w:ind w:left="0" w:right="0"/>
            </w:pPr>
            <w:r>
              <w:t>≤350</w:t>
            </w:r>
          </w:p>
        </w:tc>
        <w:tc>
          <w:tcPr>
            <w:tcW w:w="1185" w:type="dxa"/>
            <w:tcBorders>
              <w:tl2br w:val="nil"/>
              <w:tr2bl w:val="nil"/>
            </w:tcBorders>
            <w:noWrap w:val="0"/>
            <w:vAlign w:val="center"/>
          </w:tcPr>
          <w:p>
            <w:pPr>
              <w:pStyle w:val="28"/>
              <w:suppressLineNumbers w:val="0"/>
              <w:bidi w:val="0"/>
              <w:spacing w:before="0" w:after="0"/>
              <w:ind w:left="0" w:right="0"/>
            </w:pPr>
            <w: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5</w:t>
            </w:r>
          </w:p>
        </w:tc>
        <w:tc>
          <w:tcPr>
            <w:tcW w:w="2917" w:type="dxa"/>
            <w:tcBorders>
              <w:tl2br w:val="nil"/>
              <w:tr2bl w:val="nil"/>
            </w:tcBorders>
            <w:noWrap w:val="0"/>
            <w:vAlign w:val="center"/>
          </w:tcPr>
          <w:p>
            <w:pPr>
              <w:pStyle w:val="28"/>
              <w:suppressLineNumbers w:val="0"/>
              <w:bidi w:val="0"/>
              <w:spacing w:before="0" w:after="0"/>
              <w:ind w:left="0" w:right="0"/>
            </w:pPr>
            <w:r>
              <w:t>氯化物(mg/L)</w:t>
            </w:r>
          </w:p>
        </w:tc>
        <w:tc>
          <w:tcPr>
            <w:tcW w:w="874" w:type="dxa"/>
            <w:tcBorders>
              <w:tl2br w:val="nil"/>
              <w:tr2bl w:val="nil"/>
            </w:tcBorders>
            <w:noWrap w:val="0"/>
            <w:vAlign w:val="center"/>
          </w:tcPr>
          <w:p>
            <w:pPr>
              <w:pStyle w:val="28"/>
              <w:suppressLineNumbers w:val="0"/>
              <w:bidi w:val="0"/>
              <w:spacing w:before="0" w:after="0"/>
              <w:ind w:left="0" w:right="0"/>
            </w:pPr>
            <w:r>
              <w:t>≤50</w:t>
            </w:r>
          </w:p>
        </w:tc>
        <w:tc>
          <w:tcPr>
            <w:tcW w:w="1063" w:type="dxa"/>
            <w:tcBorders>
              <w:tl2br w:val="nil"/>
              <w:tr2bl w:val="nil"/>
            </w:tcBorders>
            <w:noWrap w:val="0"/>
            <w:vAlign w:val="center"/>
          </w:tcPr>
          <w:p>
            <w:pPr>
              <w:pStyle w:val="28"/>
              <w:suppressLineNumbers w:val="0"/>
              <w:bidi w:val="0"/>
              <w:spacing w:before="0" w:after="0"/>
              <w:ind w:left="0" w:right="0"/>
            </w:pPr>
            <w:r>
              <w:t>≤150</w:t>
            </w:r>
          </w:p>
        </w:tc>
        <w:tc>
          <w:tcPr>
            <w:tcW w:w="893" w:type="dxa"/>
            <w:tcBorders>
              <w:tl2br w:val="nil"/>
              <w:tr2bl w:val="nil"/>
            </w:tcBorders>
            <w:noWrap w:val="0"/>
            <w:vAlign w:val="center"/>
          </w:tcPr>
          <w:p>
            <w:pPr>
              <w:pStyle w:val="28"/>
              <w:suppressLineNumbers w:val="0"/>
              <w:bidi w:val="0"/>
              <w:spacing w:before="0" w:after="0"/>
              <w:ind w:left="0" w:right="0"/>
            </w:pPr>
            <w:r>
              <w:t>≤250</w:t>
            </w:r>
          </w:p>
        </w:tc>
        <w:tc>
          <w:tcPr>
            <w:tcW w:w="1618" w:type="dxa"/>
            <w:tcBorders>
              <w:tl2br w:val="nil"/>
              <w:tr2bl w:val="nil"/>
            </w:tcBorders>
            <w:noWrap w:val="0"/>
            <w:vAlign w:val="center"/>
          </w:tcPr>
          <w:p>
            <w:pPr>
              <w:pStyle w:val="28"/>
              <w:suppressLineNumbers w:val="0"/>
              <w:bidi w:val="0"/>
              <w:spacing w:before="0" w:after="0"/>
              <w:ind w:left="0" w:right="0"/>
            </w:pPr>
            <w:r>
              <w:t>≤350</w:t>
            </w:r>
          </w:p>
        </w:tc>
        <w:tc>
          <w:tcPr>
            <w:tcW w:w="1185" w:type="dxa"/>
            <w:tcBorders>
              <w:tl2br w:val="nil"/>
              <w:tr2bl w:val="nil"/>
            </w:tcBorders>
            <w:noWrap w:val="0"/>
            <w:vAlign w:val="center"/>
          </w:tcPr>
          <w:p>
            <w:pPr>
              <w:pStyle w:val="28"/>
              <w:suppressLineNumbers w:val="0"/>
              <w:bidi w:val="0"/>
              <w:spacing w:before="0" w:after="0"/>
              <w:ind w:left="0" w:right="0"/>
            </w:pPr>
            <w: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6</w:t>
            </w:r>
          </w:p>
        </w:tc>
        <w:tc>
          <w:tcPr>
            <w:tcW w:w="2917" w:type="dxa"/>
            <w:tcBorders>
              <w:tl2br w:val="nil"/>
              <w:tr2bl w:val="nil"/>
            </w:tcBorders>
            <w:noWrap w:val="0"/>
            <w:vAlign w:val="center"/>
          </w:tcPr>
          <w:p>
            <w:pPr>
              <w:pStyle w:val="28"/>
              <w:suppressLineNumbers w:val="0"/>
              <w:bidi w:val="0"/>
              <w:spacing w:before="0" w:after="0"/>
              <w:ind w:left="0" w:right="0"/>
            </w:pPr>
            <w:r>
              <w:t>氨氮(mg/L)</w:t>
            </w:r>
          </w:p>
        </w:tc>
        <w:tc>
          <w:tcPr>
            <w:tcW w:w="874" w:type="dxa"/>
            <w:tcBorders>
              <w:tl2br w:val="nil"/>
              <w:tr2bl w:val="nil"/>
            </w:tcBorders>
            <w:noWrap w:val="0"/>
            <w:vAlign w:val="center"/>
          </w:tcPr>
          <w:p>
            <w:pPr>
              <w:pStyle w:val="28"/>
              <w:suppressLineNumbers w:val="0"/>
              <w:bidi w:val="0"/>
              <w:spacing w:before="0" w:after="0"/>
              <w:ind w:left="0" w:right="0"/>
            </w:pPr>
            <w:r>
              <w:t>≤0.02</w:t>
            </w:r>
          </w:p>
        </w:tc>
        <w:tc>
          <w:tcPr>
            <w:tcW w:w="1063" w:type="dxa"/>
            <w:tcBorders>
              <w:tl2br w:val="nil"/>
              <w:tr2bl w:val="nil"/>
            </w:tcBorders>
            <w:noWrap w:val="0"/>
            <w:vAlign w:val="center"/>
          </w:tcPr>
          <w:p>
            <w:pPr>
              <w:pStyle w:val="28"/>
              <w:suppressLineNumbers w:val="0"/>
              <w:bidi w:val="0"/>
              <w:spacing w:before="0" w:after="0"/>
              <w:ind w:left="0" w:right="0"/>
            </w:pPr>
            <w:r>
              <w:t>≤0.1</w:t>
            </w:r>
          </w:p>
        </w:tc>
        <w:tc>
          <w:tcPr>
            <w:tcW w:w="893" w:type="dxa"/>
            <w:tcBorders>
              <w:tl2br w:val="nil"/>
              <w:tr2bl w:val="nil"/>
            </w:tcBorders>
            <w:noWrap w:val="0"/>
            <w:vAlign w:val="center"/>
          </w:tcPr>
          <w:p>
            <w:pPr>
              <w:pStyle w:val="28"/>
              <w:suppressLineNumbers w:val="0"/>
              <w:bidi w:val="0"/>
              <w:spacing w:before="0" w:after="0"/>
              <w:ind w:left="0" w:right="0"/>
            </w:pPr>
            <w:r>
              <w:t>≤0.5</w:t>
            </w:r>
          </w:p>
        </w:tc>
        <w:tc>
          <w:tcPr>
            <w:tcW w:w="1618" w:type="dxa"/>
            <w:tcBorders>
              <w:tl2br w:val="nil"/>
              <w:tr2bl w:val="nil"/>
            </w:tcBorders>
            <w:noWrap w:val="0"/>
            <w:vAlign w:val="center"/>
          </w:tcPr>
          <w:p>
            <w:pPr>
              <w:pStyle w:val="28"/>
              <w:suppressLineNumbers w:val="0"/>
              <w:bidi w:val="0"/>
              <w:spacing w:before="0" w:after="0"/>
              <w:ind w:left="0" w:right="0"/>
            </w:pPr>
            <w:r>
              <w:t>≤1.5</w:t>
            </w:r>
          </w:p>
        </w:tc>
        <w:tc>
          <w:tcPr>
            <w:tcW w:w="1185" w:type="dxa"/>
            <w:tcBorders>
              <w:tl2br w:val="nil"/>
              <w:tr2bl w:val="nil"/>
            </w:tcBorders>
            <w:noWrap w:val="0"/>
            <w:vAlign w:val="center"/>
          </w:tcPr>
          <w:p>
            <w:pPr>
              <w:pStyle w:val="28"/>
              <w:suppressLineNumbers w:val="0"/>
              <w:bidi w:val="0"/>
              <w:spacing w:before="0" w:after="0"/>
              <w:ind w:left="0" w:right="0"/>
            </w:pPr>
            <w: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7</w:t>
            </w:r>
          </w:p>
        </w:tc>
        <w:tc>
          <w:tcPr>
            <w:tcW w:w="2917" w:type="dxa"/>
            <w:tcBorders>
              <w:tl2br w:val="nil"/>
              <w:tr2bl w:val="nil"/>
            </w:tcBorders>
            <w:noWrap w:val="0"/>
            <w:vAlign w:val="center"/>
          </w:tcPr>
          <w:p>
            <w:pPr>
              <w:pStyle w:val="28"/>
              <w:suppressLineNumbers w:val="0"/>
              <w:bidi w:val="0"/>
              <w:spacing w:before="0" w:after="0"/>
              <w:ind w:left="0" w:right="0"/>
            </w:pPr>
            <w:r>
              <w:t>溶解性总固体(mg/L)</w:t>
            </w:r>
          </w:p>
        </w:tc>
        <w:tc>
          <w:tcPr>
            <w:tcW w:w="874" w:type="dxa"/>
            <w:tcBorders>
              <w:tl2br w:val="nil"/>
              <w:tr2bl w:val="nil"/>
            </w:tcBorders>
            <w:noWrap w:val="0"/>
            <w:vAlign w:val="center"/>
          </w:tcPr>
          <w:p>
            <w:pPr>
              <w:pStyle w:val="28"/>
              <w:suppressLineNumbers w:val="0"/>
              <w:bidi w:val="0"/>
              <w:spacing w:before="0" w:after="0"/>
              <w:ind w:left="0" w:right="0"/>
            </w:pPr>
            <w:r>
              <w:t>≤300</w:t>
            </w:r>
          </w:p>
        </w:tc>
        <w:tc>
          <w:tcPr>
            <w:tcW w:w="1063" w:type="dxa"/>
            <w:tcBorders>
              <w:tl2br w:val="nil"/>
              <w:tr2bl w:val="nil"/>
            </w:tcBorders>
            <w:noWrap w:val="0"/>
            <w:vAlign w:val="center"/>
          </w:tcPr>
          <w:p>
            <w:pPr>
              <w:pStyle w:val="28"/>
              <w:suppressLineNumbers w:val="0"/>
              <w:bidi w:val="0"/>
              <w:spacing w:before="0" w:after="0"/>
              <w:ind w:left="0" w:right="0"/>
            </w:pPr>
            <w:r>
              <w:t>≤500</w:t>
            </w:r>
          </w:p>
        </w:tc>
        <w:tc>
          <w:tcPr>
            <w:tcW w:w="893" w:type="dxa"/>
            <w:tcBorders>
              <w:tl2br w:val="nil"/>
              <w:tr2bl w:val="nil"/>
            </w:tcBorders>
            <w:noWrap w:val="0"/>
            <w:vAlign w:val="center"/>
          </w:tcPr>
          <w:p>
            <w:pPr>
              <w:pStyle w:val="28"/>
              <w:suppressLineNumbers w:val="0"/>
              <w:bidi w:val="0"/>
              <w:spacing w:before="0" w:after="0"/>
              <w:ind w:left="0" w:right="0"/>
            </w:pPr>
            <w:r>
              <w:t>≤1000</w:t>
            </w:r>
          </w:p>
        </w:tc>
        <w:tc>
          <w:tcPr>
            <w:tcW w:w="1618" w:type="dxa"/>
            <w:tcBorders>
              <w:tl2br w:val="nil"/>
              <w:tr2bl w:val="nil"/>
            </w:tcBorders>
            <w:noWrap w:val="0"/>
            <w:vAlign w:val="center"/>
          </w:tcPr>
          <w:p>
            <w:pPr>
              <w:pStyle w:val="28"/>
              <w:suppressLineNumbers w:val="0"/>
              <w:bidi w:val="0"/>
              <w:spacing w:before="0" w:after="0"/>
              <w:ind w:left="0" w:right="0"/>
            </w:pPr>
            <w:r>
              <w:t>≤2000</w:t>
            </w:r>
          </w:p>
        </w:tc>
        <w:tc>
          <w:tcPr>
            <w:tcW w:w="1185" w:type="dxa"/>
            <w:tcBorders>
              <w:tl2br w:val="nil"/>
              <w:tr2bl w:val="nil"/>
            </w:tcBorders>
            <w:noWrap w:val="0"/>
            <w:vAlign w:val="center"/>
          </w:tcPr>
          <w:p>
            <w:pPr>
              <w:pStyle w:val="28"/>
              <w:suppressLineNumbers w:val="0"/>
              <w:bidi w:val="0"/>
              <w:spacing w:before="0" w:after="0"/>
              <w:ind w:left="0" w:right="0"/>
            </w:pPr>
            <w: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8</w:t>
            </w:r>
          </w:p>
        </w:tc>
        <w:tc>
          <w:tcPr>
            <w:tcW w:w="2917" w:type="dxa"/>
            <w:tcBorders>
              <w:tl2br w:val="nil"/>
              <w:tr2bl w:val="nil"/>
            </w:tcBorders>
            <w:noWrap w:val="0"/>
            <w:vAlign w:val="center"/>
          </w:tcPr>
          <w:p>
            <w:pPr>
              <w:pStyle w:val="28"/>
              <w:suppressLineNumbers w:val="0"/>
              <w:bidi w:val="0"/>
              <w:spacing w:before="0" w:after="0"/>
              <w:ind w:left="0" w:right="0"/>
            </w:pPr>
            <w:r>
              <w:t>挥发</w:t>
            </w:r>
            <w:r>
              <w:rPr>
                <w:rFonts w:hint="eastAsia"/>
              </w:rPr>
              <w:t>性</w:t>
            </w:r>
            <w:r>
              <w:t>酚</w:t>
            </w:r>
            <w:r>
              <w:rPr>
                <w:rFonts w:hint="eastAsia"/>
              </w:rPr>
              <w:t>类（以苯酚计）</w:t>
            </w:r>
            <w:r>
              <w:t>(mg/L)</w:t>
            </w:r>
          </w:p>
        </w:tc>
        <w:tc>
          <w:tcPr>
            <w:tcW w:w="874" w:type="dxa"/>
            <w:tcBorders>
              <w:tl2br w:val="nil"/>
              <w:tr2bl w:val="nil"/>
            </w:tcBorders>
            <w:noWrap w:val="0"/>
            <w:vAlign w:val="center"/>
          </w:tcPr>
          <w:p>
            <w:pPr>
              <w:pStyle w:val="28"/>
              <w:suppressLineNumbers w:val="0"/>
              <w:bidi w:val="0"/>
              <w:spacing w:before="0" w:after="0"/>
              <w:ind w:left="0" w:right="0"/>
            </w:pPr>
            <w:r>
              <w:t>≤0.001</w:t>
            </w:r>
          </w:p>
        </w:tc>
        <w:tc>
          <w:tcPr>
            <w:tcW w:w="1063" w:type="dxa"/>
            <w:tcBorders>
              <w:tl2br w:val="nil"/>
              <w:tr2bl w:val="nil"/>
            </w:tcBorders>
            <w:noWrap w:val="0"/>
            <w:vAlign w:val="center"/>
          </w:tcPr>
          <w:p>
            <w:pPr>
              <w:pStyle w:val="28"/>
              <w:suppressLineNumbers w:val="0"/>
              <w:bidi w:val="0"/>
              <w:spacing w:before="0" w:after="0"/>
              <w:ind w:left="0" w:right="0"/>
            </w:pPr>
            <w:r>
              <w:t>≤0.001</w:t>
            </w:r>
          </w:p>
        </w:tc>
        <w:tc>
          <w:tcPr>
            <w:tcW w:w="893" w:type="dxa"/>
            <w:tcBorders>
              <w:tl2br w:val="nil"/>
              <w:tr2bl w:val="nil"/>
            </w:tcBorders>
            <w:noWrap w:val="0"/>
            <w:vAlign w:val="center"/>
          </w:tcPr>
          <w:p>
            <w:pPr>
              <w:pStyle w:val="28"/>
              <w:suppressLineNumbers w:val="0"/>
              <w:bidi w:val="0"/>
              <w:spacing w:before="0" w:after="0"/>
              <w:ind w:left="0" w:right="0"/>
            </w:pPr>
            <w:r>
              <w:t>≤0.002</w:t>
            </w:r>
          </w:p>
        </w:tc>
        <w:tc>
          <w:tcPr>
            <w:tcW w:w="1618" w:type="dxa"/>
            <w:tcBorders>
              <w:tl2br w:val="nil"/>
              <w:tr2bl w:val="nil"/>
            </w:tcBorders>
            <w:noWrap w:val="0"/>
            <w:vAlign w:val="center"/>
          </w:tcPr>
          <w:p>
            <w:pPr>
              <w:pStyle w:val="28"/>
              <w:suppressLineNumbers w:val="0"/>
              <w:bidi w:val="0"/>
              <w:spacing w:before="0" w:after="0"/>
              <w:ind w:left="0" w:right="0"/>
            </w:pPr>
            <w:r>
              <w:t>≤0.01</w:t>
            </w:r>
          </w:p>
        </w:tc>
        <w:tc>
          <w:tcPr>
            <w:tcW w:w="1185" w:type="dxa"/>
            <w:tcBorders>
              <w:tl2br w:val="nil"/>
              <w:tr2bl w:val="nil"/>
            </w:tcBorders>
            <w:noWrap w:val="0"/>
            <w:vAlign w:val="center"/>
          </w:tcPr>
          <w:p>
            <w:pPr>
              <w:pStyle w:val="28"/>
              <w:suppressLineNumbers w:val="0"/>
              <w:bidi w:val="0"/>
              <w:spacing w:before="0" w:after="0"/>
              <w:ind w:left="0" w:right="0"/>
            </w:pPr>
            <w: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279" w:type="dxa"/>
            <w:gridSpan w:val="7"/>
            <w:tcBorders>
              <w:tl2br w:val="nil"/>
              <w:tr2bl w:val="nil"/>
            </w:tcBorders>
            <w:noWrap w:val="0"/>
            <w:vAlign w:val="center"/>
          </w:tcPr>
          <w:p>
            <w:pPr>
              <w:pStyle w:val="28"/>
              <w:suppressLineNumbers w:val="0"/>
              <w:bidi w:val="0"/>
              <w:spacing w:before="0" w:after="0"/>
              <w:ind w:left="0" w:right="0"/>
            </w:pPr>
            <w:r>
              <w:rPr>
                <w:rFonts w:hint="eastAsia"/>
              </w:rPr>
              <w:t>微生物指标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9</w:t>
            </w:r>
          </w:p>
        </w:tc>
        <w:tc>
          <w:tcPr>
            <w:tcW w:w="2917" w:type="dxa"/>
            <w:tcBorders>
              <w:tl2br w:val="nil"/>
              <w:tr2bl w:val="nil"/>
            </w:tcBorders>
            <w:noWrap w:val="0"/>
            <w:vAlign w:val="center"/>
          </w:tcPr>
          <w:p>
            <w:pPr>
              <w:pStyle w:val="28"/>
              <w:suppressLineNumbers w:val="0"/>
              <w:bidi w:val="0"/>
              <w:spacing w:before="0" w:after="0"/>
              <w:ind w:left="0" w:right="0"/>
            </w:pPr>
            <w:r>
              <w:t>总大肠菌群(MPNb/100mL或CFUc/100mL)</w:t>
            </w:r>
          </w:p>
        </w:tc>
        <w:tc>
          <w:tcPr>
            <w:tcW w:w="874" w:type="dxa"/>
            <w:tcBorders>
              <w:tl2br w:val="nil"/>
              <w:tr2bl w:val="nil"/>
            </w:tcBorders>
            <w:noWrap w:val="0"/>
            <w:vAlign w:val="center"/>
          </w:tcPr>
          <w:p>
            <w:pPr>
              <w:pStyle w:val="28"/>
              <w:suppressLineNumbers w:val="0"/>
              <w:bidi w:val="0"/>
              <w:spacing w:before="0" w:after="0"/>
              <w:ind w:left="0" w:right="0"/>
            </w:pPr>
            <w:r>
              <w:t>≤3.0</w:t>
            </w:r>
          </w:p>
        </w:tc>
        <w:tc>
          <w:tcPr>
            <w:tcW w:w="1063" w:type="dxa"/>
            <w:tcBorders>
              <w:tl2br w:val="nil"/>
              <w:tr2bl w:val="nil"/>
            </w:tcBorders>
            <w:noWrap w:val="0"/>
            <w:vAlign w:val="center"/>
          </w:tcPr>
          <w:p>
            <w:pPr>
              <w:pStyle w:val="28"/>
              <w:suppressLineNumbers w:val="0"/>
              <w:bidi w:val="0"/>
              <w:spacing w:before="0" w:after="0"/>
              <w:ind w:left="0" w:right="0"/>
            </w:pPr>
            <w:r>
              <w:t>≤3.0</w:t>
            </w:r>
          </w:p>
        </w:tc>
        <w:tc>
          <w:tcPr>
            <w:tcW w:w="893" w:type="dxa"/>
            <w:tcBorders>
              <w:tl2br w:val="nil"/>
              <w:tr2bl w:val="nil"/>
            </w:tcBorders>
            <w:noWrap w:val="0"/>
            <w:vAlign w:val="center"/>
          </w:tcPr>
          <w:p>
            <w:pPr>
              <w:pStyle w:val="28"/>
              <w:suppressLineNumbers w:val="0"/>
              <w:bidi w:val="0"/>
              <w:spacing w:before="0" w:after="0"/>
              <w:ind w:left="0" w:right="0"/>
            </w:pPr>
            <w:r>
              <w:t>≤3.0</w:t>
            </w:r>
          </w:p>
        </w:tc>
        <w:tc>
          <w:tcPr>
            <w:tcW w:w="1618" w:type="dxa"/>
            <w:tcBorders>
              <w:tl2br w:val="nil"/>
              <w:tr2bl w:val="nil"/>
            </w:tcBorders>
            <w:noWrap w:val="0"/>
            <w:vAlign w:val="center"/>
          </w:tcPr>
          <w:p>
            <w:pPr>
              <w:pStyle w:val="28"/>
              <w:suppressLineNumbers w:val="0"/>
              <w:bidi w:val="0"/>
              <w:spacing w:before="0" w:after="0"/>
              <w:ind w:left="0" w:right="0"/>
            </w:pPr>
            <w:r>
              <w:t>≤100</w:t>
            </w:r>
          </w:p>
        </w:tc>
        <w:tc>
          <w:tcPr>
            <w:tcW w:w="1185" w:type="dxa"/>
            <w:tcBorders>
              <w:tl2br w:val="nil"/>
              <w:tr2bl w:val="nil"/>
            </w:tcBorders>
            <w:noWrap w:val="0"/>
            <w:vAlign w:val="center"/>
          </w:tcPr>
          <w:p>
            <w:pPr>
              <w:pStyle w:val="28"/>
              <w:suppressLineNumbers w:val="0"/>
              <w:bidi w:val="0"/>
              <w:spacing w:before="0" w:after="0"/>
              <w:ind w:left="0" w:right="0"/>
            </w:pPr>
            <w: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9279" w:type="dxa"/>
            <w:gridSpan w:val="7"/>
            <w:tcBorders>
              <w:tl2br w:val="nil"/>
              <w:tr2bl w:val="nil"/>
            </w:tcBorders>
            <w:noWrap w:val="0"/>
            <w:vAlign w:val="center"/>
          </w:tcPr>
          <w:p>
            <w:pPr>
              <w:pStyle w:val="28"/>
              <w:suppressLineNumbers w:val="0"/>
              <w:bidi w:val="0"/>
              <w:spacing w:before="0" w:after="0"/>
              <w:ind w:left="0" w:right="0"/>
            </w:pPr>
            <w:r>
              <w:rPr>
                <w:rFonts w:hint="eastAsia"/>
              </w:rPr>
              <w:t>毒理学指标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10</w:t>
            </w:r>
          </w:p>
        </w:tc>
        <w:tc>
          <w:tcPr>
            <w:tcW w:w="2917" w:type="dxa"/>
            <w:tcBorders>
              <w:tl2br w:val="nil"/>
              <w:tr2bl w:val="nil"/>
            </w:tcBorders>
            <w:noWrap w:val="0"/>
            <w:vAlign w:val="center"/>
          </w:tcPr>
          <w:p>
            <w:pPr>
              <w:pStyle w:val="28"/>
              <w:suppressLineNumbers w:val="0"/>
              <w:bidi w:val="0"/>
              <w:spacing w:before="0" w:after="0"/>
              <w:ind w:left="0" w:right="0"/>
            </w:pPr>
            <w:r>
              <w:t>硝酸盐(mg/L)</w:t>
            </w:r>
          </w:p>
        </w:tc>
        <w:tc>
          <w:tcPr>
            <w:tcW w:w="874" w:type="dxa"/>
            <w:tcBorders>
              <w:tl2br w:val="nil"/>
              <w:tr2bl w:val="nil"/>
            </w:tcBorders>
            <w:noWrap w:val="0"/>
            <w:vAlign w:val="center"/>
          </w:tcPr>
          <w:p>
            <w:pPr>
              <w:pStyle w:val="28"/>
              <w:suppressLineNumbers w:val="0"/>
              <w:bidi w:val="0"/>
              <w:spacing w:before="0" w:after="0"/>
              <w:ind w:left="0" w:right="0"/>
            </w:pPr>
            <w:r>
              <w:t>≤2.0</w:t>
            </w:r>
          </w:p>
        </w:tc>
        <w:tc>
          <w:tcPr>
            <w:tcW w:w="1063" w:type="dxa"/>
            <w:tcBorders>
              <w:tl2br w:val="nil"/>
              <w:tr2bl w:val="nil"/>
            </w:tcBorders>
            <w:noWrap w:val="0"/>
            <w:vAlign w:val="center"/>
          </w:tcPr>
          <w:p>
            <w:pPr>
              <w:pStyle w:val="28"/>
              <w:suppressLineNumbers w:val="0"/>
              <w:bidi w:val="0"/>
              <w:spacing w:before="0" w:after="0"/>
              <w:ind w:left="0" w:right="0"/>
            </w:pPr>
            <w:r>
              <w:t>≤5.0</w:t>
            </w:r>
          </w:p>
        </w:tc>
        <w:tc>
          <w:tcPr>
            <w:tcW w:w="893" w:type="dxa"/>
            <w:tcBorders>
              <w:tl2br w:val="nil"/>
              <w:tr2bl w:val="nil"/>
            </w:tcBorders>
            <w:noWrap w:val="0"/>
            <w:vAlign w:val="center"/>
          </w:tcPr>
          <w:p>
            <w:pPr>
              <w:pStyle w:val="28"/>
              <w:suppressLineNumbers w:val="0"/>
              <w:bidi w:val="0"/>
              <w:spacing w:before="0" w:after="0"/>
              <w:ind w:left="0" w:right="0"/>
            </w:pPr>
            <w:r>
              <w:t>≤20.0</w:t>
            </w:r>
          </w:p>
        </w:tc>
        <w:tc>
          <w:tcPr>
            <w:tcW w:w="1618" w:type="dxa"/>
            <w:tcBorders>
              <w:tl2br w:val="nil"/>
              <w:tr2bl w:val="nil"/>
            </w:tcBorders>
            <w:noWrap w:val="0"/>
            <w:vAlign w:val="center"/>
          </w:tcPr>
          <w:p>
            <w:pPr>
              <w:pStyle w:val="28"/>
              <w:suppressLineNumbers w:val="0"/>
              <w:bidi w:val="0"/>
              <w:spacing w:before="0" w:after="0"/>
              <w:ind w:left="0" w:right="0"/>
            </w:pPr>
            <w:r>
              <w:t>≤30.0</w:t>
            </w:r>
          </w:p>
        </w:tc>
        <w:tc>
          <w:tcPr>
            <w:tcW w:w="1185" w:type="dxa"/>
            <w:tcBorders>
              <w:tl2br w:val="nil"/>
              <w:tr2bl w:val="nil"/>
            </w:tcBorders>
            <w:noWrap w:val="0"/>
            <w:vAlign w:val="center"/>
          </w:tcPr>
          <w:p>
            <w:pPr>
              <w:pStyle w:val="28"/>
              <w:suppressLineNumbers w:val="0"/>
              <w:bidi w:val="0"/>
              <w:spacing w:before="0" w:after="0"/>
              <w:ind w:left="0" w:right="0"/>
            </w:pPr>
            <w:r>
              <w:t>&gt;30.0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11</w:t>
            </w:r>
          </w:p>
        </w:tc>
        <w:tc>
          <w:tcPr>
            <w:tcW w:w="2917" w:type="dxa"/>
            <w:tcBorders>
              <w:tl2br w:val="nil"/>
              <w:tr2bl w:val="nil"/>
            </w:tcBorders>
            <w:noWrap w:val="0"/>
            <w:vAlign w:val="center"/>
          </w:tcPr>
          <w:p>
            <w:pPr>
              <w:pStyle w:val="28"/>
              <w:suppressLineNumbers w:val="0"/>
              <w:bidi w:val="0"/>
              <w:spacing w:before="0" w:after="0"/>
              <w:ind w:left="0" w:right="0"/>
            </w:pPr>
            <w:r>
              <w:t>亚硝酸盐</w:t>
            </w:r>
            <w:r>
              <w:rPr>
                <w:rFonts w:hint="eastAsia"/>
              </w:rPr>
              <w:t>（以N计）</w:t>
            </w:r>
            <w:r>
              <w:t>(mg/L)</w:t>
            </w:r>
          </w:p>
        </w:tc>
        <w:tc>
          <w:tcPr>
            <w:tcW w:w="874" w:type="dxa"/>
            <w:tcBorders>
              <w:tl2br w:val="nil"/>
              <w:tr2bl w:val="nil"/>
            </w:tcBorders>
            <w:noWrap w:val="0"/>
            <w:vAlign w:val="center"/>
          </w:tcPr>
          <w:p>
            <w:pPr>
              <w:pStyle w:val="28"/>
              <w:suppressLineNumbers w:val="0"/>
              <w:bidi w:val="0"/>
              <w:spacing w:before="0" w:after="0"/>
              <w:ind w:left="0" w:right="0"/>
            </w:pPr>
            <w:r>
              <w:t>≤0.01</w:t>
            </w:r>
          </w:p>
        </w:tc>
        <w:tc>
          <w:tcPr>
            <w:tcW w:w="1063" w:type="dxa"/>
            <w:tcBorders>
              <w:tl2br w:val="nil"/>
              <w:tr2bl w:val="nil"/>
            </w:tcBorders>
            <w:noWrap w:val="0"/>
            <w:vAlign w:val="center"/>
          </w:tcPr>
          <w:p>
            <w:pPr>
              <w:pStyle w:val="28"/>
              <w:suppressLineNumbers w:val="0"/>
              <w:bidi w:val="0"/>
              <w:spacing w:before="0" w:after="0"/>
              <w:ind w:left="0" w:right="0"/>
            </w:pPr>
            <w:r>
              <w:t>≤0.1</w:t>
            </w:r>
          </w:p>
        </w:tc>
        <w:tc>
          <w:tcPr>
            <w:tcW w:w="893" w:type="dxa"/>
            <w:tcBorders>
              <w:tl2br w:val="nil"/>
              <w:tr2bl w:val="nil"/>
            </w:tcBorders>
            <w:noWrap w:val="0"/>
            <w:vAlign w:val="center"/>
          </w:tcPr>
          <w:p>
            <w:pPr>
              <w:pStyle w:val="28"/>
              <w:suppressLineNumbers w:val="0"/>
              <w:bidi w:val="0"/>
              <w:spacing w:before="0" w:after="0"/>
              <w:ind w:left="0" w:right="0"/>
            </w:pPr>
            <w:r>
              <w:t>≤1.00</w:t>
            </w:r>
          </w:p>
        </w:tc>
        <w:tc>
          <w:tcPr>
            <w:tcW w:w="1618" w:type="dxa"/>
            <w:tcBorders>
              <w:tl2br w:val="nil"/>
              <w:tr2bl w:val="nil"/>
            </w:tcBorders>
            <w:noWrap w:val="0"/>
            <w:vAlign w:val="center"/>
          </w:tcPr>
          <w:p>
            <w:pPr>
              <w:pStyle w:val="28"/>
              <w:suppressLineNumbers w:val="0"/>
              <w:bidi w:val="0"/>
              <w:spacing w:before="0" w:after="0"/>
              <w:ind w:left="0" w:right="0"/>
            </w:pPr>
            <w:r>
              <w:t>≤4.80</w:t>
            </w:r>
          </w:p>
        </w:tc>
        <w:tc>
          <w:tcPr>
            <w:tcW w:w="1185" w:type="dxa"/>
            <w:tcBorders>
              <w:tl2br w:val="nil"/>
              <w:tr2bl w:val="nil"/>
            </w:tcBorders>
            <w:noWrap w:val="0"/>
            <w:vAlign w:val="center"/>
          </w:tcPr>
          <w:p>
            <w:pPr>
              <w:pStyle w:val="28"/>
              <w:suppressLineNumbers w:val="0"/>
              <w:bidi w:val="0"/>
              <w:spacing w:before="0" w:after="0"/>
              <w:ind w:left="0" w:right="0"/>
            </w:pPr>
            <w:r>
              <w:t>&gt;4.8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12</w:t>
            </w:r>
          </w:p>
        </w:tc>
        <w:tc>
          <w:tcPr>
            <w:tcW w:w="2917" w:type="dxa"/>
            <w:tcBorders>
              <w:tl2br w:val="nil"/>
              <w:tr2bl w:val="nil"/>
            </w:tcBorders>
            <w:noWrap w:val="0"/>
            <w:vAlign w:val="center"/>
          </w:tcPr>
          <w:p>
            <w:pPr>
              <w:pStyle w:val="28"/>
              <w:suppressLineNumbers w:val="0"/>
              <w:bidi w:val="0"/>
              <w:spacing w:before="0" w:after="0"/>
              <w:ind w:left="0" w:right="0"/>
            </w:pPr>
            <w:r>
              <w:t>铬</w:t>
            </w:r>
            <w:r>
              <w:rPr>
                <w:rFonts w:hint="eastAsia"/>
              </w:rPr>
              <w:t>（六价）</w:t>
            </w:r>
            <w:r>
              <w:t>(mg/L)</w:t>
            </w:r>
          </w:p>
        </w:tc>
        <w:tc>
          <w:tcPr>
            <w:tcW w:w="874" w:type="dxa"/>
            <w:tcBorders>
              <w:tl2br w:val="nil"/>
              <w:tr2bl w:val="nil"/>
            </w:tcBorders>
            <w:noWrap w:val="0"/>
            <w:vAlign w:val="center"/>
          </w:tcPr>
          <w:p>
            <w:pPr>
              <w:pStyle w:val="28"/>
              <w:suppressLineNumbers w:val="0"/>
              <w:bidi w:val="0"/>
              <w:spacing w:before="0" w:after="0"/>
              <w:ind w:left="0" w:right="0"/>
            </w:pPr>
            <w:r>
              <w:t>≤0.005</w:t>
            </w:r>
          </w:p>
        </w:tc>
        <w:tc>
          <w:tcPr>
            <w:tcW w:w="1063" w:type="dxa"/>
            <w:tcBorders>
              <w:tl2br w:val="nil"/>
              <w:tr2bl w:val="nil"/>
            </w:tcBorders>
            <w:noWrap w:val="0"/>
            <w:vAlign w:val="center"/>
          </w:tcPr>
          <w:p>
            <w:pPr>
              <w:pStyle w:val="28"/>
              <w:suppressLineNumbers w:val="0"/>
              <w:bidi w:val="0"/>
              <w:spacing w:before="0" w:after="0"/>
              <w:ind w:left="0" w:right="0"/>
            </w:pPr>
            <w:r>
              <w:t>≤0.01</w:t>
            </w:r>
          </w:p>
        </w:tc>
        <w:tc>
          <w:tcPr>
            <w:tcW w:w="893" w:type="dxa"/>
            <w:tcBorders>
              <w:tl2br w:val="nil"/>
              <w:tr2bl w:val="nil"/>
            </w:tcBorders>
            <w:noWrap w:val="0"/>
            <w:vAlign w:val="center"/>
          </w:tcPr>
          <w:p>
            <w:pPr>
              <w:pStyle w:val="28"/>
              <w:suppressLineNumbers w:val="0"/>
              <w:bidi w:val="0"/>
              <w:spacing w:before="0" w:after="0"/>
              <w:ind w:left="0" w:right="0"/>
            </w:pPr>
            <w:r>
              <w:t>≤0.05</w:t>
            </w:r>
          </w:p>
        </w:tc>
        <w:tc>
          <w:tcPr>
            <w:tcW w:w="1618" w:type="dxa"/>
            <w:tcBorders>
              <w:tl2br w:val="nil"/>
              <w:tr2bl w:val="nil"/>
            </w:tcBorders>
            <w:noWrap w:val="0"/>
            <w:vAlign w:val="center"/>
          </w:tcPr>
          <w:p>
            <w:pPr>
              <w:pStyle w:val="28"/>
              <w:suppressLineNumbers w:val="0"/>
              <w:bidi w:val="0"/>
              <w:spacing w:before="0" w:after="0"/>
              <w:ind w:left="0" w:right="0"/>
            </w:pPr>
            <w:r>
              <w:t>≤0.1</w:t>
            </w:r>
          </w:p>
        </w:tc>
        <w:tc>
          <w:tcPr>
            <w:tcW w:w="1185" w:type="dxa"/>
            <w:tcBorders>
              <w:tl2br w:val="nil"/>
              <w:tr2bl w:val="nil"/>
            </w:tcBorders>
            <w:noWrap w:val="0"/>
            <w:vAlign w:val="center"/>
          </w:tcPr>
          <w:p>
            <w:pPr>
              <w:pStyle w:val="28"/>
              <w:suppressLineNumbers w:val="0"/>
              <w:bidi w:val="0"/>
              <w:spacing w:before="0" w:after="0"/>
              <w:ind w:left="0" w:right="0"/>
            </w:pPr>
            <w: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13</w:t>
            </w:r>
          </w:p>
        </w:tc>
        <w:tc>
          <w:tcPr>
            <w:tcW w:w="2917" w:type="dxa"/>
            <w:tcBorders>
              <w:tl2br w:val="nil"/>
              <w:tr2bl w:val="nil"/>
            </w:tcBorders>
            <w:noWrap w:val="0"/>
            <w:vAlign w:val="center"/>
          </w:tcPr>
          <w:p>
            <w:pPr>
              <w:pStyle w:val="28"/>
              <w:suppressLineNumbers w:val="0"/>
              <w:bidi w:val="0"/>
              <w:spacing w:before="0" w:after="0"/>
              <w:ind w:left="0" w:right="0"/>
            </w:pPr>
            <w:r>
              <w:t>镉(mg/L)</w:t>
            </w:r>
          </w:p>
        </w:tc>
        <w:tc>
          <w:tcPr>
            <w:tcW w:w="874" w:type="dxa"/>
            <w:tcBorders>
              <w:tl2br w:val="nil"/>
              <w:tr2bl w:val="nil"/>
            </w:tcBorders>
            <w:noWrap w:val="0"/>
            <w:vAlign w:val="center"/>
          </w:tcPr>
          <w:p>
            <w:pPr>
              <w:pStyle w:val="28"/>
              <w:suppressLineNumbers w:val="0"/>
              <w:bidi w:val="0"/>
              <w:spacing w:before="0" w:after="0"/>
              <w:ind w:left="0" w:right="0"/>
            </w:pPr>
            <w:r>
              <w:t>≤0.0001</w:t>
            </w:r>
          </w:p>
        </w:tc>
        <w:tc>
          <w:tcPr>
            <w:tcW w:w="1063" w:type="dxa"/>
            <w:tcBorders>
              <w:tl2br w:val="nil"/>
              <w:tr2bl w:val="nil"/>
            </w:tcBorders>
            <w:noWrap w:val="0"/>
            <w:vAlign w:val="center"/>
          </w:tcPr>
          <w:p>
            <w:pPr>
              <w:pStyle w:val="28"/>
              <w:suppressLineNumbers w:val="0"/>
              <w:bidi w:val="0"/>
              <w:spacing w:before="0" w:after="0"/>
              <w:ind w:left="0" w:right="0"/>
            </w:pPr>
            <w:r>
              <w:t>≤0.001</w:t>
            </w:r>
          </w:p>
        </w:tc>
        <w:tc>
          <w:tcPr>
            <w:tcW w:w="893" w:type="dxa"/>
            <w:tcBorders>
              <w:tl2br w:val="nil"/>
              <w:tr2bl w:val="nil"/>
            </w:tcBorders>
            <w:noWrap w:val="0"/>
            <w:vAlign w:val="center"/>
          </w:tcPr>
          <w:p>
            <w:pPr>
              <w:pStyle w:val="28"/>
              <w:suppressLineNumbers w:val="0"/>
              <w:bidi w:val="0"/>
              <w:spacing w:before="0" w:after="0"/>
              <w:ind w:left="0" w:right="0"/>
            </w:pPr>
            <w:r>
              <w:t>≤0.005</w:t>
            </w:r>
          </w:p>
        </w:tc>
        <w:tc>
          <w:tcPr>
            <w:tcW w:w="1618" w:type="dxa"/>
            <w:tcBorders>
              <w:tl2br w:val="nil"/>
              <w:tr2bl w:val="nil"/>
            </w:tcBorders>
            <w:noWrap w:val="0"/>
            <w:vAlign w:val="center"/>
          </w:tcPr>
          <w:p>
            <w:pPr>
              <w:pStyle w:val="28"/>
              <w:suppressLineNumbers w:val="0"/>
              <w:bidi w:val="0"/>
              <w:spacing w:before="0" w:after="0"/>
              <w:ind w:left="0" w:right="0"/>
            </w:pPr>
            <w:r>
              <w:t>≤0.01</w:t>
            </w:r>
          </w:p>
        </w:tc>
        <w:tc>
          <w:tcPr>
            <w:tcW w:w="1185" w:type="dxa"/>
            <w:tcBorders>
              <w:tl2br w:val="nil"/>
              <w:tr2bl w:val="nil"/>
            </w:tcBorders>
            <w:noWrap w:val="0"/>
            <w:vAlign w:val="center"/>
          </w:tcPr>
          <w:p>
            <w:pPr>
              <w:pStyle w:val="28"/>
              <w:suppressLineNumbers w:val="0"/>
              <w:bidi w:val="0"/>
              <w:spacing w:before="0" w:after="0"/>
              <w:ind w:left="0" w:right="0"/>
            </w:pPr>
            <w: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14</w:t>
            </w:r>
          </w:p>
        </w:tc>
        <w:tc>
          <w:tcPr>
            <w:tcW w:w="2917" w:type="dxa"/>
            <w:tcBorders>
              <w:tl2br w:val="nil"/>
              <w:tr2bl w:val="nil"/>
            </w:tcBorders>
            <w:noWrap w:val="0"/>
            <w:vAlign w:val="center"/>
          </w:tcPr>
          <w:p>
            <w:pPr>
              <w:pStyle w:val="28"/>
              <w:suppressLineNumbers w:val="0"/>
              <w:bidi w:val="0"/>
              <w:spacing w:before="0" w:after="0"/>
              <w:ind w:left="0" w:right="0"/>
            </w:pPr>
            <w:r>
              <w:t>铅(mg/L)</w:t>
            </w:r>
          </w:p>
        </w:tc>
        <w:tc>
          <w:tcPr>
            <w:tcW w:w="874" w:type="dxa"/>
            <w:tcBorders>
              <w:tl2br w:val="nil"/>
              <w:tr2bl w:val="nil"/>
            </w:tcBorders>
            <w:noWrap w:val="0"/>
            <w:vAlign w:val="center"/>
          </w:tcPr>
          <w:p>
            <w:pPr>
              <w:pStyle w:val="28"/>
              <w:suppressLineNumbers w:val="0"/>
              <w:bidi w:val="0"/>
              <w:spacing w:before="0" w:after="0"/>
              <w:ind w:left="0" w:right="0"/>
            </w:pPr>
            <w:r>
              <w:t>≤0.005</w:t>
            </w:r>
          </w:p>
        </w:tc>
        <w:tc>
          <w:tcPr>
            <w:tcW w:w="1063" w:type="dxa"/>
            <w:tcBorders>
              <w:tl2br w:val="nil"/>
              <w:tr2bl w:val="nil"/>
            </w:tcBorders>
            <w:noWrap w:val="0"/>
            <w:vAlign w:val="center"/>
          </w:tcPr>
          <w:p>
            <w:pPr>
              <w:pStyle w:val="28"/>
              <w:suppressLineNumbers w:val="0"/>
              <w:bidi w:val="0"/>
              <w:spacing w:before="0" w:after="0"/>
              <w:ind w:left="0" w:right="0"/>
            </w:pPr>
            <w:r>
              <w:t>≤0.005</w:t>
            </w:r>
          </w:p>
        </w:tc>
        <w:tc>
          <w:tcPr>
            <w:tcW w:w="893" w:type="dxa"/>
            <w:tcBorders>
              <w:tl2br w:val="nil"/>
              <w:tr2bl w:val="nil"/>
            </w:tcBorders>
            <w:noWrap w:val="0"/>
            <w:vAlign w:val="center"/>
          </w:tcPr>
          <w:p>
            <w:pPr>
              <w:pStyle w:val="28"/>
              <w:suppressLineNumbers w:val="0"/>
              <w:bidi w:val="0"/>
              <w:spacing w:before="0" w:after="0"/>
              <w:ind w:left="0" w:right="0"/>
            </w:pPr>
            <w:r>
              <w:t>≤0.01</w:t>
            </w:r>
          </w:p>
        </w:tc>
        <w:tc>
          <w:tcPr>
            <w:tcW w:w="1618" w:type="dxa"/>
            <w:tcBorders>
              <w:tl2br w:val="nil"/>
              <w:tr2bl w:val="nil"/>
            </w:tcBorders>
            <w:noWrap w:val="0"/>
            <w:vAlign w:val="center"/>
          </w:tcPr>
          <w:p>
            <w:pPr>
              <w:pStyle w:val="28"/>
              <w:suppressLineNumbers w:val="0"/>
              <w:bidi w:val="0"/>
              <w:spacing w:before="0" w:after="0"/>
              <w:ind w:left="0" w:right="0"/>
            </w:pPr>
            <w:r>
              <w:t>≤0.1</w:t>
            </w:r>
          </w:p>
        </w:tc>
        <w:tc>
          <w:tcPr>
            <w:tcW w:w="1185" w:type="dxa"/>
            <w:tcBorders>
              <w:tl2br w:val="nil"/>
              <w:tr2bl w:val="nil"/>
            </w:tcBorders>
            <w:noWrap w:val="0"/>
            <w:vAlign w:val="center"/>
          </w:tcPr>
          <w:p>
            <w:pPr>
              <w:pStyle w:val="28"/>
              <w:suppressLineNumbers w:val="0"/>
              <w:bidi w:val="0"/>
              <w:spacing w:before="0" w:after="0"/>
              <w:ind w:left="0" w:right="0"/>
            </w:pPr>
            <w: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15</w:t>
            </w:r>
          </w:p>
        </w:tc>
        <w:tc>
          <w:tcPr>
            <w:tcW w:w="2917" w:type="dxa"/>
            <w:tcBorders>
              <w:tl2br w:val="nil"/>
              <w:tr2bl w:val="nil"/>
            </w:tcBorders>
            <w:noWrap w:val="0"/>
            <w:vAlign w:val="center"/>
          </w:tcPr>
          <w:p>
            <w:pPr>
              <w:pStyle w:val="28"/>
              <w:suppressLineNumbers w:val="0"/>
              <w:bidi w:val="0"/>
              <w:spacing w:before="0" w:after="0"/>
              <w:ind w:left="0" w:right="0"/>
            </w:pPr>
            <w:r>
              <w:t>砷(mg/L)</w:t>
            </w:r>
          </w:p>
        </w:tc>
        <w:tc>
          <w:tcPr>
            <w:tcW w:w="874" w:type="dxa"/>
            <w:tcBorders>
              <w:tl2br w:val="nil"/>
              <w:tr2bl w:val="nil"/>
            </w:tcBorders>
            <w:noWrap w:val="0"/>
            <w:vAlign w:val="center"/>
          </w:tcPr>
          <w:p>
            <w:pPr>
              <w:pStyle w:val="28"/>
              <w:suppressLineNumbers w:val="0"/>
              <w:bidi w:val="0"/>
              <w:spacing w:before="0" w:after="0"/>
              <w:ind w:left="0" w:right="0"/>
            </w:pPr>
            <w:r>
              <w:t>≤0.001</w:t>
            </w:r>
          </w:p>
        </w:tc>
        <w:tc>
          <w:tcPr>
            <w:tcW w:w="1063" w:type="dxa"/>
            <w:tcBorders>
              <w:tl2br w:val="nil"/>
              <w:tr2bl w:val="nil"/>
            </w:tcBorders>
            <w:noWrap w:val="0"/>
            <w:vAlign w:val="center"/>
          </w:tcPr>
          <w:p>
            <w:pPr>
              <w:pStyle w:val="28"/>
              <w:suppressLineNumbers w:val="0"/>
              <w:bidi w:val="0"/>
              <w:spacing w:before="0" w:after="0"/>
              <w:ind w:left="0" w:right="0"/>
            </w:pPr>
            <w:r>
              <w:t>≤0.001</w:t>
            </w:r>
          </w:p>
        </w:tc>
        <w:tc>
          <w:tcPr>
            <w:tcW w:w="893" w:type="dxa"/>
            <w:tcBorders>
              <w:tl2br w:val="nil"/>
              <w:tr2bl w:val="nil"/>
            </w:tcBorders>
            <w:noWrap w:val="0"/>
            <w:vAlign w:val="center"/>
          </w:tcPr>
          <w:p>
            <w:pPr>
              <w:pStyle w:val="28"/>
              <w:suppressLineNumbers w:val="0"/>
              <w:bidi w:val="0"/>
              <w:spacing w:before="0" w:after="0"/>
              <w:ind w:left="0" w:right="0"/>
            </w:pPr>
            <w:r>
              <w:t>≤0.01</w:t>
            </w:r>
          </w:p>
        </w:tc>
        <w:tc>
          <w:tcPr>
            <w:tcW w:w="1618" w:type="dxa"/>
            <w:tcBorders>
              <w:tl2br w:val="nil"/>
              <w:tr2bl w:val="nil"/>
            </w:tcBorders>
            <w:noWrap w:val="0"/>
            <w:vAlign w:val="center"/>
          </w:tcPr>
          <w:p>
            <w:pPr>
              <w:pStyle w:val="28"/>
              <w:suppressLineNumbers w:val="0"/>
              <w:bidi w:val="0"/>
              <w:spacing w:before="0" w:after="0"/>
              <w:ind w:left="0" w:right="0"/>
            </w:pPr>
            <w:r>
              <w:t>≤0.05</w:t>
            </w:r>
          </w:p>
        </w:tc>
        <w:tc>
          <w:tcPr>
            <w:tcW w:w="1185" w:type="dxa"/>
            <w:tcBorders>
              <w:tl2br w:val="nil"/>
              <w:tr2bl w:val="nil"/>
            </w:tcBorders>
            <w:noWrap w:val="0"/>
            <w:vAlign w:val="center"/>
          </w:tcPr>
          <w:p>
            <w:pPr>
              <w:pStyle w:val="28"/>
              <w:suppressLineNumbers w:val="0"/>
              <w:bidi w:val="0"/>
              <w:spacing w:before="0" w:after="0"/>
              <w:ind w:left="0" w:right="0"/>
            </w:pPr>
            <w:r>
              <w:t>&gt;0.05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16</w:t>
            </w:r>
          </w:p>
        </w:tc>
        <w:tc>
          <w:tcPr>
            <w:tcW w:w="2917" w:type="dxa"/>
            <w:tcBorders>
              <w:tl2br w:val="nil"/>
              <w:tr2bl w:val="nil"/>
            </w:tcBorders>
            <w:noWrap w:val="0"/>
            <w:vAlign w:val="center"/>
          </w:tcPr>
          <w:p>
            <w:pPr>
              <w:pStyle w:val="28"/>
              <w:suppressLineNumbers w:val="0"/>
              <w:bidi w:val="0"/>
              <w:spacing w:before="0" w:after="0"/>
              <w:ind w:left="0" w:right="0"/>
            </w:pPr>
            <w:r>
              <w:t>汞(mg/L)</w:t>
            </w:r>
          </w:p>
        </w:tc>
        <w:tc>
          <w:tcPr>
            <w:tcW w:w="874" w:type="dxa"/>
            <w:tcBorders>
              <w:tl2br w:val="nil"/>
              <w:tr2bl w:val="nil"/>
            </w:tcBorders>
            <w:noWrap w:val="0"/>
            <w:vAlign w:val="center"/>
          </w:tcPr>
          <w:p>
            <w:pPr>
              <w:pStyle w:val="28"/>
              <w:suppressLineNumbers w:val="0"/>
              <w:bidi w:val="0"/>
              <w:spacing w:before="0" w:after="0"/>
              <w:ind w:left="0" w:right="0"/>
            </w:pPr>
            <w:r>
              <w:t>≤0.0001</w:t>
            </w:r>
          </w:p>
        </w:tc>
        <w:tc>
          <w:tcPr>
            <w:tcW w:w="1063" w:type="dxa"/>
            <w:tcBorders>
              <w:tl2br w:val="nil"/>
              <w:tr2bl w:val="nil"/>
            </w:tcBorders>
            <w:noWrap w:val="0"/>
            <w:vAlign w:val="center"/>
          </w:tcPr>
          <w:p>
            <w:pPr>
              <w:pStyle w:val="28"/>
              <w:suppressLineNumbers w:val="0"/>
              <w:bidi w:val="0"/>
              <w:spacing w:before="0" w:after="0"/>
              <w:ind w:left="0" w:right="0"/>
            </w:pPr>
            <w:r>
              <w:t>≤0.0001</w:t>
            </w:r>
          </w:p>
        </w:tc>
        <w:tc>
          <w:tcPr>
            <w:tcW w:w="893" w:type="dxa"/>
            <w:tcBorders>
              <w:tl2br w:val="nil"/>
              <w:tr2bl w:val="nil"/>
            </w:tcBorders>
            <w:noWrap w:val="0"/>
            <w:vAlign w:val="center"/>
          </w:tcPr>
          <w:p>
            <w:pPr>
              <w:pStyle w:val="28"/>
              <w:suppressLineNumbers w:val="0"/>
              <w:bidi w:val="0"/>
              <w:spacing w:before="0" w:after="0"/>
              <w:ind w:left="0" w:right="0"/>
            </w:pPr>
            <w:r>
              <w:t>≤0.001</w:t>
            </w:r>
          </w:p>
        </w:tc>
        <w:tc>
          <w:tcPr>
            <w:tcW w:w="1618" w:type="dxa"/>
            <w:tcBorders>
              <w:tl2br w:val="nil"/>
              <w:tr2bl w:val="nil"/>
            </w:tcBorders>
            <w:noWrap w:val="0"/>
            <w:vAlign w:val="center"/>
          </w:tcPr>
          <w:p>
            <w:pPr>
              <w:pStyle w:val="28"/>
              <w:suppressLineNumbers w:val="0"/>
              <w:bidi w:val="0"/>
              <w:spacing w:before="0" w:after="0"/>
              <w:ind w:left="0" w:right="0"/>
            </w:pPr>
            <w:r>
              <w:t>≤0.002</w:t>
            </w:r>
          </w:p>
        </w:tc>
        <w:tc>
          <w:tcPr>
            <w:tcW w:w="1185" w:type="dxa"/>
            <w:tcBorders>
              <w:tl2br w:val="nil"/>
              <w:tr2bl w:val="nil"/>
            </w:tcBorders>
            <w:noWrap w:val="0"/>
            <w:vAlign w:val="center"/>
          </w:tcPr>
          <w:p>
            <w:pPr>
              <w:pStyle w:val="28"/>
              <w:suppressLineNumbers w:val="0"/>
              <w:bidi w:val="0"/>
              <w:spacing w:before="0" w:after="0"/>
              <w:ind w:left="0" w:right="0"/>
            </w:pPr>
            <w:r>
              <w:t>&gt;0.002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17</w:t>
            </w:r>
          </w:p>
        </w:tc>
        <w:tc>
          <w:tcPr>
            <w:tcW w:w="2917" w:type="dxa"/>
            <w:tcBorders>
              <w:tl2br w:val="nil"/>
              <w:tr2bl w:val="nil"/>
            </w:tcBorders>
            <w:noWrap w:val="0"/>
            <w:vAlign w:val="center"/>
          </w:tcPr>
          <w:p>
            <w:pPr>
              <w:pStyle w:val="28"/>
              <w:suppressLineNumbers w:val="0"/>
              <w:bidi w:val="0"/>
              <w:spacing w:before="0" w:after="0"/>
              <w:ind w:left="0" w:right="0"/>
            </w:pPr>
            <w:r>
              <w:t>氰化物(mg/L)</w:t>
            </w:r>
          </w:p>
        </w:tc>
        <w:tc>
          <w:tcPr>
            <w:tcW w:w="874" w:type="dxa"/>
            <w:tcBorders>
              <w:tl2br w:val="nil"/>
              <w:tr2bl w:val="nil"/>
            </w:tcBorders>
            <w:noWrap w:val="0"/>
            <w:vAlign w:val="center"/>
          </w:tcPr>
          <w:p>
            <w:pPr>
              <w:pStyle w:val="28"/>
              <w:suppressLineNumbers w:val="0"/>
              <w:bidi w:val="0"/>
              <w:spacing w:before="0" w:after="0"/>
              <w:ind w:left="0" w:right="0"/>
            </w:pPr>
            <w:r>
              <w:t>≤0.001</w:t>
            </w:r>
          </w:p>
        </w:tc>
        <w:tc>
          <w:tcPr>
            <w:tcW w:w="1063" w:type="dxa"/>
            <w:tcBorders>
              <w:tl2br w:val="nil"/>
              <w:tr2bl w:val="nil"/>
            </w:tcBorders>
            <w:noWrap w:val="0"/>
            <w:vAlign w:val="center"/>
          </w:tcPr>
          <w:p>
            <w:pPr>
              <w:pStyle w:val="28"/>
              <w:suppressLineNumbers w:val="0"/>
              <w:bidi w:val="0"/>
              <w:spacing w:before="0" w:after="0"/>
              <w:ind w:left="0" w:right="0"/>
            </w:pPr>
            <w:r>
              <w:t>≤0.01</w:t>
            </w:r>
          </w:p>
        </w:tc>
        <w:tc>
          <w:tcPr>
            <w:tcW w:w="893" w:type="dxa"/>
            <w:tcBorders>
              <w:tl2br w:val="nil"/>
              <w:tr2bl w:val="nil"/>
            </w:tcBorders>
            <w:noWrap w:val="0"/>
            <w:vAlign w:val="center"/>
          </w:tcPr>
          <w:p>
            <w:pPr>
              <w:pStyle w:val="28"/>
              <w:suppressLineNumbers w:val="0"/>
              <w:bidi w:val="0"/>
              <w:spacing w:before="0" w:after="0"/>
              <w:ind w:left="0" w:right="0"/>
            </w:pPr>
            <w:r>
              <w:t>≤0.05</w:t>
            </w:r>
          </w:p>
        </w:tc>
        <w:tc>
          <w:tcPr>
            <w:tcW w:w="1618" w:type="dxa"/>
            <w:tcBorders>
              <w:tl2br w:val="nil"/>
              <w:tr2bl w:val="nil"/>
            </w:tcBorders>
            <w:noWrap w:val="0"/>
            <w:vAlign w:val="center"/>
          </w:tcPr>
          <w:p>
            <w:pPr>
              <w:pStyle w:val="28"/>
              <w:suppressLineNumbers w:val="0"/>
              <w:bidi w:val="0"/>
              <w:spacing w:before="0" w:after="0"/>
              <w:ind w:left="0" w:right="0"/>
            </w:pPr>
            <w:r>
              <w:t>≤0.1</w:t>
            </w:r>
          </w:p>
        </w:tc>
        <w:tc>
          <w:tcPr>
            <w:tcW w:w="1185" w:type="dxa"/>
            <w:tcBorders>
              <w:tl2br w:val="nil"/>
              <w:tr2bl w:val="nil"/>
            </w:tcBorders>
            <w:noWrap w:val="0"/>
            <w:vAlign w:val="center"/>
          </w:tcPr>
          <w:p>
            <w:pPr>
              <w:pStyle w:val="28"/>
              <w:suppressLineNumbers w:val="0"/>
              <w:bidi w:val="0"/>
              <w:spacing w:before="0" w:after="0"/>
              <w:ind w:left="0" w:right="0"/>
            </w:pPr>
            <w: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pPr>
            <w:r>
              <w:t>18</w:t>
            </w:r>
          </w:p>
        </w:tc>
        <w:tc>
          <w:tcPr>
            <w:tcW w:w="2917" w:type="dxa"/>
            <w:tcBorders>
              <w:tl2br w:val="nil"/>
              <w:tr2bl w:val="nil"/>
            </w:tcBorders>
            <w:noWrap w:val="0"/>
            <w:vAlign w:val="center"/>
          </w:tcPr>
          <w:p>
            <w:pPr>
              <w:pStyle w:val="28"/>
              <w:suppressLineNumbers w:val="0"/>
              <w:bidi w:val="0"/>
              <w:spacing w:before="0" w:after="0"/>
              <w:ind w:left="0" w:right="0"/>
            </w:pPr>
            <w:r>
              <w:t>镍（Ni）（mg/L）</w:t>
            </w:r>
          </w:p>
        </w:tc>
        <w:tc>
          <w:tcPr>
            <w:tcW w:w="874" w:type="dxa"/>
            <w:tcBorders>
              <w:tl2br w:val="nil"/>
              <w:tr2bl w:val="nil"/>
            </w:tcBorders>
            <w:noWrap w:val="0"/>
            <w:vAlign w:val="center"/>
          </w:tcPr>
          <w:p>
            <w:pPr>
              <w:pStyle w:val="28"/>
              <w:suppressLineNumbers w:val="0"/>
              <w:bidi w:val="0"/>
              <w:spacing w:before="0" w:after="0"/>
              <w:ind w:left="0" w:right="0"/>
            </w:pPr>
            <w:r>
              <w:t>≤0.005</w:t>
            </w:r>
          </w:p>
        </w:tc>
        <w:tc>
          <w:tcPr>
            <w:tcW w:w="1063" w:type="dxa"/>
            <w:tcBorders>
              <w:tl2br w:val="nil"/>
              <w:tr2bl w:val="nil"/>
            </w:tcBorders>
            <w:noWrap w:val="0"/>
            <w:vAlign w:val="center"/>
          </w:tcPr>
          <w:p>
            <w:pPr>
              <w:pStyle w:val="28"/>
              <w:suppressLineNumbers w:val="0"/>
              <w:bidi w:val="0"/>
              <w:spacing w:before="0" w:after="0"/>
              <w:ind w:left="0" w:right="0"/>
            </w:pPr>
            <w:r>
              <w:t>≤0.05</w:t>
            </w:r>
          </w:p>
        </w:tc>
        <w:tc>
          <w:tcPr>
            <w:tcW w:w="893" w:type="dxa"/>
            <w:tcBorders>
              <w:tl2br w:val="nil"/>
              <w:tr2bl w:val="nil"/>
            </w:tcBorders>
            <w:noWrap w:val="0"/>
            <w:vAlign w:val="center"/>
          </w:tcPr>
          <w:p>
            <w:pPr>
              <w:pStyle w:val="28"/>
              <w:suppressLineNumbers w:val="0"/>
              <w:bidi w:val="0"/>
              <w:spacing w:before="0" w:after="0"/>
              <w:ind w:left="0" w:right="0"/>
            </w:pPr>
            <w:r>
              <w:t>≤0.05</w:t>
            </w:r>
          </w:p>
        </w:tc>
        <w:tc>
          <w:tcPr>
            <w:tcW w:w="1618" w:type="dxa"/>
            <w:tcBorders>
              <w:tl2br w:val="nil"/>
              <w:tr2bl w:val="nil"/>
            </w:tcBorders>
            <w:noWrap w:val="0"/>
            <w:vAlign w:val="center"/>
          </w:tcPr>
          <w:p>
            <w:pPr>
              <w:pStyle w:val="28"/>
              <w:suppressLineNumbers w:val="0"/>
              <w:bidi w:val="0"/>
              <w:spacing w:before="0" w:after="0"/>
              <w:ind w:left="0" w:right="0"/>
            </w:pPr>
            <w:r>
              <w:t>≤0.1</w:t>
            </w:r>
          </w:p>
        </w:tc>
        <w:tc>
          <w:tcPr>
            <w:tcW w:w="1185" w:type="dxa"/>
            <w:tcBorders>
              <w:tl2br w:val="nil"/>
              <w:tr2bl w:val="nil"/>
            </w:tcBorders>
            <w:noWrap w:val="0"/>
            <w:vAlign w:val="center"/>
          </w:tcPr>
          <w:p>
            <w:pPr>
              <w:pStyle w:val="28"/>
              <w:suppressLineNumbers w:val="0"/>
              <w:bidi w:val="0"/>
              <w:spacing w:before="0" w:after="0"/>
              <w:ind w:left="0" w:right="0"/>
            </w:pPr>
            <w: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29"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19</w:t>
            </w:r>
          </w:p>
        </w:tc>
        <w:tc>
          <w:tcPr>
            <w:tcW w:w="2917"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氟化物</w:t>
            </w:r>
            <w:r>
              <w:t>（mg/L）</w:t>
            </w:r>
          </w:p>
        </w:tc>
        <w:tc>
          <w:tcPr>
            <w:tcW w:w="87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t>≤</w:t>
            </w:r>
            <w:r>
              <w:rPr>
                <w:rFonts w:hint="eastAsia"/>
                <w:lang w:val="en-US" w:eastAsia="zh-CN"/>
              </w:rPr>
              <w:t>1.0</w:t>
            </w:r>
          </w:p>
        </w:tc>
        <w:tc>
          <w:tcPr>
            <w:tcW w:w="1063" w:type="dxa"/>
            <w:tcBorders>
              <w:tl2br w:val="nil"/>
              <w:tr2bl w:val="nil"/>
            </w:tcBorders>
            <w:noWrap w:val="0"/>
            <w:vAlign w:val="center"/>
          </w:tcPr>
          <w:p>
            <w:pPr>
              <w:pStyle w:val="28"/>
              <w:suppressLineNumbers w:val="0"/>
              <w:bidi w:val="0"/>
              <w:spacing w:before="0" w:after="0"/>
              <w:ind w:left="0" w:right="0"/>
            </w:pPr>
            <w:r>
              <w:t>≤</w:t>
            </w:r>
            <w:r>
              <w:rPr>
                <w:rFonts w:hint="eastAsia"/>
                <w:lang w:val="en-US" w:eastAsia="zh-CN"/>
              </w:rPr>
              <w:t>1.0</w:t>
            </w:r>
          </w:p>
        </w:tc>
        <w:tc>
          <w:tcPr>
            <w:tcW w:w="893" w:type="dxa"/>
            <w:tcBorders>
              <w:tl2br w:val="nil"/>
              <w:tr2bl w:val="nil"/>
            </w:tcBorders>
            <w:noWrap w:val="0"/>
            <w:vAlign w:val="center"/>
          </w:tcPr>
          <w:p>
            <w:pPr>
              <w:pStyle w:val="28"/>
              <w:suppressLineNumbers w:val="0"/>
              <w:bidi w:val="0"/>
              <w:spacing w:before="0" w:after="0"/>
              <w:ind w:left="0" w:right="0"/>
            </w:pPr>
            <w:r>
              <w:t>≤</w:t>
            </w:r>
            <w:r>
              <w:rPr>
                <w:rFonts w:hint="eastAsia"/>
                <w:lang w:val="en-US" w:eastAsia="zh-CN"/>
              </w:rPr>
              <w:t>1.0</w:t>
            </w:r>
          </w:p>
        </w:tc>
        <w:tc>
          <w:tcPr>
            <w:tcW w:w="1618" w:type="dxa"/>
            <w:tcBorders>
              <w:tl2br w:val="nil"/>
              <w:tr2bl w:val="nil"/>
            </w:tcBorders>
            <w:noWrap w:val="0"/>
            <w:vAlign w:val="center"/>
          </w:tcPr>
          <w:p>
            <w:pPr>
              <w:pStyle w:val="28"/>
              <w:suppressLineNumbers w:val="0"/>
              <w:bidi w:val="0"/>
              <w:spacing w:before="0" w:after="0"/>
              <w:ind w:left="0" w:right="0"/>
            </w:pPr>
            <w:r>
              <w:t>≤</w:t>
            </w:r>
            <w:r>
              <w:rPr>
                <w:rFonts w:hint="eastAsia"/>
                <w:lang w:val="en-US" w:eastAsia="zh-CN"/>
              </w:rPr>
              <w:t>2.0</w:t>
            </w:r>
          </w:p>
        </w:tc>
        <w:tc>
          <w:tcPr>
            <w:tcW w:w="118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t>&gt;</w:t>
            </w:r>
            <w:r>
              <w:rPr>
                <w:rFonts w:hint="eastAsia"/>
                <w:lang w:val="en-US" w:eastAsia="zh-CN"/>
              </w:rPr>
              <w:t>2.0</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2.6.1.5土壤</w:t>
      </w:r>
    </w:p>
    <w:p>
      <w:pPr>
        <w:bidi w:val="0"/>
      </w:pPr>
      <w:r>
        <w:t>土壤质量标准执行《土壤环境质量 建设用地土壤污染风险管控标准（试行）》（GB36600-2018）中第二类用地标准，其主要指标见表</w:t>
      </w:r>
      <w:r>
        <w:rPr>
          <w:rFonts w:hint="eastAsia"/>
          <w:lang w:val="en-US" w:eastAsia="zh-CN"/>
        </w:rPr>
        <w:t>2.6.1-5</w:t>
      </w:r>
      <w:r>
        <w:t>。</w:t>
      </w:r>
    </w:p>
    <w:p>
      <w:pPr>
        <w:bidi w:val="0"/>
      </w:pPr>
    </w:p>
    <w:p>
      <w:pPr>
        <w:pStyle w:val="27"/>
        <w:bidi w:val="0"/>
      </w:pPr>
      <w:r>
        <w:t>表</w:t>
      </w:r>
      <w:r>
        <w:rPr>
          <w:rFonts w:hint="eastAsia"/>
          <w:lang w:val="en-US" w:eastAsia="zh-CN"/>
        </w:rPr>
        <w:t>2.6.1</w:t>
      </w:r>
      <w:r>
        <w:t>-5 建设用地土壤污染风险筛选值和管制值（基本项目，单位：mg/kg）</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466"/>
        <w:gridCol w:w="2088"/>
        <w:gridCol w:w="1856"/>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vMerge w:val="restart"/>
            <w:tcBorders>
              <w:tl2br w:val="nil"/>
              <w:tr2bl w:val="nil"/>
            </w:tcBorders>
            <w:noWrap w:val="0"/>
            <w:tcMar>
              <w:left w:w="0" w:type="dxa"/>
              <w:right w:w="0" w:type="dxa"/>
            </w:tcMar>
            <w:vAlign w:val="center"/>
          </w:tcPr>
          <w:p>
            <w:pPr>
              <w:pStyle w:val="28"/>
              <w:suppressLineNumbers w:val="0"/>
              <w:bidi w:val="0"/>
              <w:spacing w:before="0" w:after="0"/>
              <w:ind w:left="0" w:right="0"/>
            </w:pPr>
            <w:r>
              <w:t>序号</w:t>
            </w:r>
          </w:p>
        </w:tc>
        <w:tc>
          <w:tcPr>
            <w:tcW w:w="2466" w:type="dxa"/>
            <w:vMerge w:val="restart"/>
            <w:tcBorders>
              <w:tl2br w:val="nil"/>
              <w:tr2bl w:val="nil"/>
            </w:tcBorders>
            <w:noWrap w:val="0"/>
            <w:tcMar>
              <w:left w:w="0" w:type="dxa"/>
              <w:right w:w="0" w:type="dxa"/>
            </w:tcMar>
            <w:vAlign w:val="center"/>
          </w:tcPr>
          <w:p>
            <w:pPr>
              <w:pStyle w:val="28"/>
              <w:suppressLineNumbers w:val="0"/>
              <w:bidi w:val="0"/>
              <w:spacing w:before="0" w:after="0"/>
              <w:ind w:left="0" w:right="0"/>
            </w:pPr>
            <w:r>
              <w:t>污染物项目</w:t>
            </w:r>
          </w:p>
        </w:tc>
        <w:tc>
          <w:tcPr>
            <w:tcW w:w="2088" w:type="dxa"/>
            <w:vMerge w:val="restart"/>
            <w:tcBorders>
              <w:tl2br w:val="nil"/>
              <w:tr2bl w:val="nil"/>
            </w:tcBorders>
            <w:noWrap w:val="0"/>
            <w:tcMar>
              <w:left w:w="0" w:type="dxa"/>
              <w:right w:w="0" w:type="dxa"/>
            </w:tcMar>
            <w:vAlign w:val="center"/>
          </w:tcPr>
          <w:p>
            <w:pPr>
              <w:pStyle w:val="28"/>
              <w:suppressLineNumbers w:val="0"/>
              <w:bidi w:val="0"/>
              <w:spacing w:before="0" w:after="0"/>
              <w:ind w:left="0" w:right="0"/>
            </w:pPr>
            <w:r>
              <w:t>CAS编号</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筛选值</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vMerge w:val="continue"/>
            <w:tcBorders>
              <w:tl2br w:val="nil"/>
              <w:tr2bl w:val="nil"/>
            </w:tcBorders>
            <w:noWrap w:val="0"/>
            <w:tcMar>
              <w:left w:w="0" w:type="dxa"/>
              <w:right w:w="0" w:type="dxa"/>
            </w:tcMar>
            <w:vAlign w:val="center"/>
          </w:tcPr>
          <w:p>
            <w:pPr>
              <w:pStyle w:val="28"/>
              <w:suppressLineNumbers w:val="0"/>
              <w:bidi w:val="0"/>
              <w:spacing w:before="0" w:after="0"/>
              <w:ind w:left="0" w:right="0"/>
              <w:outlineLvl w:val="9"/>
            </w:pPr>
          </w:p>
        </w:tc>
        <w:tc>
          <w:tcPr>
            <w:tcW w:w="2466" w:type="dxa"/>
            <w:vMerge w:val="continue"/>
            <w:tcBorders>
              <w:tl2br w:val="nil"/>
              <w:tr2bl w:val="nil"/>
            </w:tcBorders>
            <w:noWrap w:val="0"/>
            <w:tcMar>
              <w:left w:w="0" w:type="dxa"/>
              <w:right w:w="0" w:type="dxa"/>
            </w:tcMar>
            <w:vAlign w:val="center"/>
          </w:tcPr>
          <w:p>
            <w:pPr>
              <w:pStyle w:val="28"/>
              <w:suppressLineNumbers w:val="0"/>
              <w:bidi w:val="0"/>
              <w:spacing w:before="0" w:after="0"/>
              <w:ind w:left="0" w:right="0"/>
              <w:outlineLvl w:val="9"/>
            </w:pPr>
          </w:p>
        </w:tc>
        <w:tc>
          <w:tcPr>
            <w:tcW w:w="2088" w:type="dxa"/>
            <w:vMerge w:val="continue"/>
            <w:tcBorders>
              <w:tl2br w:val="nil"/>
              <w:tr2bl w:val="nil"/>
            </w:tcBorders>
            <w:noWrap w:val="0"/>
            <w:tcMar>
              <w:left w:w="0" w:type="dxa"/>
              <w:right w:w="0" w:type="dxa"/>
            </w:tcMar>
            <w:vAlign w:val="center"/>
          </w:tcPr>
          <w:p>
            <w:pPr>
              <w:pStyle w:val="28"/>
              <w:suppressLineNumbers w:val="0"/>
              <w:bidi w:val="0"/>
              <w:spacing w:before="0" w:after="0"/>
              <w:ind w:left="0" w:right="0"/>
              <w:outlineLvl w:val="9"/>
            </w:pP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第二类用地</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79" w:type="dxa"/>
            <w:gridSpan w:val="5"/>
            <w:tcBorders>
              <w:tl2br w:val="nil"/>
              <w:tr2bl w:val="nil"/>
            </w:tcBorders>
            <w:noWrap w:val="0"/>
            <w:tcMar>
              <w:left w:w="0" w:type="dxa"/>
              <w:right w:w="0" w:type="dxa"/>
            </w:tcMar>
            <w:vAlign w:val="center"/>
          </w:tcPr>
          <w:p>
            <w:pPr>
              <w:pStyle w:val="28"/>
              <w:suppressLineNumbers w:val="0"/>
              <w:bidi w:val="0"/>
              <w:spacing w:before="0" w:after="0"/>
              <w:ind w:left="0" w:right="0"/>
            </w:pPr>
            <w: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7440-38-2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镉</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7440-43-9</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铬（六价）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18540-29-9</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5.7</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铜</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7440-50-8</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18000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5</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铅</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7439-92-1</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800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6</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汞</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7439-97-6</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38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7</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镍</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7440-02-0</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900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79" w:type="dxa"/>
            <w:gridSpan w:val="5"/>
            <w:tcBorders>
              <w:tl2br w:val="nil"/>
              <w:tr2bl w:val="nil"/>
            </w:tcBorders>
            <w:noWrap w:val="0"/>
            <w:tcMar>
              <w:left w:w="0" w:type="dxa"/>
              <w:right w:w="0" w:type="dxa"/>
            </w:tcMar>
            <w:vAlign w:val="center"/>
          </w:tcPr>
          <w:p>
            <w:pPr>
              <w:pStyle w:val="28"/>
              <w:suppressLineNumbers w:val="0"/>
              <w:bidi w:val="0"/>
              <w:spacing w:before="0" w:after="0"/>
              <w:ind w:left="0" w:right="0"/>
            </w:pPr>
            <w: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8</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四氯化碳</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56-23-5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9</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氯仿</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67-66-3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0.9</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10</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氯甲烷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74-87-3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37</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11</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1,1-二氯乙烷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75-34-3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9</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12</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1,2-二氯乙烷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107-06-2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13</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1,1-二氯乙烯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75-35-4</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66</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14</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顺-1,2-二氯乙烯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156-59-2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596</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反-1,2-二氯乙烯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156-60-5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54</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16</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二氯甲烷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75-09-2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616</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17</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1,2-二氯丙烷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78-87-5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18</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1,1,1,2-四氯乙烷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630-20-6</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19</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1,1,2,2-四氯乙烷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79-34-5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20</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四氯乙烯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127-18-4</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53</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21</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1,1,1-三氯乙烷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71-55-6</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840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22</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1,1,2-三氯乙烷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79-00-5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23</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三氯乙烯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79-01-6</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24</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1,2,3-三氯丙烷</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96-18-4</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0.5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25</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75-01-4</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0.43</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26</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71-43-2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4</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27</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氯苯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108-90-7</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270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28</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1,2-二氯苯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95-50-1</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560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29</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1,4-二氯苯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106-46-7</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30</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乙苯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100-41-4</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28</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31</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苯乙烯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100-42-5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1290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32</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甲苯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108-88-3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1200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33</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间二甲苯+对二甲苯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108-38-3、106-42-3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570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34</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邻二甲苯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95-47-6</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640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279" w:type="dxa"/>
            <w:gridSpan w:val="5"/>
            <w:tcBorders>
              <w:tl2br w:val="nil"/>
              <w:tr2bl w:val="nil"/>
            </w:tcBorders>
            <w:noWrap w:val="0"/>
            <w:tcMar>
              <w:left w:w="0" w:type="dxa"/>
              <w:right w:w="0" w:type="dxa"/>
            </w:tcMar>
            <w:vAlign w:val="center"/>
          </w:tcPr>
          <w:p>
            <w:pPr>
              <w:pStyle w:val="28"/>
              <w:suppressLineNumbers w:val="0"/>
              <w:bidi w:val="0"/>
              <w:spacing w:before="0" w:after="0"/>
              <w:ind w:left="0" w:right="0"/>
            </w:pPr>
            <w: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35</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硝基苯</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98-95-3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76</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36</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苯胺</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62-53-3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260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37</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2-氯酚</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95-57-8</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2256</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38</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苯并[a]蒽</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56-55-3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39</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苯并[a]芘</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50-32-8</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40</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苯并[b]荧蒽</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205-99-2</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41</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苯并[k]荧蒽</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207-08-9</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151</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42</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䓛</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218-01-9</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1293</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43</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二苯并[a，h]蒽</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53-70-3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44</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茚并[1,2,3-cd]芘</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193-39-5</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15</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11" w:type="dxa"/>
            <w:tcBorders>
              <w:tl2br w:val="nil"/>
              <w:tr2bl w:val="nil"/>
            </w:tcBorders>
            <w:noWrap w:val="0"/>
            <w:tcMar>
              <w:left w:w="0" w:type="dxa"/>
              <w:right w:w="0" w:type="dxa"/>
            </w:tcMar>
            <w:vAlign w:val="center"/>
          </w:tcPr>
          <w:p>
            <w:pPr>
              <w:pStyle w:val="28"/>
              <w:suppressLineNumbers w:val="0"/>
              <w:bidi w:val="0"/>
              <w:spacing w:before="0" w:after="0"/>
              <w:ind w:left="0" w:right="0"/>
            </w:pPr>
            <w:r>
              <w:t>45</w:t>
            </w:r>
          </w:p>
        </w:tc>
        <w:tc>
          <w:tcPr>
            <w:tcW w:w="2466" w:type="dxa"/>
            <w:tcBorders>
              <w:tl2br w:val="nil"/>
              <w:tr2bl w:val="nil"/>
            </w:tcBorders>
            <w:noWrap w:val="0"/>
            <w:tcMar>
              <w:left w:w="0" w:type="dxa"/>
              <w:right w:w="0" w:type="dxa"/>
            </w:tcMar>
            <w:vAlign w:val="center"/>
          </w:tcPr>
          <w:p>
            <w:pPr>
              <w:pStyle w:val="28"/>
              <w:suppressLineNumbers w:val="0"/>
              <w:bidi w:val="0"/>
              <w:spacing w:before="0" w:after="0"/>
              <w:ind w:left="0" w:right="0"/>
            </w:pPr>
            <w:r>
              <w:t>萘</w:t>
            </w:r>
          </w:p>
        </w:tc>
        <w:tc>
          <w:tcPr>
            <w:tcW w:w="2088" w:type="dxa"/>
            <w:tcBorders>
              <w:tl2br w:val="nil"/>
              <w:tr2bl w:val="nil"/>
            </w:tcBorders>
            <w:noWrap w:val="0"/>
            <w:tcMar>
              <w:left w:w="0" w:type="dxa"/>
              <w:right w:w="0" w:type="dxa"/>
            </w:tcMar>
            <w:vAlign w:val="center"/>
          </w:tcPr>
          <w:p>
            <w:pPr>
              <w:pStyle w:val="28"/>
              <w:suppressLineNumbers w:val="0"/>
              <w:bidi w:val="0"/>
              <w:spacing w:before="0" w:after="0"/>
              <w:ind w:left="0" w:right="0"/>
            </w:pPr>
            <w:r>
              <w:t>91-20-3</w:t>
            </w:r>
          </w:p>
        </w:tc>
        <w:tc>
          <w:tcPr>
            <w:tcW w:w="1856" w:type="dxa"/>
            <w:tcBorders>
              <w:tl2br w:val="nil"/>
              <w:tr2bl w:val="nil"/>
            </w:tcBorders>
            <w:noWrap w:val="0"/>
            <w:tcMar>
              <w:left w:w="0" w:type="dxa"/>
              <w:right w:w="0" w:type="dxa"/>
            </w:tcMar>
            <w:vAlign w:val="center"/>
          </w:tcPr>
          <w:p>
            <w:pPr>
              <w:pStyle w:val="28"/>
              <w:suppressLineNumbers w:val="0"/>
              <w:bidi w:val="0"/>
              <w:spacing w:before="0" w:after="0"/>
              <w:ind w:left="0" w:right="0"/>
            </w:pPr>
            <w:r>
              <w:t>70</w:t>
            </w:r>
          </w:p>
        </w:tc>
        <w:tc>
          <w:tcPr>
            <w:tcW w:w="1858" w:type="dxa"/>
            <w:tcBorders>
              <w:tl2br w:val="nil"/>
              <w:tr2bl w:val="nil"/>
            </w:tcBorders>
            <w:noWrap w:val="0"/>
            <w:tcMar>
              <w:left w:w="0" w:type="dxa"/>
              <w:right w:w="0" w:type="dxa"/>
            </w:tcMar>
            <w:vAlign w:val="center"/>
          </w:tcPr>
          <w:p>
            <w:pPr>
              <w:pStyle w:val="28"/>
              <w:suppressLineNumbers w:val="0"/>
              <w:bidi w:val="0"/>
              <w:spacing w:before="0" w:after="0"/>
              <w:ind w:left="0" w:right="0"/>
            </w:pPr>
            <w:r>
              <w:t>700</w:t>
            </w:r>
          </w:p>
        </w:tc>
      </w:tr>
    </w:tbl>
    <w:p>
      <w:pPr>
        <w:pStyle w:val="5"/>
        <w:bidi w:val="0"/>
        <w:rPr>
          <w:rFonts w:hint="eastAsia"/>
          <w:lang w:val="en-US" w:eastAsia="zh-CN"/>
        </w:rPr>
      </w:pPr>
      <w:r>
        <w:rPr>
          <w:rFonts w:hint="eastAsia"/>
          <w:lang w:val="en-US" w:eastAsia="zh-CN"/>
        </w:rPr>
        <w:t>2.6.2污染物排放标准</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2.6.2.1 大气污染物排放标准</w:t>
      </w:r>
    </w:p>
    <w:p>
      <w:pPr>
        <w:bidi w:val="0"/>
      </w:pPr>
      <w:r>
        <w:t>项目运营期</w:t>
      </w:r>
      <w:r>
        <w:rPr>
          <w:rFonts w:hint="eastAsia"/>
          <w:lang w:eastAsia="zh-CN"/>
        </w:rPr>
        <w:t>有组织</w:t>
      </w:r>
      <w:r>
        <w:t>废气</w:t>
      </w:r>
      <w:r>
        <w:rPr>
          <w:rFonts w:hint="eastAsia"/>
          <w:lang w:eastAsia="zh-CN"/>
        </w:rPr>
        <w:t>颗粒物、</w:t>
      </w:r>
      <w:r>
        <w:t>SO</w:t>
      </w:r>
      <w:r>
        <w:rPr>
          <w:vertAlign w:val="subscript"/>
        </w:rPr>
        <w:t>2</w:t>
      </w:r>
      <w:r>
        <w:t>、NOx排放</w:t>
      </w:r>
      <w:r>
        <w:rPr>
          <w:rFonts w:hint="eastAsia"/>
          <w:lang w:eastAsia="zh-CN"/>
        </w:rPr>
        <w:t>执行《</w:t>
      </w:r>
      <w:r>
        <w:rPr>
          <w:rFonts w:hint="eastAsia"/>
        </w:rPr>
        <w:t>工业炉窑大气污染物排放标准</w:t>
      </w:r>
      <w:r>
        <w:rPr>
          <w:rFonts w:hint="eastAsia"/>
          <w:lang w:eastAsia="zh-CN"/>
        </w:rPr>
        <w:t>》（</w:t>
      </w:r>
      <w:r>
        <w:t>DB</w:t>
      </w:r>
      <w:r>
        <w:rPr>
          <w:rFonts w:hint="eastAsia"/>
        </w:rPr>
        <w:t xml:space="preserve"> </w:t>
      </w:r>
      <w:r>
        <w:t>32/</w:t>
      </w:r>
      <w:r>
        <w:rPr>
          <w:rFonts w:hint="eastAsia"/>
        </w:rPr>
        <w:t>3728</w:t>
      </w:r>
      <w:r>
        <w:rPr>
          <w:rFonts w:hint="eastAsia"/>
          <w:lang w:val="en-US" w:eastAsia="zh-CN"/>
        </w:rPr>
        <w:t>-</w:t>
      </w:r>
      <w:r>
        <w:t>201</w:t>
      </w:r>
      <w:r>
        <w:rPr>
          <w:rFonts w:hint="eastAsia"/>
        </w:rPr>
        <w:t>9</w:t>
      </w:r>
      <w:r>
        <w:rPr>
          <w:rFonts w:hint="eastAsia"/>
          <w:lang w:eastAsia="zh-CN"/>
        </w:rPr>
        <w:t>）表</w:t>
      </w:r>
      <w:r>
        <w:rPr>
          <w:rFonts w:hint="eastAsia"/>
          <w:lang w:val="en-US" w:eastAsia="zh-CN"/>
        </w:rPr>
        <w:t>1标准</w:t>
      </w:r>
      <w:r>
        <w:t>，详见表</w:t>
      </w:r>
      <w:r>
        <w:rPr>
          <w:rFonts w:hint="eastAsia"/>
          <w:lang w:val="en-US" w:eastAsia="zh-CN"/>
        </w:rPr>
        <w:t>2.6.2-1</w:t>
      </w:r>
      <w:r>
        <w:t>。</w:t>
      </w:r>
      <w:r>
        <w:rPr>
          <w:rFonts w:hint="eastAsia"/>
          <w:lang w:eastAsia="zh-CN"/>
        </w:rPr>
        <w:t>无组织颗粒排放执行</w:t>
      </w:r>
      <w:r>
        <w:t>DB</w:t>
      </w:r>
      <w:r>
        <w:rPr>
          <w:rFonts w:hint="eastAsia"/>
        </w:rPr>
        <w:t xml:space="preserve"> </w:t>
      </w:r>
      <w:r>
        <w:t>32/</w:t>
      </w:r>
      <w:r>
        <w:rPr>
          <w:rFonts w:hint="eastAsia"/>
        </w:rPr>
        <w:t>3728</w:t>
      </w:r>
      <w:r>
        <w:rPr>
          <w:rFonts w:hint="eastAsia"/>
          <w:lang w:val="en-US" w:eastAsia="zh-CN"/>
        </w:rPr>
        <w:t>-</w:t>
      </w:r>
      <w:r>
        <w:t>201</w:t>
      </w:r>
      <w:r>
        <w:rPr>
          <w:rFonts w:hint="eastAsia"/>
        </w:rPr>
        <w:t>9</w:t>
      </w:r>
      <w:r>
        <w:rPr>
          <w:rFonts w:hint="eastAsia"/>
          <w:lang w:eastAsia="zh-CN"/>
        </w:rPr>
        <w:t>表</w:t>
      </w:r>
      <w:r>
        <w:rPr>
          <w:rFonts w:hint="eastAsia"/>
          <w:lang w:val="en-US" w:eastAsia="zh-CN"/>
        </w:rPr>
        <w:t>3标准，详见表2.6.2-2。</w:t>
      </w:r>
      <w:r>
        <w:t>食堂油烟废气参照执行《饮食业油烟排放标准》（GB18483-2001）</w:t>
      </w:r>
      <w:r>
        <w:rPr>
          <w:rFonts w:hint="eastAsia"/>
        </w:rPr>
        <w:t>小</w:t>
      </w:r>
      <w:r>
        <w:t>型标准，详见表</w:t>
      </w:r>
      <w:r>
        <w:rPr>
          <w:rFonts w:hint="eastAsia"/>
          <w:lang w:val="en-US" w:eastAsia="zh-CN"/>
        </w:rPr>
        <w:t>2.6.2-3</w:t>
      </w:r>
      <w:r>
        <w:t>。</w:t>
      </w:r>
    </w:p>
    <w:p>
      <w:pPr>
        <w:pStyle w:val="27"/>
        <w:bidi w:val="0"/>
      </w:pPr>
      <w:r>
        <w:t>表</w:t>
      </w:r>
      <w:r>
        <w:rPr>
          <w:rFonts w:hint="eastAsia"/>
          <w:lang w:val="en-US" w:eastAsia="zh-CN"/>
        </w:rPr>
        <w:t>2.6.2-1</w:t>
      </w:r>
      <w:r>
        <w:t xml:space="preserve"> 连续石墨化炉</w:t>
      </w:r>
      <w:r>
        <w:rPr>
          <w:rFonts w:hint="eastAsia"/>
          <w:lang w:eastAsia="zh-CN"/>
        </w:rPr>
        <w:t>有组织</w:t>
      </w:r>
      <w:r>
        <w:t>烟气排放标准</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1"/>
        <w:gridCol w:w="3118"/>
        <w:gridCol w:w="2266"/>
        <w:gridCol w:w="32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序号</w:t>
            </w:r>
          </w:p>
        </w:tc>
        <w:tc>
          <w:tcPr>
            <w:tcW w:w="3118" w:type="dxa"/>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污染物项目</w:t>
            </w:r>
          </w:p>
        </w:tc>
        <w:tc>
          <w:tcPr>
            <w:tcW w:w="2266" w:type="dxa"/>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排放限值</w:t>
            </w:r>
          </w:p>
        </w:tc>
        <w:tc>
          <w:tcPr>
            <w:tcW w:w="3225" w:type="dxa"/>
            <w:tcBorders>
              <w:top w:val="single" w:color="auto" w:sz="8" w:space="0"/>
              <w:bottom w:val="single" w:color="auto" w:sz="8" w:space="0"/>
            </w:tcBorders>
            <w:noWrap w:val="0"/>
            <w:vAlign w:val="center"/>
          </w:tcPr>
          <w:p>
            <w:pPr>
              <w:pStyle w:val="28"/>
              <w:suppressLineNumbers w:val="0"/>
              <w:bidi w:val="0"/>
              <w:spacing w:before="0" w:after="0"/>
              <w:ind w:left="0" w:right="0"/>
            </w:pPr>
            <w:r>
              <w:rPr>
                <w:rFonts w:hint="eastAsia"/>
              </w:rPr>
              <w:t>污染物排放监控位置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noWrap w:val="0"/>
            <w:vAlign w:val="center"/>
          </w:tcPr>
          <w:p>
            <w:pPr>
              <w:pStyle w:val="28"/>
              <w:suppressLineNumbers w:val="0"/>
              <w:bidi w:val="0"/>
              <w:spacing w:before="0" w:after="0"/>
              <w:ind w:left="0" w:right="0"/>
              <w:rPr>
                <w:rFonts w:hint="eastAsia"/>
              </w:rPr>
            </w:pPr>
            <w:r>
              <w:rPr>
                <w:rFonts w:hint="eastAsia"/>
              </w:rPr>
              <w:t>1</w:t>
            </w:r>
          </w:p>
        </w:tc>
        <w:tc>
          <w:tcPr>
            <w:tcW w:w="3118" w:type="dxa"/>
            <w:noWrap w:val="0"/>
            <w:vAlign w:val="center"/>
          </w:tcPr>
          <w:p>
            <w:pPr>
              <w:pStyle w:val="28"/>
              <w:suppressLineNumbers w:val="0"/>
              <w:bidi w:val="0"/>
              <w:spacing w:before="0" w:after="0"/>
              <w:ind w:left="0" w:right="0"/>
              <w:rPr>
                <w:rFonts w:hint="eastAsia"/>
              </w:rPr>
            </w:pPr>
            <w:r>
              <w:rPr>
                <w:rFonts w:hint="eastAsia"/>
              </w:rPr>
              <w:t>颗粒物</w:t>
            </w:r>
          </w:p>
        </w:tc>
        <w:tc>
          <w:tcPr>
            <w:tcW w:w="2266" w:type="dxa"/>
            <w:noWrap w:val="0"/>
            <w:vAlign w:val="center"/>
          </w:tcPr>
          <w:p>
            <w:pPr>
              <w:pStyle w:val="28"/>
              <w:suppressLineNumbers w:val="0"/>
              <w:bidi w:val="0"/>
              <w:spacing w:before="0" w:after="0"/>
              <w:ind w:left="0" w:right="0"/>
              <w:rPr>
                <w:rFonts w:hint="eastAsia"/>
              </w:rPr>
            </w:pPr>
            <w:r>
              <w:rPr>
                <w:rFonts w:hint="eastAsia"/>
              </w:rPr>
              <w:t>20 mg/m</w:t>
            </w:r>
            <w:r>
              <w:rPr>
                <w:rFonts w:hint="eastAsia"/>
                <w:vertAlign w:val="superscript"/>
              </w:rPr>
              <w:t>3</w:t>
            </w:r>
          </w:p>
        </w:tc>
        <w:tc>
          <w:tcPr>
            <w:tcW w:w="3225" w:type="dxa"/>
            <w:vMerge w:val="restart"/>
            <w:noWrap w:val="0"/>
            <w:vAlign w:val="center"/>
          </w:tcPr>
          <w:p>
            <w:pPr>
              <w:pStyle w:val="28"/>
              <w:suppressLineNumbers w:val="0"/>
              <w:bidi w:val="0"/>
              <w:spacing w:before="0" w:after="0"/>
              <w:ind w:left="0" w:right="0"/>
            </w:pPr>
            <w:r>
              <w:rPr>
                <w:rFonts w:hint="eastAsia"/>
              </w:rPr>
              <w:t>车间或生产设施排气筒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noWrap w:val="0"/>
            <w:vAlign w:val="center"/>
          </w:tcPr>
          <w:p>
            <w:pPr>
              <w:pStyle w:val="28"/>
              <w:suppressLineNumbers w:val="0"/>
              <w:bidi w:val="0"/>
              <w:spacing w:before="0" w:after="0"/>
              <w:ind w:left="0" w:right="0"/>
              <w:rPr>
                <w:rFonts w:hint="eastAsia"/>
              </w:rPr>
            </w:pPr>
            <w:r>
              <w:rPr>
                <w:rFonts w:hint="eastAsia"/>
              </w:rPr>
              <w:t>2</w:t>
            </w:r>
          </w:p>
        </w:tc>
        <w:tc>
          <w:tcPr>
            <w:tcW w:w="3118" w:type="dxa"/>
            <w:noWrap w:val="0"/>
            <w:vAlign w:val="center"/>
          </w:tcPr>
          <w:p>
            <w:pPr>
              <w:pStyle w:val="28"/>
              <w:suppressLineNumbers w:val="0"/>
              <w:bidi w:val="0"/>
              <w:spacing w:before="0" w:after="0"/>
              <w:ind w:left="0" w:right="0"/>
              <w:rPr>
                <w:rFonts w:hint="eastAsia"/>
              </w:rPr>
            </w:pPr>
            <w:r>
              <w:rPr>
                <w:rFonts w:hint="eastAsia"/>
              </w:rPr>
              <w:t>二氧化硫</w:t>
            </w:r>
          </w:p>
        </w:tc>
        <w:tc>
          <w:tcPr>
            <w:tcW w:w="2266" w:type="dxa"/>
            <w:noWrap w:val="0"/>
            <w:vAlign w:val="center"/>
          </w:tcPr>
          <w:p>
            <w:pPr>
              <w:pStyle w:val="28"/>
              <w:suppressLineNumbers w:val="0"/>
              <w:bidi w:val="0"/>
              <w:spacing w:before="0" w:after="0"/>
              <w:ind w:left="0" w:right="0"/>
              <w:rPr>
                <w:rFonts w:hint="eastAsia"/>
              </w:rPr>
            </w:pPr>
            <w:r>
              <w:rPr>
                <w:rFonts w:hint="eastAsia"/>
              </w:rPr>
              <w:t>80 mg/m</w:t>
            </w:r>
            <w:r>
              <w:rPr>
                <w:rFonts w:hint="eastAsia"/>
                <w:vertAlign w:val="superscript"/>
              </w:rPr>
              <w:t>3</w:t>
            </w:r>
          </w:p>
        </w:tc>
        <w:tc>
          <w:tcPr>
            <w:tcW w:w="3225" w:type="dxa"/>
            <w:vMerge w:val="continue"/>
            <w:noWrap w:val="0"/>
            <w:vAlign w:val="center"/>
          </w:tcPr>
          <w:p>
            <w:pPr>
              <w:pStyle w:val="28"/>
              <w:suppressLineNumbers w:val="0"/>
              <w:bidi w:val="0"/>
              <w:spacing w:before="0" w:after="0"/>
              <w:ind w:left="0" w:right="0"/>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noWrap w:val="0"/>
            <w:vAlign w:val="center"/>
          </w:tcPr>
          <w:p>
            <w:pPr>
              <w:pStyle w:val="28"/>
              <w:suppressLineNumbers w:val="0"/>
              <w:bidi w:val="0"/>
              <w:spacing w:before="0" w:after="0"/>
              <w:ind w:left="0" w:right="0"/>
              <w:rPr>
                <w:rFonts w:hint="eastAsia"/>
              </w:rPr>
            </w:pPr>
            <w:r>
              <w:rPr>
                <w:rFonts w:hint="eastAsia"/>
              </w:rPr>
              <w:t>3</w:t>
            </w:r>
          </w:p>
        </w:tc>
        <w:tc>
          <w:tcPr>
            <w:tcW w:w="3118" w:type="dxa"/>
            <w:noWrap w:val="0"/>
            <w:vAlign w:val="center"/>
          </w:tcPr>
          <w:p>
            <w:pPr>
              <w:pStyle w:val="28"/>
              <w:suppressLineNumbers w:val="0"/>
              <w:bidi w:val="0"/>
              <w:spacing w:before="0" w:after="0"/>
              <w:ind w:left="0" w:right="0"/>
              <w:rPr>
                <w:rFonts w:hint="eastAsia"/>
              </w:rPr>
            </w:pPr>
            <w:r>
              <w:rPr>
                <w:rFonts w:hint="eastAsia"/>
              </w:rPr>
              <w:t>氮氧化物</w:t>
            </w:r>
          </w:p>
        </w:tc>
        <w:tc>
          <w:tcPr>
            <w:tcW w:w="2266" w:type="dxa"/>
            <w:noWrap w:val="0"/>
            <w:vAlign w:val="center"/>
          </w:tcPr>
          <w:p>
            <w:pPr>
              <w:pStyle w:val="28"/>
              <w:suppressLineNumbers w:val="0"/>
              <w:bidi w:val="0"/>
              <w:spacing w:before="0" w:after="0"/>
              <w:ind w:left="0" w:right="0"/>
              <w:rPr>
                <w:rFonts w:hint="eastAsia"/>
              </w:rPr>
            </w:pPr>
            <w:r>
              <w:rPr>
                <w:rFonts w:hint="eastAsia"/>
              </w:rPr>
              <w:t>180 mg/m</w:t>
            </w:r>
            <w:r>
              <w:rPr>
                <w:rFonts w:hint="eastAsia"/>
                <w:vertAlign w:val="superscript"/>
              </w:rPr>
              <w:t>3</w:t>
            </w:r>
          </w:p>
        </w:tc>
        <w:tc>
          <w:tcPr>
            <w:tcW w:w="3225" w:type="dxa"/>
            <w:vMerge w:val="continue"/>
            <w:noWrap w:val="0"/>
            <w:vAlign w:val="center"/>
          </w:tcPr>
          <w:p>
            <w:pPr>
              <w:pStyle w:val="28"/>
              <w:suppressLineNumbers w:val="0"/>
              <w:bidi w:val="0"/>
              <w:spacing w:before="0" w:after="0"/>
              <w:ind w:left="0" w:right="0"/>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1" w:type="dxa"/>
            <w:noWrap w:val="0"/>
            <w:vAlign w:val="center"/>
          </w:tcPr>
          <w:p>
            <w:pPr>
              <w:pStyle w:val="28"/>
              <w:suppressLineNumbers w:val="0"/>
              <w:bidi w:val="0"/>
              <w:spacing w:before="0" w:after="0"/>
              <w:ind w:left="0" w:right="0"/>
              <w:rPr>
                <w:rFonts w:hint="eastAsia"/>
              </w:rPr>
            </w:pPr>
            <w:r>
              <w:rPr>
                <w:rFonts w:hint="eastAsia"/>
              </w:rPr>
              <w:t>4</w:t>
            </w:r>
          </w:p>
        </w:tc>
        <w:tc>
          <w:tcPr>
            <w:tcW w:w="3118" w:type="dxa"/>
            <w:noWrap w:val="0"/>
            <w:vAlign w:val="center"/>
          </w:tcPr>
          <w:p>
            <w:pPr>
              <w:pStyle w:val="28"/>
              <w:suppressLineNumbers w:val="0"/>
              <w:bidi w:val="0"/>
              <w:spacing w:before="0" w:after="0"/>
              <w:ind w:left="0" w:right="0"/>
              <w:rPr>
                <w:rFonts w:hint="eastAsia"/>
              </w:rPr>
            </w:pPr>
            <w:r>
              <w:rPr>
                <w:rFonts w:hint="eastAsia"/>
              </w:rPr>
              <w:t>烟气黑度</w:t>
            </w:r>
          </w:p>
        </w:tc>
        <w:tc>
          <w:tcPr>
            <w:tcW w:w="2266" w:type="dxa"/>
            <w:noWrap w:val="0"/>
            <w:vAlign w:val="center"/>
          </w:tcPr>
          <w:p>
            <w:pPr>
              <w:pStyle w:val="28"/>
              <w:suppressLineNumbers w:val="0"/>
              <w:bidi w:val="0"/>
              <w:spacing w:before="0" w:after="0"/>
              <w:ind w:left="0" w:right="0"/>
              <w:rPr>
                <w:rFonts w:hint="eastAsia"/>
              </w:rPr>
            </w:pPr>
            <w:r>
              <w:rPr>
                <w:rFonts w:hint="eastAsia"/>
              </w:rPr>
              <w:t>林格曼黑度1 级</w:t>
            </w:r>
          </w:p>
        </w:tc>
        <w:tc>
          <w:tcPr>
            <w:tcW w:w="3225" w:type="dxa"/>
            <w:vMerge w:val="continue"/>
            <w:noWrap w:val="0"/>
            <w:vAlign w:val="center"/>
          </w:tcPr>
          <w:p>
            <w:pPr>
              <w:pStyle w:val="28"/>
              <w:suppressLineNumbers w:val="0"/>
              <w:bidi w:val="0"/>
              <w:spacing w:before="0" w:after="0"/>
              <w:ind w:left="0" w:right="0"/>
              <w:outlineLvl w:val="9"/>
            </w:pPr>
          </w:p>
        </w:tc>
      </w:tr>
    </w:tbl>
    <w:p>
      <w:pPr>
        <w:pStyle w:val="27"/>
        <w:bidi w:val="0"/>
        <w:rPr>
          <w:rFonts w:hint="eastAsia" w:eastAsia="宋体"/>
          <w:lang w:val="en-US" w:eastAsia="zh-CN"/>
        </w:rPr>
      </w:pPr>
      <w:r>
        <w:t>表</w:t>
      </w:r>
      <w:r>
        <w:rPr>
          <w:rFonts w:hint="eastAsia"/>
          <w:lang w:val="en-US" w:eastAsia="zh-CN"/>
        </w:rPr>
        <w:t>2.6.2-2</w:t>
      </w:r>
      <w:r>
        <w:t xml:space="preserve"> 连续石墨化炉</w:t>
      </w:r>
      <w:r>
        <w:rPr>
          <w:rFonts w:hint="eastAsia"/>
          <w:lang w:eastAsia="zh-CN"/>
        </w:rPr>
        <w:t>无组织</w:t>
      </w:r>
      <w:r>
        <w:t>烟气排放标准</w:t>
      </w:r>
      <w:r>
        <w:rPr>
          <w:rFonts w:hint="eastAsia"/>
          <w:lang w:val="en-US" w:eastAsia="zh-CN"/>
        </w:rPr>
        <w:t xml:space="preserve"> </w:t>
      </w:r>
      <w:r>
        <w:t>（单位：mg/m</w:t>
      </w:r>
      <w:r>
        <w:rPr>
          <w:vertAlign w:val="superscript"/>
        </w:rPr>
        <w:t>3</w:t>
      </w:r>
      <w:r>
        <w:t>）</w:t>
      </w:r>
    </w:p>
    <w:tbl>
      <w:tblPr>
        <w:tblStyle w:val="2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208"/>
        <w:gridCol w:w="2248"/>
        <w:gridCol w:w="3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op w:val="single" w:color="auto" w:sz="8" w:space="0"/>
              <w:bottom w:val="single" w:color="auto" w:sz="8" w:space="0"/>
            </w:tcBorders>
            <w:noWrap w:val="0"/>
            <w:vAlign w:val="center"/>
          </w:tcPr>
          <w:p>
            <w:pPr>
              <w:pStyle w:val="28"/>
              <w:suppressLineNumbers w:val="0"/>
              <w:bidi w:val="0"/>
              <w:spacing w:before="0" w:after="0"/>
              <w:ind w:left="0" w:right="0"/>
            </w:pPr>
            <w:r>
              <w:t>序号</w:t>
            </w:r>
          </w:p>
        </w:tc>
        <w:tc>
          <w:tcPr>
            <w:tcW w:w="1611" w:type="pct"/>
            <w:tcBorders>
              <w:top w:val="single" w:color="auto" w:sz="8" w:space="0"/>
              <w:bottom w:val="single" w:color="auto" w:sz="8" w:space="0"/>
            </w:tcBorders>
            <w:noWrap w:val="0"/>
            <w:vAlign w:val="center"/>
          </w:tcPr>
          <w:p>
            <w:pPr>
              <w:pStyle w:val="28"/>
              <w:suppressLineNumbers w:val="0"/>
              <w:bidi w:val="0"/>
              <w:spacing w:before="0" w:after="0"/>
              <w:ind w:left="0" w:right="0"/>
            </w:pPr>
            <w:r>
              <w:t>工业炉窑安装位置</w:t>
            </w:r>
          </w:p>
        </w:tc>
        <w:tc>
          <w:tcPr>
            <w:tcW w:w="1129" w:type="pct"/>
            <w:tcBorders>
              <w:top w:val="single" w:color="auto" w:sz="8" w:space="0"/>
              <w:bottom w:val="single" w:color="auto" w:sz="8" w:space="0"/>
            </w:tcBorders>
            <w:noWrap w:val="0"/>
            <w:vAlign w:val="center"/>
          </w:tcPr>
          <w:p>
            <w:pPr>
              <w:pStyle w:val="28"/>
              <w:suppressLineNumbers w:val="0"/>
              <w:bidi w:val="0"/>
              <w:spacing w:before="0" w:after="0"/>
              <w:ind w:left="0" w:right="0"/>
            </w:pPr>
            <w:r>
              <w:t>工业炉窑类别</w:t>
            </w:r>
          </w:p>
        </w:tc>
        <w:tc>
          <w:tcPr>
            <w:tcW w:w="1772" w:type="pct"/>
            <w:tcBorders>
              <w:top w:val="single" w:color="auto" w:sz="8" w:space="0"/>
              <w:bottom w:val="single" w:color="auto" w:sz="8" w:space="0"/>
            </w:tcBorders>
            <w:noWrap w:val="0"/>
            <w:vAlign w:val="center"/>
          </w:tcPr>
          <w:p>
            <w:pPr>
              <w:pStyle w:val="28"/>
              <w:suppressLineNumbers w:val="0"/>
              <w:bidi w:val="0"/>
              <w:spacing w:before="0" w:after="0"/>
              <w:ind w:left="0" w:right="0"/>
            </w:pPr>
            <w:r>
              <w:t>总悬浮颗粒物浓度限值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op w:val="single" w:color="auto" w:sz="8" w:space="0"/>
            </w:tcBorders>
            <w:noWrap w:val="0"/>
            <w:vAlign w:val="center"/>
          </w:tcPr>
          <w:p>
            <w:pPr>
              <w:pStyle w:val="28"/>
              <w:suppressLineNumbers w:val="0"/>
              <w:bidi w:val="0"/>
              <w:spacing w:before="0" w:after="0"/>
              <w:ind w:left="0" w:right="0"/>
            </w:pPr>
            <w:r>
              <w:t>1</w:t>
            </w:r>
          </w:p>
        </w:tc>
        <w:tc>
          <w:tcPr>
            <w:tcW w:w="1611" w:type="pct"/>
            <w:tcBorders>
              <w:top w:val="single" w:color="auto" w:sz="8" w:space="0"/>
            </w:tcBorders>
            <w:noWrap w:val="0"/>
            <w:vAlign w:val="center"/>
          </w:tcPr>
          <w:p>
            <w:pPr>
              <w:pStyle w:val="28"/>
              <w:suppressLineNumbers w:val="0"/>
              <w:bidi w:val="0"/>
              <w:spacing w:before="0" w:after="0"/>
              <w:ind w:left="0" w:right="0"/>
            </w:pPr>
            <w:r>
              <w:rPr>
                <w:rFonts w:hint="eastAsia"/>
              </w:rPr>
              <w:t>有厂房生产车间</w:t>
            </w:r>
          </w:p>
        </w:tc>
        <w:tc>
          <w:tcPr>
            <w:tcW w:w="1129" w:type="pct"/>
            <w:tcBorders>
              <w:top w:val="single" w:color="auto" w:sz="8"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其他炉窑</w:t>
            </w:r>
          </w:p>
        </w:tc>
        <w:tc>
          <w:tcPr>
            <w:tcW w:w="1772" w:type="pct"/>
            <w:tcBorders>
              <w:top w:val="single" w:color="auto" w:sz="8"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5.0</w:t>
            </w:r>
          </w:p>
        </w:tc>
      </w:tr>
    </w:tbl>
    <w:p>
      <w:pPr>
        <w:pStyle w:val="27"/>
        <w:bidi w:val="0"/>
      </w:pPr>
      <w:r>
        <w:t>表</w:t>
      </w:r>
      <w:r>
        <w:rPr>
          <w:rFonts w:hint="eastAsia"/>
          <w:lang w:val="en-US" w:eastAsia="zh-CN"/>
        </w:rPr>
        <w:t>2.6.2-3</w:t>
      </w:r>
      <w:r>
        <w:t xml:space="preserve">  项目油烟排放标准</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6"/>
        <w:gridCol w:w="1087"/>
        <w:gridCol w:w="1394"/>
        <w:gridCol w:w="1093"/>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pct"/>
            <w:tcBorders>
              <w:tl2br w:val="nil"/>
              <w:tr2bl w:val="nil"/>
            </w:tcBorders>
            <w:noWrap w:val="0"/>
            <w:vAlign w:val="center"/>
          </w:tcPr>
          <w:p>
            <w:pPr>
              <w:pStyle w:val="28"/>
              <w:suppressLineNumbers w:val="0"/>
              <w:bidi w:val="0"/>
              <w:spacing w:before="0" w:after="0"/>
              <w:ind w:left="0" w:right="0"/>
            </w:pPr>
            <w:r>
              <w:t>规模</w:t>
            </w:r>
          </w:p>
        </w:tc>
        <w:tc>
          <w:tcPr>
            <w:tcW w:w="546" w:type="pct"/>
            <w:tcBorders>
              <w:tl2br w:val="nil"/>
              <w:tr2bl w:val="nil"/>
            </w:tcBorders>
            <w:noWrap w:val="0"/>
            <w:vAlign w:val="center"/>
          </w:tcPr>
          <w:p>
            <w:pPr>
              <w:pStyle w:val="28"/>
              <w:suppressLineNumbers w:val="0"/>
              <w:bidi w:val="0"/>
              <w:spacing w:before="0" w:after="0"/>
              <w:ind w:left="0" w:right="0"/>
            </w:pPr>
            <w:r>
              <w:t>小型</w:t>
            </w:r>
          </w:p>
        </w:tc>
        <w:tc>
          <w:tcPr>
            <w:tcW w:w="700" w:type="pct"/>
            <w:tcBorders>
              <w:tl2br w:val="nil"/>
              <w:tr2bl w:val="nil"/>
            </w:tcBorders>
            <w:noWrap w:val="0"/>
            <w:vAlign w:val="center"/>
          </w:tcPr>
          <w:p>
            <w:pPr>
              <w:pStyle w:val="28"/>
              <w:suppressLineNumbers w:val="0"/>
              <w:bidi w:val="0"/>
              <w:spacing w:before="0" w:after="0"/>
              <w:ind w:left="0" w:right="0"/>
            </w:pPr>
            <w:r>
              <w:t>中型</w:t>
            </w:r>
          </w:p>
        </w:tc>
        <w:tc>
          <w:tcPr>
            <w:tcW w:w="548" w:type="pct"/>
            <w:tcBorders>
              <w:tl2br w:val="nil"/>
              <w:tr2bl w:val="nil"/>
            </w:tcBorders>
            <w:noWrap w:val="0"/>
            <w:vAlign w:val="center"/>
          </w:tcPr>
          <w:p>
            <w:pPr>
              <w:pStyle w:val="28"/>
              <w:suppressLineNumbers w:val="0"/>
              <w:bidi w:val="0"/>
              <w:spacing w:before="0" w:after="0"/>
              <w:ind w:left="0" w:right="0"/>
            </w:pPr>
            <w:r>
              <w:t>大型</w:t>
            </w:r>
          </w:p>
        </w:tc>
        <w:tc>
          <w:tcPr>
            <w:tcW w:w="1348" w:type="pct"/>
            <w:tcBorders>
              <w:tl2br w:val="nil"/>
              <w:tr2bl w:val="nil"/>
            </w:tcBorders>
            <w:noWrap w:val="0"/>
            <w:vAlign w:val="center"/>
          </w:tcPr>
          <w:p>
            <w:pPr>
              <w:pStyle w:val="28"/>
              <w:suppressLineNumbers w:val="0"/>
              <w:bidi w:val="0"/>
              <w:spacing w:before="0" w:after="0"/>
              <w:ind w:left="0" w:right="0"/>
            </w:pPr>
            <w: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pct"/>
            <w:tcBorders>
              <w:tl2br w:val="nil"/>
              <w:tr2bl w:val="nil"/>
            </w:tcBorders>
            <w:noWrap w:val="0"/>
            <w:vAlign w:val="center"/>
          </w:tcPr>
          <w:p>
            <w:pPr>
              <w:pStyle w:val="28"/>
              <w:suppressLineNumbers w:val="0"/>
              <w:bidi w:val="0"/>
              <w:spacing w:before="0" w:after="0"/>
              <w:ind w:left="0" w:right="0"/>
            </w:pPr>
            <w:r>
              <w:t>基准灶头数</w:t>
            </w:r>
          </w:p>
        </w:tc>
        <w:tc>
          <w:tcPr>
            <w:tcW w:w="546" w:type="pct"/>
            <w:tcBorders>
              <w:tl2br w:val="nil"/>
              <w:tr2bl w:val="nil"/>
            </w:tcBorders>
            <w:noWrap w:val="0"/>
            <w:vAlign w:val="center"/>
          </w:tcPr>
          <w:p>
            <w:pPr>
              <w:pStyle w:val="28"/>
              <w:suppressLineNumbers w:val="0"/>
              <w:bidi w:val="0"/>
              <w:spacing w:before="0" w:after="0"/>
              <w:ind w:left="0" w:right="0"/>
            </w:pPr>
            <w:r>
              <w:t>≥1，&lt;3</w:t>
            </w:r>
          </w:p>
        </w:tc>
        <w:tc>
          <w:tcPr>
            <w:tcW w:w="700" w:type="pct"/>
            <w:tcBorders>
              <w:tl2br w:val="nil"/>
              <w:tr2bl w:val="nil"/>
            </w:tcBorders>
            <w:noWrap w:val="0"/>
            <w:vAlign w:val="center"/>
          </w:tcPr>
          <w:p>
            <w:pPr>
              <w:pStyle w:val="28"/>
              <w:suppressLineNumbers w:val="0"/>
              <w:bidi w:val="0"/>
              <w:spacing w:before="0" w:after="0"/>
              <w:ind w:left="0" w:right="0"/>
            </w:pPr>
            <w:r>
              <w:t>≥3，&lt;6</w:t>
            </w:r>
          </w:p>
        </w:tc>
        <w:tc>
          <w:tcPr>
            <w:tcW w:w="548" w:type="pct"/>
            <w:tcBorders>
              <w:tl2br w:val="nil"/>
              <w:tr2bl w:val="nil"/>
            </w:tcBorders>
            <w:noWrap w:val="0"/>
            <w:vAlign w:val="center"/>
          </w:tcPr>
          <w:p>
            <w:pPr>
              <w:pStyle w:val="28"/>
              <w:suppressLineNumbers w:val="0"/>
              <w:bidi w:val="0"/>
              <w:spacing w:before="0" w:after="0"/>
              <w:ind w:left="0" w:right="0"/>
            </w:pPr>
            <w:r>
              <w:t>≥6</w:t>
            </w:r>
          </w:p>
        </w:tc>
        <w:tc>
          <w:tcPr>
            <w:tcW w:w="1348" w:type="pct"/>
            <w:vMerge w:val="restart"/>
            <w:tcBorders>
              <w:tl2br w:val="nil"/>
              <w:tr2bl w:val="nil"/>
            </w:tcBorders>
            <w:noWrap w:val="0"/>
            <w:vAlign w:val="center"/>
          </w:tcPr>
          <w:p>
            <w:pPr>
              <w:pStyle w:val="28"/>
              <w:suppressLineNumbers w:val="0"/>
              <w:bidi w:val="0"/>
              <w:spacing w:before="0" w:after="0"/>
              <w:ind w:left="0" w:right="0"/>
            </w:pPr>
            <w: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pct"/>
            <w:tcBorders>
              <w:tl2br w:val="nil"/>
              <w:tr2bl w:val="nil"/>
            </w:tcBorders>
            <w:noWrap w:val="0"/>
            <w:vAlign w:val="center"/>
          </w:tcPr>
          <w:p>
            <w:pPr>
              <w:pStyle w:val="28"/>
              <w:suppressLineNumbers w:val="0"/>
              <w:bidi w:val="0"/>
              <w:spacing w:before="0" w:after="0"/>
              <w:ind w:left="0" w:right="0"/>
            </w:pPr>
            <w:r>
              <w:t>油烟最高允许排放浓度(mg/m</w:t>
            </w:r>
            <w:r>
              <w:rPr>
                <w:vertAlign w:val="superscript"/>
              </w:rPr>
              <w:t>3</w:t>
            </w:r>
            <w:r>
              <w:t>)</w:t>
            </w:r>
          </w:p>
        </w:tc>
        <w:tc>
          <w:tcPr>
            <w:tcW w:w="1795" w:type="pct"/>
            <w:gridSpan w:val="3"/>
            <w:tcBorders>
              <w:tl2br w:val="nil"/>
              <w:tr2bl w:val="nil"/>
            </w:tcBorders>
            <w:noWrap w:val="0"/>
            <w:vAlign w:val="center"/>
          </w:tcPr>
          <w:p>
            <w:pPr>
              <w:pStyle w:val="28"/>
              <w:suppressLineNumbers w:val="0"/>
              <w:bidi w:val="0"/>
              <w:spacing w:before="0" w:after="0"/>
              <w:ind w:left="0" w:right="0"/>
            </w:pPr>
            <w:r>
              <w:t>2.0</w:t>
            </w:r>
          </w:p>
        </w:tc>
        <w:tc>
          <w:tcPr>
            <w:tcW w:w="134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6" w:type="pct"/>
            <w:tcBorders>
              <w:tl2br w:val="nil"/>
              <w:tr2bl w:val="nil"/>
            </w:tcBorders>
            <w:noWrap w:val="0"/>
            <w:vAlign w:val="center"/>
          </w:tcPr>
          <w:p>
            <w:pPr>
              <w:pStyle w:val="28"/>
              <w:suppressLineNumbers w:val="0"/>
              <w:bidi w:val="0"/>
              <w:spacing w:before="0" w:after="0"/>
              <w:ind w:left="0" w:right="0"/>
            </w:pPr>
            <w:r>
              <w:t>净化设施最低去除效率(%)</w:t>
            </w:r>
          </w:p>
        </w:tc>
        <w:tc>
          <w:tcPr>
            <w:tcW w:w="546" w:type="pct"/>
            <w:tcBorders>
              <w:tl2br w:val="nil"/>
              <w:tr2bl w:val="nil"/>
            </w:tcBorders>
            <w:noWrap w:val="0"/>
            <w:vAlign w:val="center"/>
          </w:tcPr>
          <w:p>
            <w:pPr>
              <w:pStyle w:val="28"/>
              <w:suppressLineNumbers w:val="0"/>
              <w:bidi w:val="0"/>
              <w:spacing w:before="0" w:after="0"/>
              <w:ind w:left="0" w:right="0"/>
            </w:pPr>
            <w:r>
              <w:t>60</w:t>
            </w:r>
          </w:p>
        </w:tc>
        <w:tc>
          <w:tcPr>
            <w:tcW w:w="700" w:type="pct"/>
            <w:tcBorders>
              <w:tl2br w:val="nil"/>
              <w:tr2bl w:val="nil"/>
            </w:tcBorders>
            <w:noWrap w:val="0"/>
            <w:vAlign w:val="center"/>
          </w:tcPr>
          <w:p>
            <w:pPr>
              <w:pStyle w:val="28"/>
              <w:suppressLineNumbers w:val="0"/>
              <w:bidi w:val="0"/>
              <w:spacing w:before="0" w:after="0"/>
              <w:ind w:left="0" w:right="0"/>
            </w:pPr>
            <w:r>
              <w:t>75</w:t>
            </w:r>
          </w:p>
        </w:tc>
        <w:tc>
          <w:tcPr>
            <w:tcW w:w="548" w:type="pct"/>
            <w:tcBorders>
              <w:tl2br w:val="nil"/>
              <w:tr2bl w:val="nil"/>
            </w:tcBorders>
            <w:noWrap w:val="0"/>
            <w:vAlign w:val="center"/>
          </w:tcPr>
          <w:p>
            <w:pPr>
              <w:pStyle w:val="28"/>
              <w:suppressLineNumbers w:val="0"/>
              <w:bidi w:val="0"/>
              <w:spacing w:before="0" w:after="0"/>
              <w:ind w:left="0" w:right="0"/>
            </w:pPr>
            <w:r>
              <w:t>85</w:t>
            </w:r>
          </w:p>
        </w:tc>
        <w:tc>
          <w:tcPr>
            <w:tcW w:w="1348" w:type="pct"/>
            <w:vMerge w:val="continue"/>
            <w:tcBorders>
              <w:tl2br w:val="nil"/>
              <w:tr2bl w:val="nil"/>
            </w:tcBorders>
            <w:noWrap w:val="0"/>
            <w:vAlign w:val="center"/>
          </w:tcPr>
          <w:p>
            <w:pPr>
              <w:pStyle w:val="28"/>
              <w:suppressLineNumbers w:val="0"/>
              <w:bidi w:val="0"/>
              <w:spacing w:before="0" w:after="0"/>
              <w:ind w:left="0" w:right="0"/>
              <w:outlineLvl w:val="9"/>
            </w:pP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default"/>
          <w:lang w:val="en-US" w:eastAsia="zh-CN"/>
        </w:rPr>
      </w:pPr>
      <w:r>
        <w:rPr>
          <w:rFonts w:hint="eastAsia"/>
          <w:lang w:val="en-US" w:eastAsia="zh-CN"/>
        </w:rPr>
        <w:t>2.6.2.2 污水排放标准</w:t>
      </w:r>
    </w:p>
    <w:p>
      <w:pPr>
        <w:bidi w:val="0"/>
        <w:rPr>
          <w:rFonts w:hint="eastAsia"/>
          <w:lang w:eastAsia="zh-CN"/>
        </w:rPr>
      </w:pPr>
      <w:r>
        <w:rPr>
          <w:rFonts w:hint="eastAsia"/>
          <w:lang w:eastAsia="zh-CN"/>
        </w:rPr>
        <w:t>工业集中区各企业产生的废水经预处理后接管青湖镇联村生活污水处理厂，尾水排放执行《城镇污水处理厂污染物排放标准》（GB18918-2002）中一级B标准，尾水排入乌龙河。</w:t>
      </w:r>
      <w:r>
        <w:rPr>
          <w:lang w:eastAsia="zh-CN"/>
        </w:rPr>
        <w:t>排放标准具体指标值见表</w:t>
      </w:r>
      <w:r>
        <w:rPr>
          <w:rFonts w:hint="eastAsia"/>
          <w:lang w:val="en-US" w:eastAsia="zh-CN"/>
        </w:rPr>
        <w:t>2.6.2-4</w:t>
      </w:r>
      <w:r>
        <w:rPr>
          <w:lang w:eastAsia="zh-CN"/>
        </w:rPr>
        <w:t>。</w:t>
      </w:r>
    </w:p>
    <w:p>
      <w:pPr>
        <w:pStyle w:val="27"/>
        <w:bidi w:val="0"/>
        <w:rPr>
          <w:lang w:eastAsia="zh-CN"/>
        </w:rPr>
      </w:pPr>
      <w:r>
        <w:rPr>
          <w:lang w:eastAsia="zh-CN"/>
        </w:rPr>
        <w:t>表</w:t>
      </w:r>
      <w:r>
        <w:rPr>
          <w:rFonts w:hint="eastAsia"/>
          <w:lang w:val="en-US" w:eastAsia="zh-CN"/>
        </w:rPr>
        <w:t>2.6.2-4</w:t>
      </w:r>
      <w:r>
        <w:rPr>
          <w:rFonts w:hint="eastAsia"/>
          <w:lang w:eastAsia="zh-CN"/>
        </w:rPr>
        <w:t>污水排放标准主要指标值表（单位：mg/L，pH除外）</w:t>
      </w:r>
    </w:p>
    <w:tbl>
      <w:tblPr>
        <w:tblStyle w:val="2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351"/>
        <w:gridCol w:w="1351"/>
        <w:gridCol w:w="1943"/>
        <w:gridCol w:w="4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restart"/>
            <w:vAlign w:val="center"/>
          </w:tcPr>
          <w:p>
            <w:pPr>
              <w:pStyle w:val="28"/>
              <w:suppressLineNumbers w:val="0"/>
              <w:bidi w:val="0"/>
              <w:spacing w:before="0" w:after="0"/>
              <w:ind w:left="0" w:right="0"/>
              <w:rPr>
                <w:rFonts w:hint="eastAsia"/>
                <w:lang w:eastAsia="zh-CN"/>
              </w:rPr>
            </w:pPr>
            <w:r>
              <w:rPr>
                <w:rFonts w:hint="eastAsia"/>
                <w:lang w:eastAsia="zh-CN"/>
              </w:rPr>
              <w:t>序号</w:t>
            </w:r>
          </w:p>
        </w:tc>
        <w:tc>
          <w:tcPr>
            <w:tcW w:w="733" w:type="pct"/>
            <w:vMerge w:val="restart"/>
            <w:vAlign w:val="center"/>
          </w:tcPr>
          <w:p>
            <w:pPr>
              <w:pStyle w:val="28"/>
              <w:suppressLineNumbers w:val="0"/>
              <w:bidi w:val="0"/>
              <w:spacing w:before="0" w:after="0"/>
              <w:ind w:left="0" w:right="0"/>
              <w:rPr>
                <w:rFonts w:hint="eastAsia"/>
                <w:lang w:eastAsia="zh-CN"/>
              </w:rPr>
            </w:pPr>
            <w:r>
              <w:rPr>
                <w:rFonts w:hint="eastAsia"/>
                <w:lang w:eastAsia="zh-CN"/>
              </w:rPr>
              <w:t>排放口编号</w:t>
            </w:r>
          </w:p>
        </w:tc>
        <w:tc>
          <w:tcPr>
            <w:tcW w:w="733" w:type="pct"/>
            <w:vMerge w:val="restart"/>
            <w:vAlign w:val="center"/>
          </w:tcPr>
          <w:p>
            <w:pPr>
              <w:pStyle w:val="28"/>
              <w:suppressLineNumbers w:val="0"/>
              <w:bidi w:val="0"/>
              <w:spacing w:before="0" w:after="0"/>
              <w:ind w:left="0" w:right="0"/>
              <w:rPr>
                <w:rFonts w:hint="eastAsia"/>
                <w:lang w:eastAsia="zh-CN"/>
              </w:rPr>
            </w:pPr>
            <w:r>
              <w:rPr>
                <w:rFonts w:hint="eastAsia"/>
                <w:lang w:eastAsia="zh-CN"/>
              </w:rPr>
              <w:t>污染物种类</w:t>
            </w:r>
          </w:p>
        </w:tc>
        <w:tc>
          <w:tcPr>
            <w:tcW w:w="3170" w:type="pct"/>
            <w:gridSpan w:val="2"/>
            <w:vAlign w:val="center"/>
          </w:tcPr>
          <w:p>
            <w:pPr>
              <w:pStyle w:val="28"/>
              <w:suppressLineNumbers w:val="0"/>
              <w:bidi w:val="0"/>
              <w:spacing w:before="0" w:after="0"/>
              <w:ind w:left="0" w:right="0"/>
              <w:rPr>
                <w:rFonts w:hint="eastAsia"/>
                <w:lang w:eastAsia="zh-CN"/>
              </w:rPr>
            </w:pPr>
            <w:r>
              <w:rPr>
                <w:rFonts w:hint="eastAsia"/>
                <w:lang w:eastAsia="zh-CN"/>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64" w:type="pct"/>
            <w:vAlign w:val="center"/>
          </w:tcPr>
          <w:p>
            <w:pPr>
              <w:pStyle w:val="28"/>
              <w:suppressLineNumbers w:val="0"/>
              <w:bidi w:val="0"/>
              <w:spacing w:before="0" w:after="0"/>
              <w:ind w:left="0" w:right="0"/>
              <w:rPr>
                <w:rFonts w:hint="eastAsia"/>
                <w:lang w:eastAsia="zh-CN"/>
              </w:rPr>
            </w:pPr>
            <w:r>
              <w:rPr>
                <w:rFonts w:hint="eastAsia"/>
                <w:lang w:eastAsia="zh-CN"/>
              </w:rPr>
              <w:t>名称</w:t>
            </w:r>
          </w:p>
        </w:tc>
        <w:tc>
          <w:tcPr>
            <w:tcW w:w="2405" w:type="pct"/>
            <w:vAlign w:val="center"/>
          </w:tcPr>
          <w:p>
            <w:pPr>
              <w:pStyle w:val="28"/>
              <w:suppressLineNumbers w:val="0"/>
              <w:bidi w:val="0"/>
              <w:spacing w:before="0" w:after="0"/>
              <w:ind w:left="0" w:right="0"/>
              <w:rPr>
                <w:rFonts w:hint="default"/>
                <w:lang w:val="en-US" w:eastAsia="zh-CN"/>
              </w:rPr>
            </w:pPr>
            <w:r>
              <w:rPr>
                <w:rFonts w:hint="eastAsia"/>
                <w:lang w:eastAsia="zh-CN"/>
              </w:rPr>
              <w:t>浓度限值</w:t>
            </w:r>
            <w:r>
              <w:rPr>
                <w:rFonts w:hint="eastAsia"/>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733"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DW001</w:t>
            </w:r>
          </w:p>
        </w:tc>
        <w:tc>
          <w:tcPr>
            <w:tcW w:w="733" w:type="pct"/>
            <w:vAlign w:val="center"/>
          </w:tcPr>
          <w:p>
            <w:pPr>
              <w:pStyle w:val="28"/>
              <w:suppressLineNumbers w:val="0"/>
              <w:bidi w:val="0"/>
              <w:spacing w:before="0" w:after="0"/>
              <w:ind w:left="0" w:right="0"/>
              <w:rPr>
                <w:rFonts w:hint="eastAsia"/>
                <w:lang w:val="en-US" w:eastAsia="zh-CN"/>
              </w:rPr>
            </w:pPr>
            <w:r>
              <w:t>pH</w:t>
            </w:r>
          </w:p>
        </w:tc>
        <w:tc>
          <w:tcPr>
            <w:tcW w:w="764"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2405" w:type="pct"/>
            <w:vAlign w:val="center"/>
          </w:tcPr>
          <w:p>
            <w:pPr>
              <w:pStyle w:val="28"/>
              <w:suppressLineNumbers w:val="0"/>
              <w:bidi w:val="0"/>
              <w:spacing w:before="0" w:after="0"/>
              <w:ind w:left="0" w:right="0"/>
              <w:rPr>
                <w:rFonts w:hint="eastAsia"/>
                <w:lang w:val="en-US" w:eastAsia="zh-CN"/>
              </w:rPr>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COD</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BOD</w:t>
            </w:r>
            <w:r>
              <w:rPr>
                <w:rFonts w:hint="eastAsia"/>
                <w:vertAlign w:val="subscript"/>
                <w:lang w:val="en-US" w:eastAsia="zh-CN"/>
              </w:rPr>
              <w:t>5</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SS</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氨氮</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TN</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TP</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SS</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rPr>
                <w:rFonts w:hint="eastAsia"/>
                <w:lang w:eastAsia="zh-CN"/>
              </w:rPr>
              <w:t>石油类</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2</w:t>
            </w:r>
          </w:p>
        </w:tc>
        <w:tc>
          <w:tcPr>
            <w:tcW w:w="733" w:type="pct"/>
            <w:vMerge w:val="restart"/>
            <w:vAlign w:val="center"/>
          </w:tcPr>
          <w:p>
            <w:pPr>
              <w:pStyle w:val="28"/>
              <w:suppressLineNumbers w:val="0"/>
              <w:bidi w:val="0"/>
              <w:spacing w:before="0" w:after="0"/>
              <w:ind w:left="0" w:right="0"/>
              <w:rPr>
                <w:rFonts w:hint="default"/>
                <w:lang w:val="en-US" w:eastAsia="zh-CN"/>
              </w:rPr>
            </w:pPr>
            <w:r>
              <w:rPr>
                <w:rFonts w:hint="eastAsia"/>
                <w:lang w:eastAsia="zh-CN"/>
              </w:rPr>
              <w:t>青湖镇联村生活污水处理厂污水排放口</w:t>
            </w:r>
          </w:p>
        </w:tc>
        <w:tc>
          <w:tcPr>
            <w:tcW w:w="733" w:type="pct"/>
            <w:vAlign w:val="center"/>
          </w:tcPr>
          <w:p>
            <w:pPr>
              <w:pStyle w:val="28"/>
              <w:suppressLineNumbers w:val="0"/>
              <w:bidi w:val="0"/>
              <w:spacing w:before="0" w:after="0"/>
              <w:ind w:left="0" w:right="0"/>
              <w:rPr>
                <w:rFonts w:hint="eastAsia"/>
                <w:lang w:val="en-US" w:eastAsia="zh-CN"/>
              </w:rPr>
            </w:pPr>
            <w:r>
              <w:t>pH</w:t>
            </w:r>
          </w:p>
        </w:tc>
        <w:tc>
          <w:tcPr>
            <w:tcW w:w="764" w:type="pct"/>
            <w:vMerge w:val="restart"/>
            <w:vAlign w:val="center"/>
          </w:tcPr>
          <w:p>
            <w:pPr>
              <w:pStyle w:val="28"/>
              <w:suppressLineNumbers w:val="0"/>
              <w:bidi w:val="0"/>
              <w:spacing w:before="0" w:after="0"/>
              <w:ind w:left="0" w:right="0"/>
              <w:rPr>
                <w:rFonts w:hint="eastAsia"/>
                <w:lang w:eastAsia="zh-CN"/>
              </w:rPr>
            </w:pPr>
            <w:r>
              <w:rPr>
                <w:rFonts w:hint="eastAsia"/>
                <w:lang w:val="en-US" w:eastAsia="zh-CN"/>
              </w:rPr>
              <w:t>城镇污水处理厂污染物排放标准》（GB18918-2002）中一级B标准</w:t>
            </w:r>
          </w:p>
        </w:tc>
        <w:tc>
          <w:tcPr>
            <w:tcW w:w="2405" w:type="pct"/>
            <w:vAlign w:val="center"/>
          </w:tcPr>
          <w:p>
            <w:pPr>
              <w:pStyle w:val="28"/>
              <w:suppressLineNumbers w:val="0"/>
              <w:bidi w:val="0"/>
              <w:spacing w:before="0" w:after="0"/>
              <w:ind w:left="0" w:right="0"/>
              <w:rPr>
                <w:rFonts w:hint="eastAsia"/>
                <w:lang w:val="en-US" w:eastAsia="zh-CN"/>
              </w:rPr>
            </w:pPr>
            <w: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COD</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BOD</w:t>
            </w:r>
            <w:r>
              <w:rPr>
                <w:rFonts w:hint="eastAsia"/>
                <w:vertAlign w:val="subscript"/>
                <w:lang w:val="en-US" w:eastAsia="zh-CN"/>
              </w:rPr>
              <w:t>5</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SS</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氨氮</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TN</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TP</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t>SS</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Merge w:val="continue"/>
            <w:vAlign w:val="center"/>
          </w:tcPr>
          <w:p>
            <w:pPr>
              <w:pStyle w:val="28"/>
              <w:suppressLineNumbers w:val="0"/>
              <w:bidi w:val="0"/>
              <w:spacing w:before="0" w:after="0"/>
              <w:ind w:left="0" w:right="0"/>
              <w:outlineLvl w:val="9"/>
              <w:rPr>
                <w:rFonts w:hint="eastAsia"/>
                <w:lang w:eastAsia="zh-CN"/>
              </w:rPr>
            </w:pPr>
          </w:p>
        </w:tc>
        <w:tc>
          <w:tcPr>
            <w:tcW w:w="733" w:type="pct"/>
            <w:vMerge w:val="continue"/>
            <w:vAlign w:val="center"/>
          </w:tcPr>
          <w:p>
            <w:pPr>
              <w:pStyle w:val="28"/>
              <w:suppressLineNumbers w:val="0"/>
              <w:bidi w:val="0"/>
              <w:spacing w:before="0" w:after="0"/>
              <w:ind w:left="0" w:right="0"/>
              <w:outlineLvl w:val="9"/>
              <w:rPr>
                <w:rFonts w:hint="eastAsia"/>
                <w:lang w:eastAsia="zh-CN"/>
              </w:rPr>
            </w:pPr>
          </w:p>
        </w:tc>
        <w:tc>
          <w:tcPr>
            <w:tcW w:w="733" w:type="pct"/>
            <w:vAlign w:val="center"/>
          </w:tcPr>
          <w:p>
            <w:pPr>
              <w:pStyle w:val="28"/>
              <w:suppressLineNumbers w:val="0"/>
              <w:bidi w:val="0"/>
              <w:spacing w:before="0" w:after="0"/>
              <w:ind w:left="0" w:right="0"/>
              <w:rPr>
                <w:rFonts w:hint="eastAsia"/>
                <w:lang w:val="en-US" w:eastAsia="zh-CN"/>
              </w:rPr>
            </w:pPr>
            <w:r>
              <w:rPr>
                <w:rFonts w:hint="eastAsia"/>
                <w:lang w:eastAsia="zh-CN"/>
              </w:rPr>
              <w:t>石油类</w:t>
            </w:r>
          </w:p>
        </w:tc>
        <w:tc>
          <w:tcPr>
            <w:tcW w:w="764" w:type="pct"/>
            <w:vMerge w:val="continue"/>
            <w:vAlign w:val="center"/>
          </w:tcPr>
          <w:p>
            <w:pPr>
              <w:pStyle w:val="28"/>
              <w:suppressLineNumbers w:val="0"/>
              <w:bidi w:val="0"/>
              <w:spacing w:before="0" w:after="0"/>
              <w:ind w:left="0" w:right="0"/>
              <w:outlineLvl w:val="9"/>
              <w:rPr>
                <w:rFonts w:hint="eastAsia"/>
                <w:lang w:eastAsia="zh-CN"/>
              </w:rPr>
            </w:pPr>
          </w:p>
        </w:tc>
        <w:tc>
          <w:tcPr>
            <w:tcW w:w="2405" w:type="pct"/>
            <w:vAlign w:val="center"/>
          </w:tcPr>
          <w:p>
            <w:pPr>
              <w:pStyle w:val="28"/>
              <w:suppressLineNumbers w:val="0"/>
              <w:bidi w:val="0"/>
              <w:spacing w:before="0" w:after="0"/>
              <w:ind w:left="0" w:right="0"/>
              <w:rPr>
                <w:rFonts w:hint="eastAsia"/>
                <w:lang w:val="en-US" w:eastAsia="zh-CN"/>
              </w:rPr>
            </w:pPr>
            <w:r>
              <w:rPr>
                <w:rFonts w:hint="eastAsia"/>
                <w:lang w:val="en-US" w:eastAsia="zh-CN"/>
              </w:rPr>
              <w:t>3</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2.6.2.3噪声排放标准</w:t>
      </w:r>
    </w:p>
    <w:p>
      <w:pPr>
        <w:bidi w:val="0"/>
        <w:rPr>
          <w:lang w:eastAsia="zh-CN"/>
        </w:rPr>
      </w:pPr>
      <w:r>
        <w:rPr>
          <w:lang w:eastAsia="zh-CN"/>
        </w:rPr>
        <w:t>工业企业噪声排放标准执行《工业企业厂界环境噪声排放标准》(GB12348-2008)</w:t>
      </w:r>
      <w:r>
        <w:rPr>
          <w:rFonts w:hint="eastAsia"/>
          <w:lang w:eastAsia="zh-CN"/>
        </w:rPr>
        <w:t>中3类标准值</w:t>
      </w:r>
      <w:r>
        <w:rPr>
          <w:lang w:eastAsia="zh-CN"/>
        </w:rPr>
        <w:t>，具体标准限制表</w:t>
      </w:r>
      <w:r>
        <w:rPr>
          <w:rFonts w:hint="eastAsia"/>
          <w:lang w:val="en-US" w:eastAsia="zh-CN"/>
        </w:rPr>
        <w:t>2.6.2-5</w:t>
      </w:r>
      <w:r>
        <w:rPr>
          <w:lang w:eastAsia="zh-CN"/>
        </w:rPr>
        <w:t>。</w:t>
      </w:r>
    </w:p>
    <w:p>
      <w:pPr>
        <w:pStyle w:val="27"/>
        <w:bidi w:val="0"/>
        <w:rPr>
          <w:lang w:eastAsia="zh-CN"/>
        </w:rPr>
      </w:pPr>
      <w:r>
        <w:rPr>
          <w:lang w:eastAsia="zh-CN"/>
        </w:rPr>
        <w:t>表</w:t>
      </w:r>
      <w:r>
        <w:rPr>
          <w:rFonts w:hint="eastAsia"/>
          <w:lang w:val="en-US" w:eastAsia="zh-CN"/>
        </w:rPr>
        <w:t>2.6.2-5</w:t>
      </w:r>
      <w:r>
        <w:rPr>
          <w:lang w:eastAsia="zh-CN"/>
        </w:rPr>
        <w:t xml:space="preserve"> 工业企业厂界噪声排放标准限值</w:t>
      </w:r>
      <w:r>
        <w:rPr>
          <w:rFonts w:hint="eastAsia"/>
          <w:lang w:eastAsia="zh-CN"/>
        </w:rPr>
        <w:t xml:space="preserve">  </w:t>
      </w:r>
      <w:r>
        <w:rPr>
          <w:lang w:eastAsia="zh-CN"/>
        </w:rPr>
        <w:t>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3"/>
        <w:gridCol w:w="2594"/>
        <w:gridCol w:w="3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类别</w:t>
            </w:r>
          </w:p>
        </w:tc>
        <w:tc>
          <w:tcPr>
            <w:tcW w:w="1302" w:type="pct"/>
            <w:tcBorders>
              <w:tl2br w:val="nil"/>
              <w:tr2bl w:val="nil"/>
            </w:tcBorders>
            <w:noWrap w:val="0"/>
            <w:vAlign w:val="center"/>
          </w:tcPr>
          <w:p>
            <w:pPr>
              <w:pStyle w:val="28"/>
              <w:suppressLineNumbers w:val="0"/>
              <w:bidi w:val="0"/>
              <w:spacing w:before="0" w:after="0"/>
              <w:ind w:left="0" w:right="0"/>
              <w:rPr>
                <w:lang w:eastAsia="zh-CN"/>
              </w:rPr>
            </w:pPr>
            <w:r>
              <w:rPr>
                <w:lang w:eastAsia="zh-CN"/>
              </w:rPr>
              <w:t>昼间</w:t>
            </w:r>
          </w:p>
        </w:tc>
        <w:tc>
          <w:tcPr>
            <w:tcW w:w="173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6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3类</w:t>
            </w:r>
          </w:p>
        </w:tc>
        <w:tc>
          <w:tcPr>
            <w:tcW w:w="1302" w:type="pct"/>
            <w:tcBorders>
              <w:tl2br w:val="nil"/>
              <w:tr2bl w:val="nil"/>
            </w:tcBorders>
            <w:noWrap w:val="0"/>
            <w:vAlign w:val="center"/>
          </w:tcPr>
          <w:p>
            <w:pPr>
              <w:pStyle w:val="28"/>
              <w:suppressLineNumbers w:val="0"/>
              <w:bidi w:val="0"/>
              <w:spacing w:before="0" w:after="0"/>
              <w:ind w:left="0" w:right="0"/>
              <w:rPr>
                <w:lang w:eastAsia="zh-CN"/>
              </w:rPr>
            </w:pPr>
            <w:r>
              <w:rPr>
                <w:lang w:eastAsia="zh-CN"/>
              </w:rPr>
              <w:t>65</w:t>
            </w:r>
          </w:p>
        </w:tc>
        <w:tc>
          <w:tcPr>
            <w:tcW w:w="173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55</w:t>
            </w:r>
          </w:p>
        </w:tc>
      </w:tr>
    </w:tbl>
    <w:p>
      <w:pPr>
        <w:bidi w:val="0"/>
        <w:rPr>
          <w:rFonts w:hint="eastAsia"/>
          <w:lang w:eastAsia="zh-CN"/>
        </w:rPr>
      </w:pPr>
      <w:r>
        <w:rPr>
          <w:lang w:eastAsia="zh-CN"/>
        </w:rPr>
        <w:t>施工期执行《建筑施工场界环境噪声排放标准》（GB12523-2011）。</w:t>
      </w:r>
    </w:p>
    <w:p>
      <w:pPr>
        <w:pStyle w:val="27"/>
        <w:bidi w:val="0"/>
        <w:rPr>
          <w:lang w:eastAsia="zh-CN"/>
        </w:rPr>
      </w:pPr>
      <w:r>
        <w:rPr>
          <w:lang w:eastAsia="zh-CN"/>
        </w:rPr>
        <w:t>表</w:t>
      </w:r>
      <w:r>
        <w:rPr>
          <w:rFonts w:hint="eastAsia"/>
          <w:lang w:val="en-US" w:eastAsia="zh-CN"/>
        </w:rPr>
        <w:t>2.6.2-6</w:t>
      </w:r>
      <w:r>
        <w:rPr>
          <w:lang w:eastAsia="zh-CN"/>
        </w:rPr>
        <w:t xml:space="preserve"> 建筑施工场界环境噪声排放标准（GB 12523－2011）</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0" w:type="pct"/>
            <w:tcBorders>
              <w:tl2br w:val="nil"/>
              <w:tr2bl w:val="nil"/>
            </w:tcBorders>
            <w:shd w:val="clear" w:color="auto" w:fill="auto"/>
            <w:noWrap w:val="0"/>
            <w:vAlign w:val="center"/>
          </w:tcPr>
          <w:p>
            <w:pPr>
              <w:pStyle w:val="28"/>
              <w:suppressLineNumbers w:val="0"/>
              <w:bidi w:val="0"/>
              <w:spacing w:before="0" w:after="0"/>
              <w:ind w:left="0" w:right="0"/>
            </w:pPr>
            <w:r>
              <w:t>昼间(dB(A))</w:t>
            </w:r>
          </w:p>
        </w:tc>
        <w:tc>
          <w:tcPr>
            <w:tcW w:w="2500" w:type="pct"/>
            <w:tcBorders>
              <w:tl2br w:val="nil"/>
              <w:tr2bl w:val="nil"/>
            </w:tcBorders>
            <w:shd w:val="clear" w:color="auto" w:fill="auto"/>
            <w:noWrap w:val="0"/>
            <w:vAlign w:val="center"/>
          </w:tcPr>
          <w:p>
            <w:pPr>
              <w:pStyle w:val="28"/>
              <w:suppressLineNumbers w:val="0"/>
              <w:bidi w:val="0"/>
              <w:spacing w:before="0" w:after="0"/>
              <w:ind w:left="0" w:right="0"/>
            </w:pPr>
            <w: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0" w:type="pct"/>
            <w:tcBorders>
              <w:tl2br w:val="nil"/>
              <w:tr2bl w:val="nil"/>
            </w:tcBorders>
            <w:shd w:val="clear" w:color="auto" w:fill="auto"/>
            <w:noWrap w:val="0"/>
            <w:vAlign w:val="center"/>
          </w:tcPr>
          <w:p>
            <w:pPr>
              <w:pStyle w:val="28"/>
              <w:suppressLineNumbers w:val="0"/>
              <w:bidi w:val="0"/>
              <w:spacing w:before="0" w:after="0"/>
              <w:ind w:left="0" w:right="0"/>
            </w:pPr>
            <w:r>
              <w:t>70</w:t>
            </w:r>
          </w:p>
        </w:tc>
        <w:tc>
          <w:tcPr>
            <w:tcW w:w="2500" w:type="pct"/>
            <w:tcBorders>
              <w:tl2br w:val="nil"/>
              <w:tr2bl w:val="nil"/>
            </w:tcBorders>
            <w:shd w:val="clear" w:color="auto" w:fill="auto"/>
            <w:noWrap w:val="0"/>
            <w:vAlign w:val="center"/>
          </w:tcPr>
          <w:p>
            <w:pPr>
              <w:pStyle w:val="28"/>
              <w:suppressLineNumbers w:val="0"/>
              <w:bidi w:val="0"/>
              <w:spacing w:before="0" w:after="0"/>
              <w:ind w:left="0" w:right="0"/>
            </w:pPr>
            <w:r>
              <w:t>55</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outlineLvl w:val="3"/>
        <w:rPr>
          <w:rFonts w:hint="eastAsia"/>
          <w:lang w:val="en-US" w:eastAsia="zh-CN"/>
        </w:rPr>
      </w:pPr>
      <w:r>
        <w:rPr>
          <w:rFonts w:hint="eastAsia"/>
          <w:lang w:val="en-US" w:eastAsia="zh-CN"/>
        </w:rPr>
        <w:t>2.6.2.4固体废物排放标准</w:t>
      </w:r>
    </w:p>
    <w:p>
      <w:pPr>
        <w:bidi w:val="0"/>
        <w:rPr>
          <w:rFonts w:hint="eastAsia"/>
        </w:rPr>
      </w:pPr>
      <w:r>
        <w:rPr>
          <w:rFonts w:hint="eastAsia"/>
        </w:rPr>
        <w:t>项目一般工业固体废物储存执行《一般工业固体废物贮存、处置场污染控制标准》（GB18597-2001）及2013修改单，危险固废的暂时贮存执行《危险废物贮存污染控制标准》（GB18597-2001）中有关规定及2013修改单。</w:t>
      </w:r>
    </w:p>
    <w:p>
      <w:pPr>
        <w:pStyle w:val="4"/>
        <w:bidi w:val="0"/>
        <w:rPr>
          <w:rFonts w:hint="eastAsia"/>
          <w:lang w:val="en-US" w:eastAsia="zh-CN"/>
        </w:rPr>
      </w:pPr>
      <w:bookmarkStart w:id="38" w:name="_Toc7943"/>
      <w:r>
        <w:rPr>
          <w:rFonts w:hint="eastAsia"/>
          <w:lang w:val="en-US" w:eastAsia="zh-CN"/>
        </w:rPr>
        <w:t>2.7 评价工作等级和评价工作范围</w:t>
      </w:r>
      <w:bookmarkEnd w:id="38"/>
    </w:p>
    <w:p>
      <w:pPr>
        <w:pStyle w:val="5"/>
        <w:bidi w:val="0"/>
        <w:rPr>
          <w:rFonts w:hint="default"/>
          <w:lang w:val="en-US" w:eastAsia="zh-CN"/>
        </w:rPr>
      </w:pPr>
      <w:r>
        <w:rPr>
          <w:rFonts w:hint="eastAsia"/>
          <w:lang w:val="en-US" w:eastAsia="zh-CN"/>
        </w:rPr>
        <w:t>2.7.1 评价工作等级</w:t>
      </w:r>
    </w:p>
    <w:p>
      <w:pPr>
        <w:pStyle w:val="6"/>
        <w:bidi w:val="0"/>
        <w:rPr>
          <w:rFonts w:hint="eastAsia"/>
          <w:lang w:val="en-US" w:eastAsia="zh-CN"/>
        </w:rPr>
      </w:pPr>
      <w:r>
        <w:rPr>
          <w:rFonts w:hint="eastAsia"/>
          <w:lang w:val="en-US" w:eastAsia="zh-CN"/>
        </w:rPr>
        <w:t>2.7.1.1大气环境影响评价等级</w:t>
      </w:r>
    </w:p>
    <w:p>
      <w:pPr>
        <w:bidi w:val="0"/>
        <w:rPr>
          <w:rFonts w:hint="eastAsia"/>
        </w:rPr>
      </w:pPr>
      <w:r>
        <w:rPr>
          <w:rFonts w:hint="eastAsia"/>
        </w:rPr>
        <w:t>本目排放的相关废气中污染物主要为</w:t>
      </w:r>
      <w:r>
        <w:rPr>
          <w:rFonts w:hint="eastAsia"/>
          <w:lang w:eastAsia="zh-CN"/>
        </w:rPr>
        <w:t>颗粒物、</w:t>
      </w:r>
      <w:r>
        <w:rPr>
          <w:rFonts w:hint="eastAsia"/>
          <w:lang w:val="en-US" w:eastAsia="zh-CN"/>
        </w:rPr>
        <w:t>SO</w:t>
      </w:r>
      <w:r>
        <w:rPr>
          <w:rFonts w:hint="eastAsia"/>
          <w:vertAlign w:val="subscript"/>
          <w:lang w:val="en-US" w:eastAsia="zh-CN"/>
        </w:rPr>
        <w:t>2</w:t>
      </w:r>
      <w:r>
        <w:rPr>
          <w:rFonts w:hint="eastAsia"/>
          <w:lang w:val="en-US" w:eastAsia="zh-CN"/>
        </w:rPr>
        <w:t>、NOx</w:t>
      </w:r>
      <w:r>
        <w:rPr>
          <w:rFonts w:hint="eastAsia"/>
        </w:rPr>
        <w:t>，根据《环境影响评价技术导则大气环境》（HJ2.2-2018）中推荐的AERSCREEN估算模式进行计算，估算模式采用参数见表</w:t>
      </w:r>
      <w:r>
        <w:rPr>
          <w:rFonts w:hint="eastAsia"/>
          <w:lang w:val="en-US" w:eastAsia="zh-CN"/>
        </w:rPr>
        <w:t>2.7.1</w:t>
      </w:r>
      <w:r>
        <w:rPr>
          <w:rFonts w:hint="eastAsia"/>
        </w:rPr>
        <w:t>-1。</w:t>
      </w:r>
    </w:p>
    <w:p>
      <w:pPr>
        <w:pStyle w:val="27"/>
        <w:bidi w:val="0"/>
        <w:rPr>
          <w:rFonts w:hint="eastAsia"/>
        </w:rPr>
      </w:pPr>
      <w:r>
        <w:rPr>
          <w:rFonts w:hint="eastAsia"/>
        </w:rPr>
        <w:t>表</w:t>
      </w:r>
      <w:r>
        <w:rPr>
          <w:rFonts w:hint="eastAsia"/>
          <w:lang w:val="en-US" w:eastAsia="zh-CN"/>
        </w:rPr>
        <w:t>2.7.1-1</w:t>
      </w:r>
      <w:r>
        <w:t xml:space="preserve"> </w:t>
      </w:r>
      <w:r>
        <w:rPr>
          <w:rFonts w:hint="eastAsia"/>
        </w:rPr>
        <w:t>估算模型参数表</w:t>
      </w:r>
    </w:p>
    <w:tbl>
      <w:tblPr>
        <w:tblStyle w:val="21"/>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3786"/>
        <w:gridCol w:w="4066"/>
        <w:gridCol w:w="21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参数</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城市/农村选项</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城市/农村</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农村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人口数(城市人口数)</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最高环境温度</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最低环境温度</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土地利用类型</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农田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区域湿度条件</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中等湿度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是否考虑地形</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考虑地形</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地形数据分辨率(m)</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是否考虑岸线熏烟</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考虑岸线熏烟</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岸线距离/m</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岸线方向/°</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bl>
    <w:p>
      <w:pPr>
        <w:bidi w:val="0"/>
        <w:rPr>
          <w:rFonts w:hint="eastAsia"/>
        </w:rPr>
      </w:pPr>
      <w:r>
        <w:rPr>
          <w:rFonts w:hint="eastAsia"/>
        </w:rPr>
        <w:t>估算结果见表</w:t>
      </w:r>
      <w:r>
        <w:rPr>
          <w:rFonts w:hint="eastAsia"/>
          <w:lang w:val="en-US" w:eastAsia="zh-CN"/>
        </w:rPr>
        <w:t>2.7.1</w:t>
      </w:r>
      <w:r>
        <w:rPr>
          <w:rFonts w:hint="eastAsia"/>
        </w:rPr>
        <w:t>-2。</w:t>
      </w:r>
    </w:p>
    <w:p>
      <w:pPr>
        <w:pStyle w:val="27"/>
        <w:bidi w:val="0"/>
        <w:rPr>
          <w:rFonts w:hint="eastAsia"/>
        </w:rPr>
      </w:pPr>
      <w:r>
        <w:rPr>
          <w:rFonts w:hint="eastAsia"/>
        </w:rPr>
        <w:t>表2.</w:t>
      </w:r>
      <w:r>
        <w:rPr>
          <w:rFonts w:hint="eastAsia"/>
          <w:lang w:val="en-US" w:eastAsia="zh-CN"/>
        </w:rPr>
        <w:t>7.1</w:t>
      </w:r>
      <w:r>
        <w:rPr>
          <w:rFonts w:hint="eastAsia"/>
        </w:rPr>
        <w:t>-2 正常工况下估算模式预测污染物浓度扩散结果</w:t>
      </w:r>
    </w:p>
    <w:tbl>
      <w:tblPr>
        <w:tblStyle w:val="21"/>
        <w:tblW w:w="499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850"/>
        <w:gridCol w:w="1324"/>
        <w:gridCol w:w="2306"/>
        <w:gridCol w:w="1880"/>
        <w:gridCol w:w="1267"/>
        <w:gridCol w:w="13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污染源名称</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评价因子</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评价标准(μg/m³)</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Cmax(μg/m³)</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Pmax(%)</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D10%(m)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trPr>
        <w:tc>
          <w:tcPr>
            <w:tcW w:w="929" w:type="pct"/>
            <w:vMerge w:val="restart"/>
            <w:tcBorders>
              <w:top w:val="single" w:color="auto" w:sz="2" w:space="0"/>
              <w:left w:val="single" w:color="auto" w:sz="2" w:space="0"/>
              <w:right w:val="single" w:color="auto" w:sz="2" w:space="0"/>
            </w:tcBorders>
            <w:shd w:val="clear" w:color="auto" w:fill="auto"/>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DA001</w:t>
            </w: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2.8831</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0.3203</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vMerge w:val="continue"/>
            <w:tcBorders>
              <w:left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lang w:val="en-US"/>
              </w:rPr>
            </w:pP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SO</w:t>
            </w:r>
            <w:r>
              <w:rPr>
                <w:rFonts w:hint="eastAsia"/>
                <w:vertAlign w:val="subscript"/>
                <w:lang w:val="en-US" w:eastAsia="zh-CN"/>
              </w:rPr>
              <w:t>2</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500.0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23.6742</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4.7348</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vMerge w:val="continue"/>
            <w:tcBorders>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lang w:val="en-US"/>
              </w:rPr>
            </w:pP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NOx</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250.0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22.1506</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8.8603</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车间二</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42.7580</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4.7509</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筛分破碎车间</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77.5230</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8.6137</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车间一</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42.7010</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4.7446</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bl>
    <w:p>
      <w:pPr>
        <w:bidi w:val="0"/>
        <w:rPr>
          <w:rFonts w:hint="eastAsia"/>
        </w:rPr>
      </w:pPr>
      <w:r>
        <w:rPr>
          <w:rFonts w:hint="default"/>
        </w:rPr>
        <w:t>由表2.</w:t>
      </w:r>
      <w:r>
        <w:rPr>
          <w:rFonts w:hint="eastAsia"/>
          <w:lang w:val="en-US" w:eastAsia="zh-CN"/>
        </w:rPr>
        <w:t>7.1</w:t>
      </w:r>
      <w:r>
        <w:rPr>
          <w:rFonts w:hint="default"/>
        </w:rPr>
        <w:t>-</w:t>
      </w:r>
      <w:r>
        <w:rPr>
          <w:rFonts w:hint="eastAsia"/>
          <w:lang w:val="en-US" w:eastAsia="zh-CN"/>
        </w:rPr>
        <w:t>2</w:t>
      </w:r>
      <w:r>
        <w:rPr>
          <w:rFonts w:hint="default"/>
        </w:rPr>
        <w:t>可知，</w:t>
      </w:r>
      <w:r>
        <w:rPr>
          <w:rFonts w:hint="eastAsia"/>
        </w:rPr>
        <w:t>本项目Pmax最大值出现为DA001排放的</w:t>
      </w:r>
      <w:r>
        <w:rPr>
          <w:rFonts w:hint="eastAsia"/>
          <w:lang w:val="en-US" w:eastAsia="zh-CN"/>
        </w:rPr>
        <w:t>NOx</w:t>
      </w:r>
      <w:r>
        <w:rPr>
          <w:rFonts w:hint="eastAsia"/>
        </w:rPr>
        <w:t xml:space="preserve"> Pmax值为</w:t>
      </w:r>
      <w:r>
        <w:rPr>
          <w:rFonts w:hint="eastAsia"/>
          <w:lang w:val="en-US" w:eastAsia="zh-CN"/>
        </w:rPr>
        <w:t>8.8603</w:t>
      </w:r>
      <w:r>
        <w:rPr>
          <w:rFonts w:hint="eastAsia"/>
        </w:rPr>
        <w:t>%</w:t>
      </w:r>
      <w:r>
        <w:rPr>
          <w:rFonts w:hint="eastAsia"/>
          <w:lang w:eastAsia="zh-CN"/>
        </w:rPr>
        <w:t>，</w:t>
      </w:r>
      <w:r>
        <w:rPr>
          <w:rFonts w:hint="eastAsia"/>
        </w:rPr>
        <w:t>Cmax为</w:t>
      </w:r>
      <w:r>
        <w:rPr>
          <w:rFonts w:hint="eastAsia"/>
          <w:lang w:val="en-US" w:eastAsia="zh-CN"/>
        </w:rPr>
        <w:t>22.1506</w:t>
      </w:r>
      <w:r>
        <w:rPr>
          <w:rFonts w:hint="eastAsia"/>
        </w:rPr>
        <w:t>μg/m³，根据《环境影响评价技术导则 大气环境》（HJ2.2-2018）分级判据，确定本项目大气环境影响评价工作等级为二级</w:t>
      </w:r>
      <w:r>
        <w:rPr>
          <w:rFonts w:hint="default"/>
        </w:rPr>
        <w:t>。判据表见表2.</w:t>
      </w:r>
      <w:r>
        <w:rPr>
          <w:rFonts w:hint="eastAsia"/>
          <w:lang w:val="en-US" w:eastAsia="zh-CN"/>
        </w:rPr>
        <w:t>7.1-3</w:t>
      </w:r>
      <w:r>
        <w:rPr>
          <w:rFonts w:hint="default"/>
        </w:rPr>
        <w:t>。</w:t>
      </w:r>
    </w:p>
    <w:p>
      <w:pPr>
        <w:pStyle w:val="27"/>
        <w:bidi w:val="0"/>
      </w:pPr>
      <w:r>
        <w:t>表</w:t>
      </w:r>
      <w:r>
        <w:rPr>
          <w:rFonts w:hint="eastAsia"/>
          <w:lang w:val="en-US" w:eastAsia="zh-CN"/>
        </w:rPr>
        <w:t>2.7.1-3</w:t>
      </w:r>
      <w:r>
        <w:t>大气环境影响评价等级判别表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7"/>
        <w:gridCol w:w="4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7"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评价工作等级</w:t>
            </w:r>
          </w:p>
        </w:tc>
        <w:tc>
          <w:tcPr>
            <w:tcW w:w="4909"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7"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一级评价</w:t>
            </w:r>
          </w:p>
        </w:tc>
        <w:tc>
          <w:tcPr>
            <w:tcW w:w="4909"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7"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二级评价</w:t>
            </w:r>
          </w:p>
        </w:tc>
        <w:tc>
          <w:tcPr>
            <w:tcW w:w="4909"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37"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三级评价</w:t>
            </w:r>
          </w:p>
        </w:tc>
        <w:tc>
          <w:tcPr>
            <w:tcW w:w="4909"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Pmax＜1%</w:t>
            </w:r>
          </w:p>
        </w:tc>
      </w:tr>
    </w:tbl>
    <w:p>
      <w:pPr>
        <w:pStyle w:val="6"/>
        <w:bidi w:val="0"/>
        <w:rPr>
          <w:rFonts w:hint="eastAsia"/>
          <w:lang w:val="en-US" w:eastAsia="zh-CN"/>
        </w:rPr>
      </w:pPr>
      <w:r>
        <w:rPr>
          <w:rFonts w:hint="eastAsia"/>
          <w:lang w:val="en-US" w:eastAsia="zh-CN"/>
        </w:rPr>
        <w:t>2.7.1.2地表水环境影响评价等级</w:t>
      </w:r>
    </w:p>
    <w:p>
      <w:pPr>
        <w:bidi w:val="0"/>
        <w:rPr>
          <w:rFonts w:hint="eastAsia"/>
        </w:rPr>
      </w:pPr>
      <w:r>
        <w:rPr>
          <w:rFonts w:hint="default"/>
        </w:rPr>
        <w:t>按《环境影响评价技术导则地表水环境》（HJ2.3-2018）要求，</w:t>
      </w:r>
      <w:r>
        <w:rPr>
          <w:rFonts w:hint="eastAsia"/>
          <w:lang w:eastAsia="zh-CN"/>
        </w:rPr>
        <w:t>新建</w:t>
      </w:r>
      <w:r>
        <w:rPr>
          <w:rFonts w:hint="default"/>
        </w:rPr>
        <w:t>项目地表水环境影响评价等级按照影响类型、排放方式、排放量或影响情况、受纳水体环境质量现状、水环境保护目标等综合确定。本项目</w:t>
      </w:r>
      <w:r>
        <w:rPr>
          <w:rFonts w:hint="eastAsia"/>
          <w:lang w:eastAsia="zh-CN"/>
        </w:rPr>
        <w:t>废水</w:t>
      </w:r>
      <w:r>
        <w:rPr>
          <w:rFonts w:hint="default"/>
        </w:rPr>
        <w:t>经预处理达接管标准后排入市政污水管网，由</w:t>
      </w:r>
      <w:r>
        <w:rPr>
          <w:rFonts w:hint="eastAsia"/>
          <w:lang w:eastAsia="zh-CN"/>
        </w:rPr>
        <w:t>青湖镇联村生活污水处理厂</w:t>
      </w:r>
      <w:r>
        <w:rPr>
          <w:rFonts w:hint="default"/>
        </w:rPr>
        <w:t>处理达标后排入</w:t>
      </w:r>
      <w:r>
        <w:rPr>
          <w:rFonts w:hint="eastAsia"/>
          <w:lang w:eastAsia="zh-CN"/>
        </w:rPr>
        <w:t>乌龙河</w:t>
      </w:r>
      <w:r>
        <w:rPr>
          <w:rFonts w:hint="default"/>
        </w:rPr>
        <w:t>。按《环境影响评价技术导则地表水环境》（HJ2.3-2018）要求进行判断，本项目的地表水环境影响评价工作定为三级B。</w:t>
      </w:r>
    </w:p>
    <w:p>
      <w:pPr>
        <w:pStyle w:val="6"/>
        <w:bidi w:val="0"/>
        <w:rPr>
          <w:rFonts w:hint="eastAsia"/>
          <w:lang w:val="en-US" w:eastAsia="zh-CN"/>
        </w:rPr>
      </w:pPr>
      <w:r>
        <w:rPr>
          <w:rFonts w:hint="eastAsia"/>
          <w:lang w:val="en-US" w:eastAsia="zh-CN"/>
        </w:rPr>
        <w:t>2.7.1.3声环境影响评价等级</w:t>
      </w:r>
    </w:p>
    <w:p>
      <w:pPr>
        <w:bidi w:val="0"/>
        <w:rPr>
          <w:lang w:eastAsia="zh-CN"/>
        </w:rPr>
      </w:pPr>
      <w:r>
        <w:rPr>
          <w:lang w:eastAsia="zh-CN"/>
        </w:rPr>
        <w:t>按照《环境影响评价技术导则 声环境》（HJ/T2.4-2008）中推荐的声环境评价工作等级划分方法，</w:t>
      </w:r>
      <w:r>
        <w:rPr>
          <w:rFonts w:hint="eastAsia"/>
          <w:lang w:eastAsia="zh-CN"/>
        </w:rPr>
        <w:t>本</w:t>
      </w:r>
      <w:r>
        <w:rPr>
          <w:lang w:eastAsia="zh-CN"/>
        </w:rPr>
        <w:t>项目</w:t>
      </w:r>
      <w:r>
        <w:rPr>
          <w:rFonts w:hint="eastAsia"/>
          <w:lang w:eastAsia="zh-CN"/>
        </w:rPr>
        <w:t>用地类型为工业用地</w:t>
      </w:r>
      <w:r>
        <w:rPr>
          <w:lang w:eastAsia="zh-CN"/>
        </w:rPr>
        <w:t>，其所在功能区属于3类区，确定声环境影响评价等级为三级。</w:t>
      </w:r>
    </w:p>
    <w:p>
      <w:pPr>
        <w:pStyle w:val="6"/>
        <w:bidi w:val="0"/>
        <w:rPr>
          <w:rFonts w:hint="eastAsia"/>
          <w:lang w:val="en-US" w:eastAsia="zh-CN"/>
        </w:rPr>
      </w:pPr>
      <w:r>
        <w:rPr>
          <w:rFonts w:hint="eastAsia"/>
          <w:lang w:val="en-US" w:eastAsia="zh-CN"/>
        </w:rPr>
        <w:t>2.7.1.4 土壤环境影响评价等级</w:t>
      </w:r>
    </w:p>
    <w:p>
      <w:pPr>
        <w:bidi w:val="0"/>
        <w:rPr>
          <w:rFonts w:hint="eastAsia"/>
        </w:rPr>
      </w:pPr>
      <w:r>
        <w:rPr>
          <w:rFonts w:hint="eastAsia"/>
        </w:rPr>
        <w:t>本项目属于污染影响型建设项目，属于附录A确定的</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类项目（</w:t>
      </w:r>
      <w:r>
        <w:rPr>
          <w:rFonts w:hint="eastAsia"/>
          <w:lang w:eastAsia="zh-CN"/>
        </w:rPr>
        <w:t>金属冶炼和压延加工及非金属矿物制品</w:t>
      </w:r>
      <w:r>
        <w:rPr>
          <w:rFonts w:hint="eastAsia"/>
          <w:lang w:val="en-US" w:eastAsia="zh-CN"/>
        </w:rPr>
        <w:t>、其他</w:t>
      </w:r>
      <w:r>
        <w:rPr>
          <w:rFonts w:hint="eastAsia"/>
        </w:rPr>
        <w:t>）。根据占地规模属于小型项目（</w:t>
      </w:r>
      <w:r>
        <w:rPr>
          <w:rFonts w:hint="eastAsia"/>
          <w:lang w:val="en-US" w:eastAsia="zh-CN"/>
        </w:rPr>
        <w:t>60亩=4</w:t>
      </w:r>
      <w:r>
        <w:rPr>
          <w:rFonts w:hint="eastAsia"/>
        </w:rPr>
        <w:t>hm</w:t>
      </w:r>
      <w:r>
        <w:rPr>
          <w:rFonts w:hint="eastAsia"/>
          <w:vertAlign w:val="superscript"/>
        </w:rPr>
        <w:t>2</w:t>
      </w:r>
      <w:r>
        <w:rPr>
          <w:rFonts w:hint="eastAsia"/>
        </w:rPr>
        <w:t>，占地面积≤5hm</w:t>
      </w:r>
      <w:r>
        <w:rPr>
          <w:rFonts w:hint="eastAsia"/>
          <w:vertAlign w:val="superscript"/>
        </w:rPr>
        <w:t>2</w:t>
      </w:r>
      <w:r>
        <w:rPr>
          <w:rFonts w:hint="eastAsia"/>
        </w:rPr>
        <w:t>），项目为永久占地。</w:t>
      </w:r>
    </w:p>
    <w:p>
      <w:pPr>
        <w:bidi w:val="0"/>
        <w:rPr>
          <w:rFonts w:hint="eastAsia"/>
          <w:lang w:eastAsia="zh-CN"/>
        </w:rPr>
      </w:pPr>
      <w:r>
        <w:rPr>
          <w:rFonts w:hint="eastAsia"/>
        </w:rPr>
        <w:t>项目位于</w:t>
      </w:r>
      <w:r>
        <w:rPr>
          <w:rFonts w:hint="eastAsia"/>
          <w:lang w:eastAsia="zh-CN"/>
        </w:rPr>
        <w:t>工业</w:t>
      </w:r>
      <w:r>
        <w:rPr>
          <w:rFonts w:hint="eastAsia"/>
        </w:rPr>
        <w:t>园区内，周边50m范围内</w:t>
      </w:r>
      <w:r>
        <w:rPr>
          <w:rFonts w:hint="eastAsia"/>
          <w:lang w:eastAsia="zh-CN"/>
        </w:rPr>
        <w:t>零星分布耕地，因此周边土壤敏感程度为敏感，详见表</w:t>
      </w:r>
      <w:r>
        <w:rPr>
          <w:rFonts w:hint="eastAsia"/>
          <w:lang w:val="en-US" w:eastAsia="zh-CN"/>
        </w:rPr>
        <w:t>2.7.1-4</w:t>
      </w:r>
      <w:r>
        <w:rPr>
          <w:rFonts w:hint="eastAsia"/>
          <w:lang w:eastAsia="zh-CN"/>
        </w:rPr>
        <w:t>。</w:t>
      </w:r>
    </w:p>
    <w:p>
      <w:pPr>
        <w:pStyle w:val="27"/>
        <w:bidi w:val="0"/>
      </w:pPr>
      <w:r>
        <w:t>表</w:t>
      </w:r>
      <w:r>
        <w:rPr>
          <w:rFonts w:hint="eastAsia"/>
          <w:lang w:val="en-US" w:eastAsia="zh-CN"/>
        </w:rPr>
        <w:t>2.7.1-4</w:t>
      </w:r>
      <w:r>
        <w:t>污染影响型评价工作等级划分表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敏感程度</w:t>
            </w:r>
          </w:p>
        </w:tc>
        <w:tc>
          <w:tcPr>
            <w:tcW w:w="8348" w:type="dxa"/>
            <w:vAlign w:val="center"/>
          </w:tcPr>
          <w:p>
            <w:pPr>
              <w:pStyle w:val="28"/>
              <w:suppressLineNumbers w:val="0"/>
              <w:bidi w:val="0"/>
              <w:spacing w:before="0" w:after="0"/>
              <w:ind w:left="0" w:right="0"/>
              <w:jc w:val="center"/>
              <w:rPr>
                <w:rFonts w:hint="eastAsia"/>
                <w:lang w:eastAsia="zh-CN"/>
              </w:rPr>
            </w:pPr>
            <w:r>
              <w:rPr>
                <w:rFonts w:hint="eastAsia"/>
                <w:lang w:eastAsia="zh-CN"/>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shd w:val="pct10" w:color="auto" w:fill="auto"/>
            <w:vAlign w:val="center"/>
          </w:tcPr>
          <w:p>
            <w:pPr>
              <w:pStyle w:val="28"/>
              <w:suppressLineNumbers w:val="0"/>
              <w:bidi w:val="0"/>
              <w:spacing w:before="0" w:after="0"/>
              <w:ind w:left="0" w:right="0"/>
              <w:jc w:val="center"/>
              <w:rPr>
                <w:rFonts w:hint="eastAsia"/>
                <w:lang w:eastAsia="zh-CN"/>
              </w:rPr>
            </w:pPr>
            <w:r>
              <w:rPr>
                <w:rFonts w:hint="eastAsia"/>
                <w:lang w:eastAsia="zh-CN"/>
              </w:rPr>
              <w:t>敏感</w:t>
            </w:r>
          </w:p>
        </w:tc>
        <w:tc>
          <w:tcPr>
            <w:tcW w:w="8348" w:type="dxa"/>
            <w:shd w:val="pct10" w:color="auto" w:fill="auto"/>
            <w:vAlign w:val="center"/>
          </w:tcPr>
          <w:p>
            <w:pPr>
              <w:pStyle w:val="28"/>
              <w:suppressLineNumbers w:val="0"/>
              <w:bidi w:val="0"/>
              <w:spacing w:before="0" w:after="0"/>
              <w:ind w:left="0" w:right="0"/>
              <w:jc w:val="center"/>
              <w:rPr>
                <w:rFonts w:hint="eastAsia"/>
              </w:rPr>
            </w:pPr>
            <w:r>
              <w:rPr>
                <w:rFonts w:hint="eastAsia"/>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eastAsia"/>
                <w:lang w:eastAsia="zh-CN"/>
              </w:rPr>
            </w:pPr>
            <w:r>
              <w:rPr>
                <w:rFonts w:hint="eastAsia"/>
                <w:lang w:eastAsia="zh-CN"/>
              </w:rPr>
              <w:t>较敏感</w:t>
            </w:r>
          </w:p>
        </w:tc>
        <w:tc>
          <w:tcPr>
            <w:tcW w:w="8348" w:type="dxa"/>
            <w:vAlign w:val="center"/>
          </w:tcPr>
          <w:p>
            <w:pPr>
              <w:pStyle w:val="28"/>
              <w:suppressLineNumbers w:val="0"/>
              <w:bidi w:val="0"/>
              <w:spacing w:before="0" w:after="0"/>
              <w:ind w:left="0" w:right="0"/>
              <w:jc w:val="center"/>
              <w:rPr>
                <w:rFonts w:hint="eastAsia"/>
              </w:rPr>
            </w:pPr>
            <w:r>
              <w:rPr>
                <w:rFonts w:hint="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eastAsia"/>
                <w:lang w:eastAsia="zh-CN"/>
              </w:rPr>
            </w:pPr>
            <w:r>
              <w:rPr>
                <w:rFonts w:hint="eastAsia"/>
                <w:lang w:eastAsia="zh-CN"/>
              </w:rPr>
              <w:t>不敏感</w:t>
            </w:r>
          </w:p>
        </w:tc>
        <w:tc>
          <w:tcPr>
            <w:tcW w:w="8348" w:type="dxa"/>
            <w:vAlign w:val="center"/>
          </w:tcPr>
          <w:p>
            <w:pPr>
              <w:pStyle w:val="28"/>
              <w:suppressLineNumbers w:val="0"/>
              <w:bidi w:val="0"/>
              <w:spacing w:before="0" w:after="0"/>
              <w:ind w:left="0" w:right="0"/>
              <w:jc w:val="center"/>
              <w:rPr>
                <w:rFonts w:hint="eastAsia"/>
                <w:lang w:eastAsia="zh-CN"/>
              </w:rPr>
            </w:pPr>
            <w:r>
              <w:rPr>
                <w:rFonts w:hint="eastAsia"/>
                <w:lang w:eastAsia="zh-CN"/>
              </w:rPr>
              <w:t>其他情况</w:t>
            </w:r>
          </w:p>
        </w:tc>
      </w:tr>
    </w:tbl>
    <w:p>
      <w:pPr>
        <w:bidi w:val="0"/>
        <w:rPr>
          <w:rFonts w:hint="eastAsia"/>
        </w:rPr>
      </w:pPr>
      <w:r>
        <w:rPr>
          <w:rFonts w:hint="eastAsia"/>
        </w:rPr>
        <w:t>根据《环境影响评价技术导则 土壤环境（试行）》（HJ964-2018）表4，本项目土壤环境评价工作等级为</w:t>
      </w:r>
      <w:r>
        <w:rPr>
          <w:rFonts w:hint="eastAsia"/>
          <w:lang w:eastAsia="zh-CN"/>
        </w:rPr>
        <w:t>三级，详见下表</w:t>
      </w:r>
      <w:r>
        <w:rPr>
          <w:rFonts w:hint="eastAsia"/>
        </w:rPr>
        <w:t xml:space="preserve">。 </w:t>
      </w:r>
    </w:p>
    <w:p>
      <w:pPr>
        <w:pStyle w:val="27"/>
        <w:bidi w:val="0"/>
      </w:pPr>
      <w:r>
        <w:t>表</w:t>
      </w:r>
      <w:r>
        <w:rPr>
          <w:rFonts w:hint="eastAsia"/>
          <w:lang w:val="en-US" w:eastAsia="zh-CN"/>
        </w:rPr>
        <w:t>2.7.1-5</w:t>
      </w:r>
      <w:r>
        <w:t>污染影响型评价工作等级划分表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0"/>
        <w:gridCol w:w="874"/>
        <w:gridCol w:w="876"/>
        <w:gridCol w:w="888"/>
        <w:gridCol w:w="876"/>
        <w:gridCol w:w="876"/>
        <w:gridCol w:w="888"/>
        <w:gridCol w:w="876"/>
        <w:gridCol w:w="87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933" w:type="pct"/>
            <w:vMerge w:val="restart"/>
            <w:tcBorders>
              <w:tl2br w:val="nil"/>
              <w:tr2bl w:val="nil"/>
            </w:tcBorders>
            <w:noWrap w:val="0"/>
            <w:vAlign w:val="center"/>
          </w:tcPr>
          <w:p>
            <w:pPr>
              <w:pStyle w:val="28"/>
              <w:suppressLineNumbers w:val="0"/>
              <w:bidi w:val="0"/>
              <w:spacing w:before="0" w:after="0"/>
              <w:ind w:left="0" w:right="0"/>
              <w:jc w:val="center"/>
              <w:rPr>
                <w:sz w:val="18"/>
                <w:szCs w:val="18"/>
              </w:rPr>
            </w:pPr>
            <w:r>
              <w:rPr>
                <w:sz w:val="18"/>
                <w:szCs w:val="18"/>
              </w:rP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-3810</wp:posOffset>
                      </wp:positionV>
                      <wp:extent cx="1138555" cy="518160"/>
                      <wp:effectExtent l="1905" t="4445" r="2540" b="10795"/>
                      <wp:wrapNone/>
                      <wp:docPr id="5" name="直接连接符 5"/>
                      <wp:cNvGraphicFramePr/>
                      <a:graphic xmlns:a="http://schemas.openxmlformats.org/drawingml/2006/main">
                        <a:graphicData uri="http://schemas.microsoft.com/office/word/2010/wordprocessingShape">
                          <wps:wsp>
                            <wps:cNvCnPr/>
                            <wps:spPr>
                              <a:xfrm flipH="1" flipV="1">
                                <a:off x="0" y="0"/>
                                <a:ext cx="1138555" cy="518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0.1pt;margin-top:-0.3pt;height:40.8pt;width:89.65pt;z-index:251672576;mso-width-relative:page;mso-height-relative:page;" filled="f" stroked="t" coordsize="21600,21600" o:gfxdata="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0k6bzU&#10;AAAABQEAAA8AAAAAAAAAAQAgAAAAIgAAAGRycy9kb3ducmV2LnhtbFBLAQIUABQAAAAIAIdO4kBu&#10;yIz86wEAAJ4DAAAOAAAAAAAAAAEAIAAAACMBAABkcnMvZTJvRG9jLnhtbFBLBQYAAAAABgAGAFkB&#10;AACABQAAAAA=&#10;">
                      <v:fill on="f" focussize="0,0"/>
                      <v:stroke weight="0.5pt" color="#000000" miterlimit="8" joinstyle="miter"/>
                      <v:imagedata o:title=""/>
                      <o:lock v:ext="edit" aspectratio="f"/>
                    </v:line>
                  </w:pict>
                </mc:Fallback>
              </mc:AlternateContent>
            </w:r>
            <w:r>
              <w:rPr>
                <w:rFonts w:hint="eastAsia"/>
                <w:sz w:val="18"/>
                <w:szCs w:val="18"/>
                <w:lang w:val="en-US" w:eastAsia="zh-CN"/>
              </w:rPr>
              <w:t xml:space="preserve">  </w:t>
            </w:r>
            <w:r>
              <w:rPr>
                <w:sz w:val="18"/>
                <w:szCs w:val="18"/>
              </w:rPr>
              <w:t>占地规模</w:t>
            </w:r>
          </w:p>
          <w:p>
            <w:pPr>
              <w:pStyle w:val="28"/>
              <w:suppressLineNumbers w:val="0"/>
              <w:bidi w:val="0"/>
              <w:spacing w:before="0" w:after="0"/>
              <w:ind w:left="0" w:right="0"/>
              <w:jc w:val="both"/>
              <w:rPr>
                <w:sz w:val="18"/>
                <w:szCs w:val="18"/>
              </w:rPr>
            </w:pPr>
            <w:r>
              <w:rPr>
                <w:sz w:val="18"/>
                <w:szCs w:val="18"/>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139700</wp:posOffset>
                      </wp:positionV>
                      <wp:extent cx="1152525" cy="205740"/>
                      <wp:effectExtent l="635" t="4445" r="8890" b="18415"/>
                      <wp:wrapNone/>
                      <wp:docPr id="4" name="直接连接符 4"/>
                      <wp:cNvGraphicFramePr/>
                      <a:graphic xmlns:a="http://schemas.openxmlformats.org/drawingml/2006/main">
                        <a:graphicData uri="http://schemas.microsoft.com/office/word/2010/wordprocessingShape">
                          <wps:wsp>
                            <wps:cNvCnPr/>
                            <wps:spPr>
                              <a:xfrm flipH="1" flipV="1">
                                <a:off x="0" y="0"/>
                                <a:ext cx="1152525" cy="2057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top:11pt;height:16.2pt;width:90.75pt;mso-position-horizontal:left;mso-position-horizontal-relative:margin;z-index:251673600;mso-width-relative:page;mso-height-relative:page;" filled="f" stroked="t" coordsize="21600,21600" o:gfxdata="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4ic&#10;NdYAAAAGAQAADwAAAAAAAAABACAAAAAiAAAAZHJzL2Rvd25yZXYueG1sUEsBAhQAFAAAAAgAh07i&#10;QIx2X7jrAQAAngMAAA4AAAAAAAAAAQAgAAAAJQEAAGRycy9lMm9Eb2MueG1sUEsFBgAAAAAGAAYA&#10;WQEAAIIFAAAAAA==&#10;">
                      <v:fill on="f" focussize="0,0"/>
                      <v:stroke weight="0.5pt" color="#000000" miterlimit="8" joinstyle="miter"/>
                      <v:imagedata o:title=""/>
                      <o:lock v:ext="edit" aspectratio="f"/>
                    </v:line>
                  </w:pict>
                </mc:Fallback>
              </mc:AlternateContent>
            </w:r>
            <w:r>
              <w:rPr>
                <w:sz w:val="18"/>
                <w:szCs w:val="18"/>
              </w:rPr>
              <w:t>评价等级</w:t>
            </w:r>
          </w:p>
          <w:p>
            <w:pPr>
              <w:pStyle w:val="28"/>
              <w:suppressLineNumbers w:val="0"/>
              <w:bidi w:val="0"/>
              <w:spacing w:before="0" w:after="0"/>
              <w:ind w:left="0" w:right="0"/>
              <w:jc w:val="both"/>
            </w:pPr>
            <w:r>
              <w:rPr>
                <w:sz w:val="18"/>
                <w:szCs w:val="18"/>
              </w:rPr>
              <w:t>敏感程度</w:t>
            </w:r>
          </w:p>
        </w:tc>
        <w:tc>
          <w:tcPr>
            <w:tcW w:w="1352"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Ⅰ</w:t>
            </w:r>
            <w:r>
              <w:t>类</w:t>
            </w:r>
          </w:p>
        </w:tc>
        <w:tc>
          <w:tcPr>
            <w:tcW w:w="1353"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Ⅱ</w:t>
            </w:r>
            <w:r>
              <w:t>类</w:t>
            </w:r>
          </w:p>
        </w:tc>
        <w:tc>
          <w:tcPr>
            <w:tcW w:w="1360"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Ⅲ</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pct"/>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448"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noWrap w:val="0"/>
            <w:vAlign w:val="center"/>
          </w:tcPr>
          <w:p>
            <w:pPr>
              <w:pStyle w:val="28"/>
              <w:suppressLineNumbers w:val="0"/>
              <w:bidi w:val="0"/>
              <w:spacing w:before="0" w:after="0"/>
              <w:ind w:left="0" w:right="0"/>
              <w:jc w:val="center"/>
            </w:pPr>
            <w:r>
              <w:t>中</w:t>
            </w:r>
          </w:p>
        </w:tc>
        <w:tc>
          <w:tcPr>
            <w:tcW w:w="454" w:type="pct"/>
            <w:tcBorders>
              <w:tl2br w:val="nil"/>
              <w:tr2bl w:val="nil"/>
            </w:tcBorders>
            <w:noWrap w:val="0"/>
            <w:vAlign w:val="center"/>
          </w:tcPr>
          <w:p>
            <w:pPr>
              <w:pStyle w:val="28"/>
              <w:suppressLineNumbers w:val="0"/>
              <w:bidi w:val="0"/>
              <w:spacing w:before="0" w:after="0"/>
              <w:ind w:left="0" w:right="0"/>
              <w:jc w:val="center"/>
            </w:pPr>
            <w:r>
              <w:t>小</w:t>
            </w:r>
          </w:p>
        </w:tc>
        <w:tc>
          <w:tcPr>
            <w:tcW w:w="449"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noWrap w:val="0"/>
            <w:vAlign w:val="center"/>
          </w:tcPr>
          <w:p>
            <w:pPr>
              <w:pStyle w:val="28"/>
              <w:suppressLineNumbers w:val="0"/>
              <w:bidi w:val="0"/>
              <w:spacing w:before="0" w:after="0"/>
              <w:ind w:left="0" w:right="0"/>
              <w:jc w:val="center"/>
            </w:pPr>
            <w:r>
              <w:t>中</w:t>
            </w:r>
          </w:p>
        </w:tc>
        <w:tc>
          <w:tcPr>
            <w:tcW w:w="454" w:type="pct"/>
            <w:tcBorders>
              <w:tl2br w:val="nil"/>
              <w:tr2bl w:val="nil"/>
            </w:tcBorders>
            <w:noWrap w:val="0"/>
            <w:vAlign w:val="center"/>
          </w:tcPr>
          <w:p>
            <w:pPr>
              <w:pStyle w:val="28"/>
              <w:suppressLineNumbers w:val="0"/>
              <w:bidi w:val="0"/>
              <w:spacing w:before="0" w:after="0"/>
              <w:ind w:left="0" w:right="0"/>
              <w:jc w:val="center"/>
            </w:pPr>
            <w:r>
              <w:t>小</w:t>
            </w:r>
          </w:p>
        </w:tc>
        <w:tc>
          <w:tcPr>
            <w:tcW w:w="449"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shd w:val="clear" w:color="auto" w:fill="auto"/>
            <w:noWrap w:val="0"/>
            <w:vAlign w:val="center"/>
          </w:tcPr>
          <w:p>
            <w:pPr>
              <w:pStyle w:val="28"/>
              <w:suppressLineNumbers w:val="0"/>
              <w:bidi w:val="0"/>
              <w:spacing w:before="0" w:after="0"/>
              <w:ind w:left="0" w:right="0"/>
              <w:jc w:val="center"/>
            </w:pPr>
            <w:r>
              <w:t>中</w:t>
            </w:r>
          </w:p>
        </w:tc>
        <w:tc>
          <w:tcPr>
            <w:tcW w:w="460" w:type="pct"/>
            <w:tcBorders>
              <w:tl2br w:val="nil"/>
              <w:tr2bl w:val="nil"/>
            </w:tcBorders>
            <w:shd w:val="clear" w:color="auto" w:fill="auto"/>
            <w:noWrap w:val="0"/>
            <w:vAlign w:val="center"/>
          </w:tcPr>
          <w:p>
            <w:pPr>
              <w:pStyle w:val="28"/>
              <w:suppressLineNumbers w:val="0"/>
              <w:bidi w:val="0"/>
              <w:spacing w:before="0" w:after="0"/>
              <w:ind w:left="0" w:right="0"/>
              <w:jc w:val="center"/>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一级</w:t>
            </w:r>
          </w:p>
        </w:tc>
        <w:tc>
          <w:tcPr>
            <w:tcW w:w="454"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60" w:type="pct"/>
            <w:tcBorders>
              <w:tl2br w:val="nil"/>
              <w:tr2bl w:val="nil"/>
            </w:tcBorders>
            <w:shd w:val="pct10" w:color="auto" w:fill="auto"/>
            <w:noWrap w:val="0"/>
            <w:vAlign w:val="center"/>
          </w:tcPr>
          <w:p>
            <w:pPr>
              <w:pStyle w:val="28"/>
              <w:suppressLineNumbers w:val="0"/>
              <w:bidi w:val="0"/>
              <w:spacing w:before="0" w:after="0"/>
              <w:ind w:left="0" w:right="0"/>
              <w:jc w:val="center"/>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较敏感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一级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60" w:type="pct"/>
            <w:tcBorders>
              <w:tl2br w:val="nil"/>
              <w:tr2bl w:val="nil"/>
            </w:tcBorders>
            <w:noWrap w:val="0"/>
            <w:vAlign w:val="center"/>
          </w:tcPr>
          <w:p>
            <w:pPr>
              <w:pStyle w:val="28"/>
              <w:suppressLineNumbers w:val="0"/>
              <w:bidi w:val="0"/>
              <w:spacing w:before="0" w:after="0"/>
              <w:ind w:left="0" w:right="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不敏感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54"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w:t>
            </w:r>
          </w:p>
        </w:tc>
        <w:tc>
          <w:tcPr>
            <w:tcW w:w="460" w:type="pct"/>
            <w:tcBorders>
              <w:tl2br w:val="nil"/>
              <w:tr2bl w:val="nil"/>
            </w:tcBorders>
            <w:noWrap w:val="0"/>
            <w:vAlign w:val="center"/>
          </w:tcPr>
          <w:p>
            <w:pPr>
              <w:pStyle w:val="28"/>
              <w:suppressLineNumbers w:val="0"/>
              <w:bidi w:val="0"/>
              <w:spacing w:before="0" w:after="0"/>
              <w:ind w:left="0" w:right="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000" w:type="pct"/>
            <w:gridSpan w:val="10"/>
            <w:tcBorders>
              <w:tl2br w:val="nil"/>
              <w:tr2bl w:val="nil"/>
            </w:tcBorders>
            <w:noWrap w:val="0"/>
            <w:vAlign w:val="center"/>
          </w:tcPr>
          <w:p>
            <w:pPr>
              <w:pStyle w:val="28"/>
              <w:suppressLineNumbers w:val="0"/>
              <w:bidi w:val="0"/>
              <w:spacing w:before="0" w:after="0"/>
              <w:ind w:left="0" w:right="0"/>
              <w:jc w:val="left"/>
            </w:pPr>
            <w:r>
              <w:t>注：“-”表示可不开展土壤环境影响评价工作。</w:t>
            </w:r>
          </w:p>
        </w:tc>
      </w:tr>
    </w:tbl>
    <w:p>
      <w:pPr>
        <w:pStyle w:val="6"/>
        <w:bidi w:val="0"/>
        <w:rPr>
          <w:rFonts w:hint="eastAsia"/>
          <w:lang w:val="en-US" w:eastAsia="zh-CN"/>
        </w:rPr>
      </w:pPr>
      <w:r>
        <w:rPr>
          <w:rFonts w:hint="eastAsia"/>
          <w:lang w:val="en-US" w:eastAsia="zh-CN"/>
        </w:rPr>
        <w:t>2.7.1.5 地下水环境影响评价等级</w:t>
      </w:r>
    </w:p>
    <w:p>
      <w:pPr>
        <w:bidi w:val="0"/>
        <w:rPr>
          <w:rFonts w:hint="default"/>
        </w:rPr>
      </w:pPr>
      <w:r>
        <w:rPr>
          <w:rFonts w:hint="default"/>
        </w:rPr>
        <w:t>根据《环境影响评价技术导则地下水环境》（HJ 610-2016），本项目属于附录A中的“</w:t>
      </w:r>
      <w:r>
        <w:rPr>
          <w:rFonts w:hint="eastAsia"/>
          <w:lang w:val="en-US" w:eastAsia="zh-CN"/>
        </w:rPr>
        <w:t>J</w:t>
      </w:r>
      <w:r>
        <w:rPr>
          <w:rFonts w:hint="eastAsia"/>
          <w:lang w:eastAsia="zh-CN"/>
        </w:rPr>
        <w:t>非金属矿采选及制品制造</w:t>
      </w:r>
      <w:r>
        <w:rPr>
          <w:rFonts w:hint="default"/>
        </w:rPr>
        <w:t>——</w:t>
      </w:r>
      <w:r>
        <w:rPr>
          <w:rFonts w:hint="eastAsia"/>
          <w:lang w:val="en-US" w:eastAsia="zh-CN"/>
        </w:rPr>
        <w:t>69</w:t>
      </w:r>
      <w:r>
        <w:rPr>
          <w:rFonts w:hint="default"/>
        </w:rPr>
        <w:t>、</w:t>
      </w:r>
      <w:r>
        <w:rPr>
          <w:rFonts w:hint="eastAsia"/>
          <w:lang w:eastAsia="zh-CN"/>
        </w:rPr>
        <w:t>石墨及其他非金属矿物制品</w:t>
      </w:r>
      <w:r>
        <w:rPr>
          <w:rFonts w:hint="eastAsia"/>
          <w:lang w:val="en-US" w:eastAsia="zh-CN"/>
        </w:rPr>
        <w:t xml:space="preserve"> 其他</w:t>
      </w:r>
      <w:r>
        <w:rPr>
          <w:rFonts w:hint="default"/>
        </w:rPr>
        <w:t>”，为</w:t>
      </w:r>
      <w:r>
        <w:rPr>
          <w:rFonts w:hint="default"/>
        </w:rPr>
        <w:fldChar w:fldCharType="begin"/>
      </w:r>
      <w:r>
        <w:rPr>
          <w:rFonts w:hint="default"/>
        </w:rPr>
        <w:instrText xml:space="preserve"> = 4 \* ROMAN \* MERGEFORMAT </w:instrText>
      </w:r>
      <w:r>
        <w:rPr>
          <w:rFonts w:hint="default"/>
        </w:rPr>
        <w:fldChar w:fldCharType="separate"/>
      </w:r>
      <w:r>
        <w:t>IV</w:t>
      </w:r>
      <w:r>
        <w:rPr>
          <w:rFonts w:hint="default"/>
        </w:rPr>
        <w:fldChar w:fldCharType="end"/>
      </w:r>
      <w:r>
        <w:rPr>
          <w:rFonts w:hint="default"/>
        </w:rPr>
        <w:t>类建设项目</w:t>
      </w:r>
      <w:r>
        <w:rPr>
          <w:rFonts w:hint="eastAsia"/>
          <w:lang w:eastAsia="zh-CN"/>
        </w:rPr>
        <w:t>，见下表</w:t>
      </w:r>
      <w:r>
        <w:rPr>
          <w:rFonts w:hint="default"/>
        </w:rPr>
        <w:t>。</w:t>
      </w:r>
    </w:p>
    <w:p>
      <w:pPr>
        <w:pStyle w:val="27"/>
        <w:bidi w:val="0"/>
      </w:pPr>
      <w:r>
        <w:rPr>
          <w:rFonts w:hint="eastAsia"/>
        </w:rPr>
        <w:t>表</w:t>
      </w:r>
      <w:r>
        <w:rPr>
          <w:rFonts w:hint="eastAsia"/>
          <w:lang w:val="en-US" w:eastAsia="zh-CN"/>
        </w:rPr>
        <w:t>2.7.1-6</w:t>
      </w:r>
      <w:r>
        <w:rPr>
          <w:rFonts w:hint="eastAsia"/>
        </w:rPr>
        <w:t>地下水评价分类表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7"/>
        <w:gridCol w:w="1927"/>
        <w:gridCol w:w="1287"/>
        <w:gridCol w:w="1287"/>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91" w:type="pct"/>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rPr>
              <w:t xml:space="preserve">        </w:t>
            </w:r>
            <w:r>
              <w:rPr>
                <w:rFonts w:hint="eastAsia"/>
                <w:lang w:val="en-US" w:eastAsia="zh-CN"/>
              </w:rPr>
              <w:t xml:space="preserve">    </w:t>
            </w:r>
            <w:r>
              <w:rPr>
                <w:rFonts w:hint="eastAsia"/>
              </w:rPr>
              <w:t>环评类别</w:t>
            </w:r>
          </w:p>
          <w:p>
            <w:pPr>
              <w:pStyle w:val="28"/>
              <w:suppressLineNumbers w:val="0"/>
              <w:bidi w:val="0"/>
              <w:snapToGrid w:val="0"/>
              <w:spacing w:before="0" w:after="0" w:line="240" w:lineRule="auto"/>
              <w:ind w:left="0" w:right="0"/>
              <w:jc w:val="both"/>
              <w:rPr>
                <w:b w:val="0"/>
                <w:bCs w:val="0"/>
              </w:rPr>
            </w:pPr>
            <w:r>
              <w:rPr>
                <w:rFonts w:hint="eastAsia"/>
              </w:rPr>
              <w:t>行业类别</w:t>
            </w:r>
          </w:p>
          <w:p>
            <w:pPr>
              <w:pStyle w:val="28"/>
              <w:suppressLineNumbers w:val="0"/>
              <w:bidi w:val="0"/>
              <w:spacing w:before="0" w:after="0"/>
              <w:ind w:left="0" w:right="0"/>
              <w:jc w:val="both"/>
              <w:outlineLvl w:val="9"/>
            </w:pPr>
          </w:p>
        </w:tc>
        <w:tc>
          <w:tcPr>
            <w:tcW w:w="967" w:type="pct"/>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rPr>
              <w:t>报告书</w:t>
            </w:r>
          </w:p>
        </w:tc>
        <w:tc>
          <w:tcPr>
            <w:tcW w:w="646" w:type="pct"/>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rPr>
              <w:t>报告表</w:t>
            </w:r>
          </w:p>
        </w:tc>
        <w:tc>
          <w:tcPr>
            <w:tcW w:w="1293" w:type="pct"/>
            <w:gridSpan w:val="2"/>
            <w:tcBorders>
              <w:tl2br w:val="nil"/>
              <w:tr2bl w:val="nil"/>
            </w:tcBorders>
            <w:noWrap w:val="0"/>
            <w:vAlign w:val="center"/>
          </w:tcPr>
          <w:p>
            <w:pPr>
              <w:pStyle w:val="28"/>
              <w:suppressLineNumbers w:val="0"/>
              <w:bidi w:val="0"/>
              <w:spacing w:before="0" w:after="0"/>
              <w:ind w:left="0" w:right="0"/>
              <w:rPr>
                <w:rFonts w:hint="eastAsia"/>
              </w:rPr>
            </w:pPr>
            <w:r>
              <w:rPr>
                <w:rFonts w:hint="eastAsia"/>
              </w:rPr>
              <w:t>地下水评价类别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91"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rPr>
                <w:rFonts w:hint="eastAsia"/>
              </w:rPr>
            </w:pPr>
          </w:p>
        </w:tc>
        <w:tc>
          <w:tcPr>
            <w:tcW w:w="967"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rPr>
                <w:rFonts w:hint="eastAsia"/>
              </w:rPr>
            </w:pPr>
          </w:p>
        </w:tc>
        <w:tc>
          <w:tcPr>
            <w:tcW w:w="646"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rPr>
                <w:rFonts w:hint="eastAsia"/>
              </w:rPr>
            </w:pPr>
          </w:p>
        </w:tc>
        <w:tc>
          <w:tcPr>
            <w:tcW w:w="646" w:type="pct"/>
            <w:tcBorders>
              <w:tl2br w:val="nil"/>
              <w:tr2bl w:val="nil"/>
            </w:tcBorders>
            <w:shd w:val="clear" w:color="auto" w:fill="auto"/>
            <w:noWrap w:val="0"/>
            <w:vAlign w:val="center"/>
          </w:tcPr>
          <w:p>
            <w:pPr>
              <w:pStyle w:val="28"/>
              <w:suppressLineNumbers w:val="0"/>
              <w:bidi w:val="0"/>
              <w:spacing w:before="0" w:after="0"/>
              <w:ind w:left="0" w:right="0"/>
              <w:rPr>
                <w:rFonts w:hint="eastAsia"/>
              </w:rPr>
            </w:pPr>
            <w:r>
              <w:rPr>
                <w:rFonts w:hint="eastAsia"/>
              </w:rPr>
              <w:t>报告书</w:t>
            </w:r>
          </w:p>
        </w:tc>
        <w:tc>
          <w:tcPr>
            <w:tcW w:w="647" w:type="pct"/>
            <w:tcBorders>
              <w:tl2br w:val="nil"/>
              <w:tr2bl w:val="nil"/>
            </w:tcBorders>
            <w:shd w:val="pct10" w:color="auto" w:fill="auto"/>
            <w:noWrap w:val="0"/>
            <w:vAlign w:val="center"/>
          </w:tcPr>
          <w:p>
            <w:pPr>
              <w:pStyle w:val="28"/>
              <w:suppressLineNumbers w:val="0"/>
              <w:bidi w:val="0"/>
              <w:spacing w:before="0" w:after="0"/>
              <w:ind w:left="0" w:right="0"/>
              <w:rPr>
                <w:rFonts w:hint="eastAsia"/>
              </w:rPr>
            </w:pPr>
            <w:r>
              <w:rPr>
                <w:rFonts w:hint="eastAsia"/>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091" w:type="pct"/>
            <w:tcBorders>
              <w:tl2br w:val="nil"/>
              <w:tr2bl w:val="nil"/>
            </w:tcBorders>
            <w:shd w:val="clear" w:color="auto" w:fill="auto"/>
            <w:noWrap w:val="0"/>
            <w:vAlign w:val="center"/>
          </w:tcPr>
          <w:p>
            <w:pPr>
              <w:pStyle w:val="28"/>
              <w:suppressLineNumbers w:val="0"/>
              <w:bidi w:val="0"/>
              <w:spacing w:before="0" w:after="0"/>
              <w:ind w:left="0" w:right="0"/>
              <w:rPr>
                <w:rFonts w:hint="eastAsia"/>
              </w:rPr>
            </w:pPr>
            <w:r>
              <w:rPr>
                <w:rFonts w:hint="eastAsia"/>
                <w:lang w:eastAsia="zh-CN"/>
              </w:rPr>
              <w:t>石墨及其他非金属矿物制品</w:t>
            </w:r>
          </w:p>
        </w:tc>
        <w:tc>
          <w:tcPr>
            <w:tcW w:w="967" w:type="pct"/>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石墨、碳素</w:t>
            </w:r>
          </w:p>
        </w:tc>
        <w:tc>
          <w:tcPr>
            <w:tcW w:w="646" w:type="pct"/>
            <w:tcBorders>
              <w:tl2br w:val="nil"/>
              <w:tr2bl w:val="nil"/>
            </w:tcBorders>
            <w:shd w:val="clear" w:color="auto" w:fill="auto"/>
            <w:noWrap w:val="0"/>
            <w:vAlign w:val="center"/>
          </w:tcPr>
          <w:p>
            <w:pPr>
              <w:pStyle w:val="28"/>
              <w:suppressLineNumbers w:val="0"/>
              <w:bidi w:val="0"/>
              <w:spacing w:before="0" w:after="0"/>
              <w:ind w:left="0" w:right="0"/>
              <w:rPr>
                <w:rFonts w:hint="eastAsia" w:eastAsia="宋体"/>
                <w:lang w:eastAsia="zh-CN"/>
              </w:rPr>
            </w:pPr>
            <w:r>
              <w:rPr>
                <w:rFonts w:hint="eastAsia"/>
                <w:lang w:eastAsia="zh-CN"/>
              </w:rPr>
              <w:t>其他</w:t>
            </w:r>
          </w:p>
        </w:tc>
        <w:tc>
          <w:tcPr>
            <w:tcW w:w="646" w:type="pct"/>
            <w:tcBorders>
              <w:tl2br w:val="nil"/>
              <w:tr2bl w:val="nil"/>
            </w:tcBorders>
            <w:shd w:val="clear" w:color="auto" w:fill="auto"/>
            <w:noWrap w:val="0"/>
            <w:vAlign w:val="center"/>
          </w:tcPr>
          <w:p>
            <w:pPr>
              <w:pStyle w:val="28"/>
              <w:suppressLineNumbers w:val="0"/>
              <w:bidi w:val="0"/>
              <w:spacing w:before="0" w:after="0"/>
              <w:ind w:left="0" w:right="0"/>
              <w:rPr>
                <w:rFonts w:hint="eastAsia"/>
              </w:rPr>
            </w:pP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类</w:t>
            </w:r>
          </w:p>
        </w:tc>
        <w:tc>
          <w:tcPr>
            <w:tcW w:w="647" w:type="pct"/>
            <w:tcBorders>
              <w:tl2br w:val="nil"/>
              <w:tr2bl w:val="nil"/>
            </w:tcBorders>
            <w:shd w:val="pct10" w:color="auto" w:fill="auto"/>
            <w:noWrap w:val="0"/>
            <w:vAlign w:val="center"/>
          </w:tcPr>
          <w:p>
            <w:pPr>
              <w:pStyle w:val="28"/>
              <w:suppressLineNumbers w:val="0"/>
              <w:bidi w:val="0"/>
              <w:spacing w:before="0" w:after="0"/>
              <w:ind w:left="0" w:right="0"/>
              <w:rPr>
                <w:rFonts w:hint="eastAsia"/>
              </w:rPr>
            </w:pPr>
            <w:r>
              <w:rPr>
                <w:rFonts w:hint="eastAsia"/>
              </w:rPr>
              <w:fldChar w:fldCharType="begin"/>
            </w:r>
            <w:r>
              <w:rPr>
                <w:rFonts w:hint="eastAsia"/>
              </w:rPr>
              <w:instrText xml:space="preserve"> = 4 \* ROMAN \* MERGEFORMAT </w:instrText>
            </w:r>
            <w:r>
              <w:rPr>
                <w:rFonts w:hint="eastAsia"/>
              </w:rPr>
              <w:fldChar w:fldCharType="separate"/>
            </w:r>
            <w:r>
              <w:t>IV</w:t>
            </w:r>
            <w:r>
              <w:rPr>
                <w:rFonts w:hint="eastAsia"/>
              </w:rPr>
              <w:fldChar w:fldCharType="end"/>
            </w:r>
            <w:r>
              <w:rPr>
                <w:rFonts w:hint="eastAsia"/>
              </w:rPr>
              <w:t>类</w:t>
            </w:r>
          </w:p>
        </w:tc>
      </w:tr>
    </w:tbl>
    <w:p>
      <w:pPr>
        <w:bidi w:val="0"/>
        <w:rPr>
          <w:rFonts w:hint="eastAsia"/>
        </w:rPr>
      </w:pPr>
      <w:r>
        <w:rPr>
          <w:rFonts w:hint="default"/>
        </w:rPr>
        <w:t>项目所在区域不属于生活供水水源地准保护区、不属于热水、矿泉水、温泉等特殊地下水源保护区、也不属于补给径流区，同时项目占地为规划的工业用地，场地内无分散居民饮用水源等其它环境敏感区，因此项目所在地地下水敏感程度为不</w:t>
      </w:r>
      <w:r>
        <w:rPr>
          <w:rFonts w:hint="eastAsia"/>
          <w:lang w:eastAsia="zh-CN"/>
        </w:rPr>
        <w:t>敏感。</w:t>
      </w:r>
      <w:r>
        <w:rPr>
          <w:rFonts w:hint="eastAsia"/>
        </w:rPr>
        <w:t>项目所在地的地下水环境敏感程度依据表</w:t>
      </w:r>
      <w:r>
        <w:rPr>
          <w:rFonts w:hint="eastAsia"/>
          <w:lang w:val="en-US" w:eastAsia="zh-CN"/>
        </w:rPr>
        <w:t>2.7.1-7</w:t>
      </w:r>
      <w:r>
        <w:rPr>
          <w:rFonts w:hint="eastAsia"/>
        </w:rPr>
        <w:t xml:space="preserve">进行判定。 </w:t>
      </w:r>
    </w:p>
    <w:p>
      <w:pPr>
        <w:pStyle w:val="27"/>
        <w:bidi w:val="0"/>
        <w:rPr>
          <w:rFonts w:hint="eastAsia"/>
        </w:rPr>
      </w:pPr>
      <w:r>
        <w:rPr>
          <w:rFonts w:hint="eastAsia"/>
        </w:rPr>
        <w:t>表</w:t>
      </w:r>
      <w:r>
        <w:rPr>
          <w:rFonts w:hint="eastAsia"/>
          <w:lang w:val="en-US" w:eastAsia="zh-CN"/>
        </w:rPr>
        <w:t>2.7.1-7</w:t>
      </w:r>
      <w:r>
        <w:rPr>
          <w:rFonts w:hint="eastAsia"/>
        </w:rPr>
        <w:t>地下水环境敏感程度分级表</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8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敏感程度</w:t>
            </w:r>
          </w:p>
        </w:tc>
        <w:tc>
          <w:tcPr>
            <w:tcW w:w="815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9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敏感</w:t>
            </w:r>
          </w:p>
        </w:tc>
        <w:tc>
          <w:tcPr>
            <w:tcW w:w="815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较敏感</w:t>
            </w:r>
          </w:p>
        </w:tc>
        <w:tc>
          <w:tcPr>
            <w:tcW w:w="815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 xml:space="preserve">集中式饮用水水源（包括已建成的在用、备用、应急水源，在建和规划的饮用水水源）准保护区以外的补给径流区；未划定准保护区的集中水式饮用水水源，其保护区以外的补给径流区；分布式饮用水水源地；特殊地下水资源（如矿泉水、温泉等）保护区以外的分布区等其他未列入上述敏感分级的环境敏感区 </w:t>
            </w:r>
            <w:r>
              <w: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93" w:type="dxa"/>
            <w:tcBorders>
              <w:tl2br w:val="nil"/>
              <w:tr2bl w:val="nil"/>
            </w:tcBorders>
            <w:shd w:val="pct10" w:color="auto" w:fill="auto"/>
            <w:noWrap w:val="0"/>
            <w:vAlign w:val="center"/>
          </w:tcPr>
          <w:p>
            <w:pPr>
              <w:pStyle w:val="28"/>
              <w:suppressLineNumbers w:val="0"/>
              <w:bidi w:val="0"/>
              <w:spacing w:before="0" w:after="0"/>
              <w:ind w:left="0" w:right="0"/>
              <w:rPr>
                <w:rFonts w:hint="eastAsia"/>
              </w:rPr>
            </w:pPr>
            <w:r>
              <w:rPr>
                <w:rFonts w:hint="eastAsia"/>
              </w:rPr>
              <w:t>不敏感</w:t>
            </w:r>
          </w:p>
        </w:tc>
        <w:tc>
          <w:tcPr>
            <w:tcW w:w="8153" w:type="dxa"/>
            <w:tcBorders>
              <w:tl2br w:val="nil"/>
              <w:tr2bl w:val="nil"/>
            </w:tcBorders>
            <w:shd w:val="pct10" w:color="auto" w:fill="auto"/>
            <w:noWrap w:val="0"/>
            <w:vAlign w:val="center"/>
          </w:tcPr>
          <w:p>
            <w:pPr>
              <w:pStyle w:val="28"/>
              <w:suppressLineNumbers w:val="0"/>
              <w:bidi w:val="0"/>
              <w:spacing w:before="0" w:after="0"/>
              <w:ind w:left="0" w:right="0"/>
              <w:rPr>
                <w:rFonts w:hint="eastAsia"/>
              </w:rPr>
            </w:pPr>
            <w:r>
              <w:rPr>
                <w:rFonts w:hint="eastAsia"/>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746" w:type="dxa"/>
            <w:gridSpan w:val="2"/>
            <w:tcBorders>
              <w:tl2br w:val="nil"/>
              <w:tr2bl w:val="nil"/>
            </w:tcBorders>
            <w:noWrap w:val="0"/>
            <w:vAlign w:val="center"/>
          </w:tcPr>
          <w:p>
            <w:pPr>
              <w:pStyle w:val="28"/>
              <w:suppressLineNumbers w:val="0"/>
              <w:bidi w:val="0"/>
              <w:spacing w:before="0" w:after="0"/>
              <w:ind w:left="0" w:right="0"/>
              <w:rPr>
                <w:rFonts w:hint="eastAsia"/>
              </w:rPr>
            </w:pPr>
            <w:r>
              <w:rPr>
                <w:rFonts w:hint="eastAsia"/>
              </w:rPr>
              <w:t>注：</w:t>
            </w:r>
            <w:r>
              <w:t>a“</w:t>
            </w:r>
            <w:r>
              <w:rPr>
                <w:rFonts w:hint="eastAsia"/>
              </w:rPr>
              <w:t>环境敏感区</w:t>
            </w:r>
            <w:r>
              <w:t>”</w:t>
            </w:r>
            <w:r>
              <w:rPr>
                <w:rFonts w:hint="eastAsia"/>
              </w:rPr>
              <w:t>是指《建设项目环境影响评价分类管理名录》中所界定的涉及地下水的环境敏感区。</w:t>
            </w:r>
          </w:p>
        </w:tc>
      </w:tr>
    </w:tbl>
    <w:p>
      <w:pPr>
        <w:bidi w:val="0"/>
        <w:rPr>
          <w:rFonts w:hint="eastAsia"/>
          <w:lang w:val="en-US" w:eastAsia="zh-CN"/>
        </w:rPr>
      </w:pPr>
      <w:r>
        <w:rPr>
          <w:rFonts w:hint="default"/>
        </w:rPr>
        <w:t>根据《环境影响评价技术导则地下水环境》（HJ 610-2016）</w:t>
      </w:r>
      <w:r>
        <w:rPr>
          <w:rFonts w:hint="eastAsia"/>
          <w:lang w:eastAsia="zh-CN"/>
        </w:rPr>
        <w:t>，</w:t>
      </w:r>
      <w:r>
        <w:rPr>
          <w:rFonts w:hint="eastAsia"/>
          <w:lang w:val="zh-CN"/>
        </w:rPr>
        <w:t>Ⅳ类建设项目</w:t>
      </w:r>
      <w:r>
        <w:rPr>
          <w:rFonts w:hint="eastAsia"/>
          <w:b/>
          <w:bCs/>
          <w:lang w:val="zh-CN"/>
        </w:rPr>
        <w:t>不开展地下水环境影响评价。</w:t>
      </w:r>
    </w:p>
    <w:p>
      <w:pPr>
        <w:pStyle w:val="6"/>
        <w:bidi w:val="0"/>
        <w:rPr>
          <w:rFonts w:hint="eastAsia"/>
          <w:lang w:val="en-US" w:eastAsia="zh-CN"/>
        </w:rPr>
      </w:pPr>
      <w:r>
        <w:rPr>
          <w:rFonts w:hint="eastAsia"/>
          <w:lang w:val="en-US" w:eastAsia="zh-CN"/>
        </w:rPr>
        <w:t>2.7.1.6 环境风险评价等级</w:t>
      </w:r>
    </w:p>
    <w:p>
      <w:pPr>
        <w:bidi w:val="0"/>
      </w:pPr>
      <w:r>
        <w:t>本项目生产涉及的原辅料及产品主要为煅后焦、氧化钙、硫酸钙（石膏）等，不涉及《危险化学品名录》（2015）中所列的危险化学品。同时，项目所使用的原辅料未列入</w:t>
      </w:r>
      <w:r>
        <w:rPr>
          <w:rFonts w:hint="eastAsia"/>
          <w:lang w:eastAsia="zh-CN"/>
        </w:rPr>
        <w:t>《建设项目环境风险评价技术导则</w:t>
      </w:r>
      <w:r>
        <w:t>》（</w:t>
      </w:r>
      <w:r>
        <w:rPr>
          <w:rFonts w:hint="eastAsia"/>
          <w:lang w:val="en-US" w:eastAsia="zh-CN"/>
        </w:rPr>
        <w:t>HJ169-2018</w:t>
      </w:r>
      <w:r>
        <w:t>）中有毒有害易燃易爆物质，也未列入《危险化学品重大危险源辨识》（GB18182-2009）中危险物质名单。</w:t>
      </w:r>
    </w:p>
    <w:p>
      <w:pPr>
        <w:bidi w:val="0"/>
      </w:pPr>
      <w:r>
        <w:t>本项目</w:t>
      </w:r>
      <w:r>
        <w:rPr>
          <w:rFonts w:hint="eastAsia"/>
          <w:lang w:eastAsia="zh-CN"/>
        </w:rPr>
        <w:t>埋弧电煅炉</w:t>
      </w:r>
      <w:r>
        <w:t>运行过程中产生的SO</w:t>
      </w:r>
      <w:r>
        <w:rPr>
          <w:vertAlign w:val="subscript"/>
        </w:rPr>
        <w:t>2</w:t>
      </w:r>
      <w:r>
        <w:t>作为毒性气体列入了</w:t>
      </w:r>
      <w:r>
        <w:rPr>
          <w:rFonts w:hint="eastAsia"/>
          <w:lang w:eastAsia="zh-CN"/>
        </w:rPr>
        <w:t>《建设项目环境风险评价技术导则</w:t>
      </w:r>
      <w:r>
        <w:t>》（</w:t>
      </w:r>
      <w:r>
        <w:rPr>
          <w:rFonts w:hint="eastAsia"/>
          <w:lang w:val="en-US" w:eastAsia="zh-CN"/>
        </w:rPr>
        <w:t>HJ169-2018</w:t>
      </w:r>
      <w:r>
        <w:t>）</w:t>
      </w:r>
      <w:r>
        <w:rPr>
          <w:rFonts w:hint="eastAsia"/>
          <w:lang w:eastAsia="zh-CN"/>
        </w:rPr>
        <w:t>附录</w:t>
      </w:r>
      <w:r>
        <w:rPr>
          <w:rFonts w:hint="eastAsia"/>
          <w:lang w:val="en-US" w:eastAsia="zh-CN"/>
        </w:rPr>
        <w:t>B的突发环境事件风险物质及临界量</w:t>
      </w:r>
      <w:r>
        <w:t>。</w:t>
      </w:r>
    </w:p>
    <w:p>
      <w:pPr>
        <w:pStyle w:val="27"/>
        <w:bidi w:val="0"/>
        <w:rPr>
          <w:rFonts w:hint="eastAsia"/>
        </w:rPr>
      </w:pPr>
      <w:r>
        <w:rPr>
          <w:rFonts w:hint="eastAsia"/>
        </w:rPr>
        <w:t>表</w:t>
      </w:r>
      <w:r>
        <w:rPr>
          <w:rFonts w:hint="eastAsia"/>
          <w:lang w:val="en-US" w:eastAsia="zh-CN"/>
        </w:rPr>
        <w:t>2.7.1-8</w:t>
      </w:r>
      <w:r>
        <w:rPr>
          <w:rFonts w:hint="eastAsia"/>
        </w:rPr>
        <w:t>主要原辅材料及产品的理化性质表</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1"/>
        <w:gridCol w:w="534"/>
        <w:gridCol w:w="825"/>
        <w:gridCol w:w="783"/>
        <w:gridCol w:w="783"/>
        <w:gridCol w:w="948"/>
        <w:gridCol w:w="896"/>
        <w:gridCol w:w="2526"/>
        <w:gridCol w:w="1275"/>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物质</w:t>
            </w:r>
          </w:p>
          <w:p>
            <w:pPr>
              <w:pStyle w:val="28"/>
              <w:suppressLineNumbers w:val="0"/>
              <w:bidi w:val="0"/>
              <w:spacing w:before="0" w:after="0"/>
              <w:ind w:left="0" w:right="0"/>
            </w:pPr>
            <w:r>
              <w:t>名称</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形态</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熔点(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沸点(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闪点(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比重g/cm</w:t>
            </w:r>
            <w:r>
              <w:rPr>
                <w:vertAlign w:val="superscript"/>
              </w:rPr>
              <w:t>3</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爆炸限V%</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急性毒性</w:t>
            </w:r>
          </w:p>
        </w:tc>
        <w:tc>
          <w:tcPr>
            <w:tcW w:w="1275"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危险特性</w:t>
            </w:r>
          </w:p>
        </w:tc>
        <w:tc>
          <w:tcPr>
            <w:tcW w:w="636"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eastAsia="宋体"/>
                <w:lang w:val="en-US" w:eastAsia="zh-CN"/>
              </w:rPr>
            </w:pPr>
            <w:r>
              <w:t>临界量</w:t>
            </w:r>
            <w:r>
              <w:rPr>
                <w:rFonts w:hint="eastAsia"/>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二氧化硫</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气态</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-75.5</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-10</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1.43</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val="en-US" w:eastAsia="zh-CN"/>
              </w:rPr>
            </w:pPr>
            <w:r>
              <w:t>LC</w:t>
            </w:r>
            <w:r>
              <w:rPr>
                <w:vertAlign w:val="subscript"/>
              </w:rPr>
              <w:t>50</w:t>
            </w:r>
            <w:r>
              <w:t>：6600mg/m</w:t>
            </w:r>
            <w:r>
              <w:rPr>
                <w:vertAlign w:val="superscript"/>
              </w:rPr>
              <w:t>3</w:t>
            </w:r>
            <w:r>
              <w:t>，1小时(大鼠吸入)</w:t>
            </w:r>
          </w:p>
        </w:tc>
        <w:tc>
          <w:tcPr>
            <w:tcW w:w="1275"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t>第</w:t>
            </w:r>
            <w:r>
              <w:rPr>
                <w:rFonts w:hint="eastAsia"/>
                <w:lang w:val="en-US" w:eastAsia="zh-CN"/>
              </w:rPr>
              <w:t>2.</w:t>
            </w:r>
            <w:r>
              <w:t>3</w:t>
            </w:r>
            <w:r>
              <w:rPr>
                <w:rFonts w:hint="eastAsia"/>
              </w:rPr>
              <w:t>类</w:t>
            </w:r>
            <w:r>
              <w:rPr>
                <w:rFonts w:hint="eastAsia"/>
                <w:lang w:eastAsia="zh-CN"/>
              </w:rPr>
              <w:t>有毒气体</w:t>
            </w:r>
          </w:p>
        </w:tc>
        <w:tc>
          <w:tcPr>
            <w:tcW w:w="636"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rPr>
            </w:pPr>
            <w:r>
              <w:rPr>
                <w:rFonts w:hint="eastAsia"/>
                <w:lang w:val="en-US" w:eastAsia="zh-CN"/>
              </w:rPr>
              <w:t>2.5</w:t>
            </w:r>
          </w:p>
        </w:tc>
      </w:tr>
    </w:tbl>
    <w:p>
      <w:pPr>
        <w:bidi w:val="0"/>
      </w:pPr>
      <w:r>
        <w:t>计算所涉及的每种危险物质在厂界内的最大存在总量与其在附录B中对应临界量的比值Q。在不同厂区的同一种物质，按其在厂界内的最大存在总量计算。</w:t>
      </w:r>
    </w:p>
    <w:p>
      <w:pPr>
        <w:bidi w:val="0"/>
      </w:pPr>
      <w:r>
        <w:t>当只涉及一种危险物质时，计算该物质的总量与其临界量比值，即为Q；</w:t>
      </w:r>
    </w:p>
    <w:p>
      <w:pPr>
        <w:bidi w:val="0"/>
      </w:pPr>
      <w:r>
        <w:t>当存在多种危险物质时，则下式计算物质总量与其临界量比值（Q）:</w:t>
      </w:r>
    </w:p>
    <w:p>
      <w:pPr>
        <w:tabs>
          <w:tab w:val="left" w:pos="720"/>
        </w:tabs>
        <w:snapToGrid w:val="0"/>
        <w:spacing w:line="500" w:lineRule="exact"/>
        <w:ind w:firstLine="480"/>
        <w:jc w:val="center"/>
        <w:rPr>
          <w:rFonts w:ascii="Times New Roman" w:hAnsi="Times New Roman" w:eastAsia="宋体"/>
          <w:sz w:val="28"/>
          <w:szCs w:val="28"/>
          <w:lang w:val="fr-FR" w:eastAsia="zh-TW"/>
        </w:rPr>
      </w:pPr>
      <w:r>
        <w:rPr>
          <w:rFonts w:ascii="Times New Roman" w:hAnsi="Times New Roman" w:eastAsia="宋体"/>
          <w:sz w:val="28"/>
          <w:szCs w:val="28"/>
          <w:lang w:val="fr-FR"/>
        </w:rPr>
        <w:t>Q=</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1</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1</w:t>
      </w:r>
      <w:r>
        <w:rPr>
          <w:rFonts w:ascii="Times New Roman" w:hAnsi="Times New Roman" w:eastAsia="宋体"/>
          <w:sz w:val="28"/>
          <w:szCs w:val="28"/>
          <w:lang w:val="fr-FR" w:eastAsia="zh-TW"/>
        </w:rPr>
        <w:t xml:space="preserve"> + q</w:t>
      </w:r>
      <w:r>
        <w:rPr>
          <w:rFonts w:ascii="Times New Roman" w:hAnsi="Times New Roman" w:eastAsia="宋体"/>
          <w:sz w:val="28"/>
          <w:szCs w:val="28"/>
          <w:vertAlign w:val="subscript"/>
          <w:lang w:val="fr-FR" w:eastAsia="zh-TW"/>
        </w:rPr>
        <w:t>2</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 xml:space="preserve">2 </w:t>
      </w:r>
      <w:r>
        <w:rPr>
          <w:rFonts w:ascii="Times New Roman" w:hAnsi="Times New Roman" w:eastAsia="宋体"/>
          <w:sz w:val="28"/>
          <w:szCs w:val="28"/>
          <w:lang w:val="fr-FR" w:eastAsia="zh-TW"/>
        </w:rPr>
        <w:t>…… + q</w:t>
      </w:r>
      <w:r>
        <w:rPr>
          <w:rFonts w:ascii="Times New Roman" w:hAnsi="Times New Roman" w:eastAsia="宋体"/>
          <w:sz w:val="28"/>
          <w:szCs w:val="28"/>
          <w:vertAlign w:val="subscript"/>
          <w:lang w:val="fr-FR" w:eastAsia="zh-TW"/>
        </w:rPr>
        <w:t>n</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n</w:t>
      </w:r>
      <w:r>
        <w:rPr>
          <w:rFonts w:ascii="Times New Roman" w:hAnsi="Times New Roman" w:eastAsia="宋体"/>
          <w:sz w:val="28"/>
          <w:szCs w:val="28"/>
          <w:lang w:val="fr-FR" w:eastAsia="zh-TW"/>
        </w:rPr>
        <w:t xml:space="preserve"> </w:t>
      </w:r>
    </w:p>
    <w:p>
      <w:pPr>
        <w:bidi w:val="0"/>
      </w:pPr>
      <w:r>
        <w:t>式中：</w:t>
      </w:r>
    </w:p>
    <w:p>
      <w:pPr>
        <w:bidi w:val="0"/>
      </w:pPr>
      <w:r>
        <w:t>q</w:t>
      </w:r>
      <w:r>
        <w:rPr>
          <w:vertAlign w:val="subscript"/>
        </w:rPr>
        <w:t>1</w:t>
      </w:r>
      <w:r>
        <w:t>、q</w:t>
      </w:r>
      <w:r>
        <w:rPr>
          <w:vertAlign w:val="subscript"/>
        </w:rPr>
        <w:t>2</w:t>
      </w:r>
      <w:r>
        <w:t>…q</w:t>
      </w:r>
      <w:r>
        <w:rPr>
          <w:vertAlign w:val="subscript"/>
        </w:rPr>
        <w:t>n</w:t>
      </w:r>
      <w:r>
        <w:t>—每种危险物质的最大存在量，t；</w:t>
      </w:r>
    </w:p>
    <w:p>
      <w:pPr>
        <w:bidi w:val="0"/>
      </w:pPr>
      <w:r>
        <w:t>Q</w:t>
      </w:r>
      <w:r>
        <w:rPr>
          <w:vertAlign w:val="subscript"/>
        </w:rPr>
        <w:t>1</w:t>
      </w:r>
      <w:r>
        <w:t>、Q</w:t>
      </w:r>
      <w:r>
        <w:rPr>
          <w:vertAlign w:val="subscript"/>
        </w:rPr>
        <w:t>2</w:t>
      </w:r>
      <w:r>
        <w:t>…Q</w:t>
      </w:r>
      <w:r>
        <w:rPr>
          <w:vertAlign w:val="subscript"/>
        </w:rPr>
        <w:t>n</w:t>
      </w:r>
      <w:r>
        <w:t>—与各危险物质相对应的临界量，t。</w:t>
      </w:r>
    </w:p>
    <w:p>
      <w:pPr>
        <w:bidi w:val="0"/>
      </w:pPr>
      <w:r>
        <w:t>当Q＜1时，该项目环境风险潜势为</w:t>
      </w:r>
      <w:r>
        <w:rPr>
          <w:rFonts w:hint="eastAsia"/>
        </w:rPr>
        <w:t>Ⅰ</w:t>
      </w:r>
      <w:r>
        <w:t>。</w:t>
      </w:r>
    </w:p>
    <w:p>
      <w:pPr>
        <w:bidi w:val="0"/>
      </w:pPr>
      <w:r>
        <w:t>当Q≥1时，将Q值划分为：</w:t>
      </w:r>
      <w:r>
        <w:rPr>
          <w:rFonts w:hint="eastAsia"/>
        </w:rPr>
        <w:t>⑴</w:t>
      </w:r>
      <w:r>
        <w:t>1≤Q＜10；</w:t>
      </w:r>
      <w:r>
        <w:rPr>
          <w:rFonts w:hint="eastAsia"/>
        </w:rPr>
        <w:t>⑵</w:t>
      </w:r>
      <w:r>
        <w:t>10≤Q＜100；</w:t>
      </w:r>
      <w:r>
        <w:rPr>
          <w:rFonts w:hint="eastAsia"/>
        </w:rPr>
        <w:t>⑶</w:t>
      </w:r>
      <w:r>
        <w:t>Q≥100。</w:t>
      </w:r>
    </w:p>
    <w:p>
      <w:pPr>
        <w:pStyle w:val="27"/>
        <w:bidi w:val="0"/>
      </w:pPr>
      <w:r>
        <w:t>表</w:t>
      </w:r>
      <w:r>
        <w:rPr>
          <w:rFonts w:hint="eastAsia"/>
          <w:lang w:val="en-US" w:eastAsia="zh-CN"/>
        </w:rPr>
        <w:t>2.7.1-9</w:t>
      </w:r>
      <w:r>
        <w:t xml:space="preserve"> 项目危险化学物品临界储存、使用量及重大危险源判别表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59"/>
        <w:gridCol w:w="2064"/>
        <w:gridCol w:w="2454"/>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pPr>
            <w:r>
              <w:t>物质名称</w:t>
            </w:r>
          </w:p>
        </w:tc>
        <w:tc>
          <w:tcPr>
            <w:tcW w:w="2064" w:type="dxa"/>
            <w:tcBorders>
              <w:tl2br w:val="nil"/>
              <w:tr2bl w:val="nil"/>
            </w:tcBorders>
            <w:noWrap w:val="0"/>
            <w:vAlign w:val="center"/>
          </w:tcPr>
          <w:p>
            <w:pPr>
              <w:pStyle w:val="28"/>
              <w:suppressLineNumbers w:val="0"/>
              <w:bidi w:val="0"/>
              <w:spacing w:before="0" w:after="0"/>
              <w:ind w:left="0" w:right="0"/>
            </w:pPr>
            <w:r>
              <w:t>最大储存量（t）</w:t>
            </w:r>
          </w:p>
        </w:tc>
        <w:tc>
          <w:tcPr>
            <w:tcW w:w="2454" w:type="dxa"/>
            <w:tcBorders>
              <w:tl2br w:val="nil"/>
              <w:tr2bl w:val="nil"/>
            </w:tcBorders>
            <w:noWrap w:val="0"/>
            <w:vAlign w:val="center"/>
          </w:tcPr>
          <w:p>
            <w:pPr>
              <w:pStyle w:val="28"/>
              <w:suppressLineNumbers w:val="0"/>
              <w:bidi w:val="0"/>
              <w:spacing w:before="0" w:after="0"/>
              <w:ind w:left="0" w:right="0"/>
            </w:pPr>
            <w:r>
              <w:t>临界量（t）</w:t>
            </w:r>
          </w:p>
        </w:tc>
        <w:tc>
          <w:tcPr>
            <w:tcW w:w="2269" w:type="dxa"/>
            <w:tcBorders>
              <w:tl2br w:val="nil"/>
              <w:tr2bl w:val="nil"/>
            </w:tcBorders>
            <w:noWrap w:val="0"/>
            <w:vAlign w:val="center"/>
          </w:tcPr>
          <w:p>
            <w:pPr>
              <w:pStyle w:val="28"/>
              <w:suppressLineNumbers w:val="0"/>
              <w:bidi w:val="0"/>
              <w:spacing w:before="0" w:after="0"/>
              <w:ind w:left="0" w:right="0"/>
            </w:pPr>
            <w: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二氧化硫</w:t>
            </w:r>
          </w:p>
        </w:tc>
        <w:tc>
          <w:tcPr>
            <w:tcW w:w="206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0.01</w:t>
            </w:r>
          </w:p>
        </w:tc>
        <w:tc>
          <w:tcPr>
            <w:tcW w:w="245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w:t>
            </w:r>
          </w:p>
        </w:tc>
        <w:tc>
          <w:tcPr>
            <w:tcW w:w="2269" w:type="dxa"/>
            <w:tcBorders>
              <w:tl2br w:val="nil"/>
              <w:tr2bl w:val="nil"/>
            </w:tcBorders>
            <w:noWrap w:val="0"/>
            <w:vAlign w:val="bottom"/>
          </w:tcPr>
          <w:p>
            <w:pPr>
              <w:pStyle w:val="28"/>
              <w:suppressLineNumbers w:val="0"/>
              <w:bidi w:val="0"/>
              <w:spacing w:before="0" w:after="0"/>
              <w:ind w:left="0" w:right="0"/>
              <w:rPr>
                <w:rFonts w:hint="default" w:eastAsia="宋体"/>
                <w:lang w:val="en-US" w:eastAsia="zh-CN"/>
              </w:rPr>
            </w:pPr>
            <w:r>
              <w:rPr>
                <w:rFonts w:hint="eastAsia"/>
                <w:lang w:val="en-US" w:eastAsia="zh-CN"/>
              </w:rPr>
              <w:t>0.00425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pPr>
            <w:r>
              <w:t>合计</w:t>
            </w:r>
          </w:p>
        </w:tc>
        <w:tc>
          <w:tcPr>
            <w:tcW w:w="2064" w:type="dxa"/>
            <w:tcBorders>
              <w:tl2br w:val="nil"/>
              <w:tr2bl w:val="nil"/>
            </w:tcBorders>
            <w:noWrap w:val="0"/>
            <w:vAlign w:val="center"/>
          </w:tcPr>
          <w:p>
            <w:pPr>
              <w:pStyle w:val="28"/>
              <w:suppressLineNumbers w:val="0"/>
              <w:bidi w:val="0"/>
              <w:spacing w:before="0" w:after="0"/>
              <w:ind w:left="0" w:right="0"/>
            </w:pPr>
            <w:r>
              <w:t>-</w:t>
            </w:r>
          </w:p>
        </w:tc>
        <w:tc>
          <w:tcPr>
            <w:tcW w:w="2454" w:type="dxa"/>
            <w:tcBorders>
              <w:tl2br w:val="nil"/>
              <w:tr2bl w:val="nil"/>
            </w:tcBorders>
            <w:noWrap w:val="0"/>
            <w:vAlign w:val="center"/>
          </w:tcPr>
          <w:p>
            <w:pPr>
              <w:pStyle w:val="28"/>
              <w:suppressLineNumbers w:val="0"/>
              <w:bidi w:val="0"/>
              <w:spacing w:before="0" w:after="0"/>
              <w:ind w:left="0" w:right="0"/>
            </w:pPr>
            <w:r>
              <w:t>-</w:t>
            </w:r>
          </w:p>
        </w:tc>
        <w:tc>
          <w:tcPr>
            <w:tcW w:w="2269" w:type="dxa"/>
            <w:tcBorders>
              <w:tl2br w:val="nil"/>
              <w:tr2bl w:val="nil"/>
            </w:tcBorders>
            <w:noWrap w:val="0"/>
            <w:vAlign w:val="bottom"/>
          </w:tcPr>
          <w:p>
            <w:pPr>
              <w:pStyle w:val="28"/>
              <w:suppressLineNumbers w:val="0"/>
              <w:bidi w:val="0"/>
              <w:spacing w:before="0" w:after="0"/>
              <w:ind w:left="0" w:right="0"/>
              <w:rPr>
                <w:rFonts w:hint="default" w:eastAsia="宋体"/>
                <w:lang w:val="en-US" w:eastAsia="zh-CN"/>
              </w:rPr>
            </w:pPr>
            <w:r>
              <w:rPr>
                <w:rFonts w:hint="eastAsia"/>
                <w:lang w:val="en-US" w:eastAsia="zh-CN"/>
              </w:rPr>
              <w:t>0.00425</w:t>
            </w:r>
          </w:p>
        </w:tc>
      </w:tr>
    </w:tbl>
    <w:p>
      <w:pPr>
        <w:widowControl/>
        <w:spacing w:line="500" w:lineRule="exact"/>
        <w:ind w:firstLine="561"/>
        <w:jc w:val="left"/>
        <w:rPr>
          <w:rFonts w:ascii="Times New Roman" w:hAnsi="Times New Roman" w:eastAsia="宋体"/>
          <w:sz w:val="24"/>
        </w:rPr>
      </w:pPr>
      <w:r>
        <w:rPr>
          <w:sz w:val="24"/>
        </w:rPr>
        <w:t>注：SO</w:t>
      </w:r>
      <w:r>
        <w:rPr>
          <w:sz w:val="24"/>
          <w:vertAlign w:val="subscript"/>
        </w:rPr>
        <w:t>2</w:t>
      </w:r>
      <w:r>
        <w:rPr>
          <w:sz w:val="24"/>
        </w:rPr>
        <w:t>装置区存量以系统10分钟的产生量</w:t>
      </w:r>
    </w:p>
    <w:p>
      <w:pPr>
        <w:bidi w:val="0"/>
      </w:pPr>
      <w:r>
        <w:t>由上述计算可知，本项目Q值为：Q＜</w:t>
      </w:r>
      <w:r>
        <w:rPr>
          <w:rFonts w:hint="eastAsia"/>
          <w:lang w:val="en-US" w:eastAsia="zh-CN"/>
        </w:rPr>
        <w:t>1，项目环境风险潜势为</w:t>
      </w:r>
      <w:r>
        <w:rPr>
          <w:rFonts w:hint="eastAsia"/>
          <w:lang w:val="en-US" w:eastAsia="zh-CN"/>
        </w:rPr>
        <w:fldChar w:fldCharType="begin"/>
      </w:r>
      <w:r>
        <w:rPr>
          <w:rFonts w:hint="eastAsia"/>
          <w:lang w:val="en-US" w:eastAsia="zh-CN"/>
        </w:rPr>
        <w:instrText xml:space="preserve"> = 1 \* ROMAN \* MERGEFORMAT </w:instrText>
      </w:r>
      <w:r>
        <w:rPr>
          <w:rFonts w:hint="eastAsia"/>
          <w:lang w:val="en-US" w:eastAsia="zh-CN"/>
        </w:rPr>
        <w:fldChar w:fldCharType="separate"/>
      </w:r>
      <w:r>
        <w:t>I</w:t>
      </w:r>
      <w:r>
        <w:rPr>
          <w:rFonts w:hint="eastAsia"/>
          <w:lang w:val="en-US" w:eastAsia="zh-CN"/>
        </w:rPr>
        <w:fldChar w:fldCharType="end"/>
      </w:r>
      <w:r>
        <w:t>。</w:t>
      </w:r>
    </w:p>
    <w:p>
      <w:pPr>
        <w:bidi w:val="0"/>
        <w:rPr>
          <w:rFonts w:hint="eastAsia"/>
          <w:lang w:val="en-US" w:eastAsia="zh-CN"/>
        </w:rPr>
      </w:pPr>
      <w:r>
        <w:rPr>
          <w:rFonts w:hint="eastAsia"/>
          <w:lang w:val="en-US" w:eastAsia="zh-CN"/>
        </w:rPr>
        <w:t>应对建设项目产生的风险进行</w:t>
      </w:r>
      <w:r>
        <w:rPr>
          <w:rFonts w:hint="eastAsia"/>
          <w:b/>
          <w:bCs/>
          <w:lang w:val="en-US" w:eastAsia="zh-CN"/>
        </w:rPr>
        <w:t>简单分析</w:t>
      </w:r>
      <w:r>
        <w:rPr>
          <w:rFonts w:hint="eastAsia"/>
          <w:lang w:val="en-US" w:eastAsia="zh-CN"/>
        </w:rPr>
        <w:t>，是相对于详细评价工作内容而言，在描述危险物质、环境影响途径、环境危害后果、风险防范措施等方面给出定性的说明。</w:t>
      </w:r>
    </w:p>
    <w:p>
      <w:pPr>
        <w:pStyle w:val="6"/>
        <w:bidi w:val="0"/>
        <w:rPr>
          <w:rFonts w:hint="eastAsia"/>
          <w:lang w:val="en-US" w:eastAsia="zh-CN"/>
        </w:rPr>
      </w:pPr>
      <w:r>
        <w:rPr>
          <w:rFonts w:hint="eastAsia"/>
          <w:lang w:val="en-US" w:eastAsia="zh-CN"/>
        </w:rPr>
        <w:t>2.7.1.7 生态评价等级</w:t>
      </w:r>
    </w:p>
    <w:p>
      <w:pPr>
        <w:bidi w:val="0"/>
        <w:rPr>
          <w:rFonts w:hint="default"/>
          <w:lang w:val="en-US" w:eastAsia="zh-CN"/>
        </w:rPr>
      </w:pPr>
      <w:r>
        <w:rPr>
          <w:rFonts w:hint="eastAsia"/>
          <w:lang w:eastAsia="zh-CN"/>
        </w:rPr>
        <w:t>本项目占地面积为</w:t>
      </w:r>
      <w:r>
        <w:rPr>
          <w:rFonts w:hint="eastAsia"/>
          <w:lang w:val="en-US" w:eastAsia="zh-CN"/>
        </w:rPr>
        <w:t>60亩(0.04km</w:t>
      </w:r>
      <w:r>
        <w:rPr>
          <w:rFonts w:hint="eastAsia"/>
          <w:vertAlign w:val="superscript"/>
          <w:lang w:val="en-US" w:eastAsia="zh-CN"/>
        </w:rPr>
        <w:t>2</w:t>
      </w:r>
      <w:r>
        <w:rPr>
          <w:rFonts w:hint="eastAsia"/>
          <w:lang w:val="en-US" w:eastAsia="zh-CN"/>
        </w:rPr>
        <w:t>），影响区域生态敏感性为一般区域，根据《</w:t>
      </w:r>
      <w:r>
        <w:rPr>
          <w:rFonts w:hint="eastAsia"/>
        </w:rPr>
        <w:t>环境影响评价技术导则 生态影响</w:t>
      </w:r>
      <w:r>
        <w:rPr>
          <w:rFonts w:hint="eastAsia"/>
          <w:lang w:val="en-US" w:eastAsia="zh-CN"/>
        </w:rPr>
        <w:t>》（HJ19-2011），项目生态评价等级为三级，详见下表。</w:t>
      </w:r>
    </w:p>
    <w:p>
      <w:pPr>
        <w:pStyle w:val="27"/>
        <w:bidi w:val="0"/>
      </w:pPr>
      <w:r>
        <w:t>表</w:t>
      </w:r>
      <w:r>
        <w:rPr>
          <w:rFonts w:hint="eastAsia"/>
          <w:lang w:val="en-US" w:eastAsia="zh-CN"/>
        </w:rPr>
        <w:t>2.7.1-10</w:t>
      </w:r>
      <w:r>
        <w:t xml:space="preserve"> </w:t>
      </w:r>
      <w:r>
        <w:rPr>
          <w:rFonts w:hint="eastAsia"/>
          <w:lang w:eastAsia="zh-CN"/>
        </w:rPr>
        <w:t>生态</w:t>
      </w:r>
      <w:r>
        <w:t>评价工作等级</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restart"/>
            <w:vAlign w:val="center"/>
          </w:tcPr>
          <w:p>
            <w:pPr>
              <w:pStyle w:val="28"/>
              <w:suppressLineNumbers w:val="0"/>
              <w:bidi w:val="0"/>
              <w:spacing w:before="0" w:after="0"/>
              <w:ind w:left="0" w:right="0"/>
              <w:jc w:val="center"/>
              <w:rPr>
                <w:rFonts w:hint="default"/>
              </w:rPr>
            </w:pPr>
            <w:r>
              <w:rPr>
                <w:rFonts w:hint="eastAsia"/>
              </w:rPr>
              <w:t>影响区域生态敏感性</w:t>
            </w:r>
          </w:p>
        </w:tc>
        <w:tc>
          <w:tcPr>
            <w:tcW w:w="7472" w:type="dxa"/>
            <w:gridSpan w:val="3"/>
            <w:vAlign w:val="center"/>
          </w:tcPr>
          <w:p>
            <w:pPr>
              <w:pStyle w:val="28"/>
              <w:suppressLineNumbers w:val="0"/>
              <w:bidi w:val="0"/>
              <w:spacing w:before="0" w:after="0"/>
              <w:ind w:left="0" w:right="0"/>
              <w:jc w:val="center"/>
              <w:rPr>
                <w:rFonts w:hint="default"/>
              </w:rPr>
            </w:pPr>
            <w:r>
              <w:rPr>
                <w:rFonts w:hint="eastAsia"/>
              </w:rPr>
              <w:t>工程占地（含水域）范围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Merge w:val="continue"/>
            <w:vAlign w:val="center"/>
          </w:tcPr>
          <w:p>
            <w:pPr>
              <w:pStyle w:val="28"/>
              <w:suppressLineNumbers w:val="0"/>
              <w:bidi w:val="0"/>
              <w:spacing w:before="0" w:after="0"/>
              <w:ind w:left="0" w:right="0"/>
              <w:jc w:val="center"/>
              <w:outlineLvl w:val="9"/>
              <w:rPr>
                <w:rFonts w:hint="default"/>
              </w:rPr>
            </w:pPr>
          </w:p>
        </w:tc>
        <w:tc>
          <w:tcPr>
            <w:tcW w:w="2490" w:type="dxa"/>
            <w:vAlign w:val="center"/>
          </w:tcPr>
          <w:p>
            <w:pPr>
              <w:pStyle w:val="28"/>
              <w:suppressLineNumbers w:val="0"/>
              <w:bidi w:val="0"/>
              <w:spacing w:before="0" w:after="0"/>
              <w:ind w:left="0" w:right="0"/>
              <w:jc w:val="center"/>
              <w:rPr>
                <w:rFonts w:hint="default"/>
              </w:rPr>
            </w:pPr>
            <w:r>
              <w:rPr>
                <w:rFonts w:hint="eastAsia"/>
              </w:rPr>
              <w:t>面积≥</w:t>
            </w:r>
            <w:r>
              <w:rPr>
                <w:rFonts w:hint="default"/>
              </w:rPr>
              <w:t>20 km</w:t>
            </w:r>
            <w:r>
              <w:rPr>
                <w:rFonts w:hint="default"/>
                <w:vertAlign w:val="superscript"/>
              </w:rPr>
              <w:t>2</w:t>
            </w:r>
          </w:p>
          <w:p>
            <w:pPr>
              <w:pStyle w:val="28"/>
              <w:suppressLineNumbers w:val="0"/>
              <w:bidi w:val="0"/>
              <w:spacing w:before="0" w:after="0"/>
              <w:ind w:left="0" w:right="0"/>
              <w:jc w:val="center"/>
              <w:rPr>
                <w:rFonts w:hint="default"/>
              </w:rPr>
            </w:pPr>
            <w:r>
              <w:rPr>
                <w:rFonts w:hint="eastAsia"/>
              </w:rPr>
              <w:t>或长度≥</w:t>
            </w:r>
            <w:r>
              <w:rPr>
                <w:rFonts w:hint="default"/>
              </w:rPr>
              <w:t>100 km</w:t>
            </w:r>
          </w:p>
        </w:tc>
        <w:tc>
          <w:tcPr>
            <w:tcW w:w="2491" w:type="dxa"/>
            <w:vAlign w:val="center"/>
          </w:tcPr>
          <w:p>
            <w:pPr>
              <w:pStyle w:val="28"/>
              <w:suppressLineNumbers w:val="0"/>
              <w:bidi w:val="0"/>
              <w:spacing w:before="0" w:after="0"/>
              <w:ind w:left="0" w:right="0"/>
              <w:jc w:val="center"/>
              <w:rPr>
                <w:rFonts w:hint="default"/>
              </w:rPr>
            </w:pPr>
            <w:r>
              <w:rPr>
                <w:rFonts w:hint="eastAsia"/>
              </w:rPr>
              <w:t>面积</w:t>
            </w:r>
            <w:r>
              <w:rPr>
                <w:rFonts w:hint="default"/>
              </w:rPr>
              <w:t>2</w:t>
            </w:r>
            <w:r>
              <w:rPr>
                <w:rFonts w:hint="eastAsia"/>
              </w:rPr>
              <w:t>～</w:t>
            </w:r>
            <w:r>
              <w:rPr>
                <w:rFonts w:hint="default"/>
              </w:rPr>
              <w:t>20 km</w:t>
            </w:r>
            <w:r>
              <w:rPr>
                <w:rFonts w:hint="default"/>
                <w:vertAlign w:val="superscript"/>
              </w:rPr>
              <w:t>2</w:t>
            </w:r>
          </w:p>
          <w:p>
            <w:pPr>
              <w:pStyle w:val="28"/>
              <w:suppressLineNumbers w:val="0"/>
              <w:bidi w:val="0"/>
              <w:spacing w:before="0" w:after="0"/>
              <w:ind w:left="0" w:right="0"/>
              <w:jc w:val="center"/>
              <w:rPr>
                <w:rFonts w:hint="default"/>
              </w:rPr>
            </w:pPr>
            <w:r>
              <w:rPr>
                <w:rFonts w:hint="eastAsia"/>
              </w:rPr>
              <w:t>或长度</w:t>
            </w:r>
            <w:r>
              <w:rPr>
                <w:rFonts w:hint="default"/>
              </w:rPr>
              <w:t>50</w:t>
            </w:r>
            <w:r>
              <w:rPr>
                <w:rFonts w:hint="eastAsia"/>
              </w:rPr>
              <w:t>～</w:t>
            </w:r>
            <w:r>
              <w:rPr>
                <w:rFonts w:hint="default"/>
              </w:rPr>
              <w:t>100 km</w:t>
            </w:r>
          </w:p>
        </w:tc>
        <w:tc>
          <w:tcPr>
            <w:tcW w:w="2491" w:type="dxa"/>
            <w:vAlign w:val="center"/>
          </w:tcPr>
          <w:p>
            <w:pPr>
              <w:pStyle w:val="28"/>
              <w:suppressLineNumbers w:val="0"/>
              <w:bidi w:val="0"/>
              <w:spacing w:before="0" w:after="0"/>
              <w:ind w:left="0" w:right="0"/>
              <w:jc w:val="center"/>
              <w:rPr>
                <w:rFonts w:hint="default"/>
              </w:rPr>
            </w:pPr>
            <w:r>
              <w:rPr>
                <w:rFonts w:hint="eastAsia"/>
              </w:rPr>
              <w:t>面积≤</w:t>
            </w:r>
            <w:r>
              <w:rPr>
                <w:rFonts w:hint="default"/>
              </w:rPr>
              <w:t>2 km</w:t>
            </w:r>
            <w:r>
              <w:rPr>
                <w:rFonts w:hint="default"/>
                <w:vertAlign w:val="superscript"/>
              </w:rPr>
              <w:t>2</w:t>
            </w:r>
          </w:p>
          <w:p>
            <w:pPr>
              <w:pStyle w:val="28"/>
              <w:suppressLineNumbers w:val="0"/>
              <w:bidi w:val="0"/>
              <w:spacing w:before="0" w:after="0"/>
              <w:ind w:left="0" w:right="0"/>
              <w:jc w:val="center"/>
              <w:rPr>
                <w:rFonts w:hint="default"/>
              </w:rPr>
            </w:pPr>
            <w:r>
              <w:rPr>
                <w:rFonts w:hint="eastAsia"/>
              </w:rPr>
              <w:t>或长度≤</w:t>
            </w:r>
            <w:r>
              <w:rPr>
                <w:rFonts w:hint="default"/>
              </w:rPr>
              <w:t>50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Align w:val="center"/>
          </w:tcPr>
          <w:p>
            <w:pPr>
              <w:pStyle w:val="28"/>
              <w:suppressLineNumbers w:val="0"/>
              <w:bidi w:val="0"/>
              <w:spacing w:before="0" w:after="0"/>
              <w:ind w:left="0" w:right="0"/>
              <w:jc w:val="center"/>
              <w:rPr>
                <w:rFonts w:hint="default"/>
              </w:rPr>
            </w:pPr>
            <w:r>
              <w:rPr>
                <w:rFonts w:hint="eastAsia"/>
              </w:rPr>
              <w:t>特殊生态敏感区</w:t>
            </w:r>
          </w:p>
        </w:tc>
        <w:tc>
          <w:tcPr>
            <w:tcW w:w="2490" w:type="dxa"/>
            <w:vAlign w:val="center"/>
          </w:tcPr>
          <w:p>
            <w:pPr>
              <w:pStyle w:val="28"/>
              <w:suppressLineNumbers w:val="0"/>
              <w:bidi w:val="0"/>
              <w:spacing w:before="0" w:after="0"/>
              <w:ind w:left="0" w:right="0"/>
              <w:jc w:val="center"/>
              <w:rPr>
                <w:rFonts w:hint="default"/>
              </w:rPr>
            </w:pPr>
            <w:r>
              <w:rPr>
                <w:rFonts w:hint="eastAsia"/>
              </w:rPr>
              <w:t>一级</w:t>
            </w:r>
          </w:p>
        </w:tc>
        <w:tc>
          <w:tcPr>
            <w:tcW w:w="2491" w:type="dxa"/>
            <w:vAlign w:val="center"/>
          </w:tcPr>
          <w:p>
            <w:pPr>
              <w:pStyle w:val="28"/>
              <w:suppressLineNumbers w:val="0"/>
              <w:bidi w:val="0"/>
              <w:spacing w:before="0" w:after="0"/>
              <w:ind w:left="0" w:right="0"/>
              <w:jc w:val="center"/>
              <w:rPr>
                <w:rFonts w:hint="default"/>
              </w:rPr>
            </w:pPr>
            <w:r>
              <w:rPr>
                <w:rFonts w:hint="eastAsia"/>
              </w:rPr>
              <w:t>一级</w:t>
            </w:r>
          </w:p>
        </w:tc>
        <w:tc>
          <w:tcPr>
            <w:tcW w:w="2491" w:type="dxa"/>
            <w:vAlign w:val="center"/>
          </w:tcPr>
          <w:p>
            <w:pPr>
              <w:pStyle w:val="28"/>
              <w:suppressLineNumbers w:val="0"/>
              <w:bidi w:val="0"/>
              <w:spacing w:before="0" w:after="0"/>
              <w:ind w:left="0" w:right="0"/>
              <w:jc w:val="center"/>
              <w:rPr>
                <w:rFonts w:hint="default"/>
              </w:rPr>
            </w:pPr>
            <w:r>
              <w:rPr>
                <w:rFonts w:hint="eastAsia"/>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490" w:type="dxa"/>
            <w:vAlign w:val="center"/>
          </w:tcPr>
          <w:p>
            <w:pPr>
              <w:pStyle w:val="28"/>
              <w:suppressLineNumbers w:val="0"/>
              <w:bidi w:val="0"/>
              <w:spacing w:before="0" w:after="0"/>
              <w:ind w:left="0" w:right="0"/>
              <w:jc w:val="center"/>
              <w:rPr>
                <w:rFonts w:hint="default"/>
              </w:rPr>
            </w:pPr>
            <w:r>
              <w:rPr>
                <w:rFonts w:hint="eastAsia"/>
              </w:rPr>
              <w:t>重要生态敏感区</w:t>
            </w:r>
          </w:p>
        </w:tc>
        <w:tc>
          <w:tcPr>
            <w:tcW w:w="2490" w:type="dxa"/>
            <w:vAlign w:val="center"/>
          </w:tcPr>
          <w:p>
            <w:pPr>
              <w:pStyle w:val="28"/>
              <w:suppressLineNumbers w:val="0"/>
              <w:bidi w:val="0"/>
              <w:spacing w:before="0" w:after="0"/>
              <w:ind w:left="0" w:right="0"/>
              <w:jc w:val="center"/>
              <w:rPr>
                <w:rFonts w:hint="default"/>
              </w:rPr>
            </w:pPr>
            <w:r>
              <w:rPr>
                <w:rFonts w:hint="eastAsia"/>
              </w:rPr>
              <w:t>一级</w:t>
            </w:r>
          </w:p>
        </w:tc>
        <w:tc>
          <w:tcPr>
            <w:tcW w:w="2491" w:type="dxa"/>
            <w:shd w:val="clear" w:color="auto" w:fill="FFFFFF" w:themeFill="background1"/>
            <w:vAlign w:val="center"/>
          </w:tcPr>
          <w:p>
            <w:pPr>
              <w:pStyle w:val="28"/>
              <w:suppressLineNumbers w:val="0"/>
              <w:bidi w:val="0"/>
              <w:spacing w:before="0" w:after="0"/>
              <w:ind w:left="0" w:right="0"/>
              <w:jc w:val="center"/>
              <w:rPr>
                <w:rFonts w:hint="default"/>
              </w:rPr>
            </w:pPr>
            <w:r>
              <w:rPr>
                <w:rFonts w:hint="eastAsia"/>
              </w:rPr>
              <w:t>二级</w:t>
            </w:r>
          </w:p>
        </w:tc>
        <w:tc>
          <w:tcPr>
            <w:tcW w:w="2491" w:type="dxa"/>
            <w:vAlign w:val="center"/>
          </w:tcPr>
          <w:p>
            <w:pPr>
              <w:pStyle w:val="28"/>
              <w:suppressLineNumbers w:val="0"/>
              <w:bidi w:val="0"/>
              <w:spacing w:before="0" w:after="0"/>
              <w:ind w:left="0" w:right="0"/>
              <w:jc w:val="center"/>
              <w:rPr>
                <w:rFonts w:hint="default"/>
              </w:rPr>
            </w:pPr>
            <w:r>
              <w:rPr>
                <w:rFonts w:hint="eastAsi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vAlign w:val="center"/>
          </w:tcPr>
          <w:p>
            <w:pPr>
              <w:pStyle w:val="28"/>
              <w:suppressLineNumbers w:val="0"/>
              <w:bidi w:val="0"/>
              <w:spacing w:before="0" w:after="0"/>
              <w:ind w:left="0" w:right="0"/>
              <w:jc w:val="center"/>
              <w:rPr>
                <w:rFonts w:hint="default"/>
              </w:rPr>
            </w:pPr>
            <w:r>
              <w:rPr>
                <w:rFonts w:hint="eastAsia"/>
              </w:rPr>
              <w:t>一般区域</w:t>
            </w:r>
          </w:p>
        </w:tc>
        <w:tc>
          <w:tcPr>
            <w:tcW w:w="2490" w:type="dxa"/>
            <w:vAlign w:val="center"/>
          </w:tcPr>
          <w:p>
            <w:pPr>
              <w:pStyle w:val="28"/>
              <w:suppressLineNumbers w:val="0"/>
              <w:bidi w:val="0"/>
              <w:spacing w:before="0" w:after="0"/>
              <w:ind w:left="0" w:right="0"/>
              <w:jc w:val="center"/>
              <w:rPr>
                <w:rFonts w:hint="default"/>
              </w:rPr>
            </w:pPr>
            <w:r>
              <w:rPr>
                <w:rFonts w:hint="eastAsia"/>
              </w:rPr>
              <w:t>二级</w:t>
            </w:r>
          </w:p>
        </w:tc>
        <w:tc>
          <w:tcPr>
            <w:tcW w:w="2491" w:type="dxa"/>
            <w:shd w:val="clear" w:color="auto" w:fill="FFFFFF" w:themeFill="background1"/>
            <w:vAlign w:val="center"/>
          </w:tcPr>
          <w:p>
            <w:pPr>
              <w:pStyle w:val="28"/>
              <w:suppressLineNumbers w:val="0"/>
              <w:bidi w:val="0"/>
              <w:spacing w:before="0" w:after="0"/>
              <w:ind w:left="0" w:right="0"/>
              <w:jc w:val="center"/>
              <w:rPr>
                <w:rFonts w:hint="default"/>
              </w:rPr>
            </w:pPr>
            <w:r>
              <w:rPr>
                <w:rFonts w:hint="eastAsia"/>
              </w:rPr>
              <w:t>三级</w:t>
            </w:r>
          </w:p>
        </w:tc>
        <w:tc>
          <w:tcPr>
            <w:tcW w:w="2491" w:type="dxa"/>
            <w:shd w:val="pct10" w:color="auto" w:fill="auto"/>
            <w:vAlign w:val="center"/>
          </w:tcPr>
          <w:p>
            <w:pPr>
              <w:pStyle w:val="28"/>
              <w:suppressLineNumbers w:val="0"/>
              <w:bidi w:val="0"/>
              <w:spacing w:before="0" w:after="0"/>
              <w:ind w:left="0" w:right="0"/>
              <w:jc w:val="center"/>
              <w:rPr>
                <w:rFonts w:hint="default"/>
              </w:rPr>
            </w:pPr>
            <w:r>
              <w:rPr>
                <w:rFonts w:hint="eastAsia"/>
              </w:rPr>
              <w:t>三级</w:t>
            </w:r>
          </w:p>
        </w:tc>
      </w:tr>
    </w:tbl>
    <w:p>
      <w:pPr>
        <w:pStyle w:val="5"/>
        <w:bidi w:val="0"/>
        <w:rPr>
          <w:rFonts w:hint="eastAsia"/>
          <w:lang w:val="en-US" w:eastAsia="zh-CN"/>
        </w:rPr>
      </w:pPr>
      <w:r>
        <w:rPr>
          <w:rFonts w:hint="eastAsia"/>
          <w:lang w:val="en-US" w:eastAsia="zh-CN"/>
        </w:rPr>
        <w:t>2.7.2 评价工作范围</w:t>
      </w:r>
    </w:p>
    <w:p>
      <w:pPr>
        <w:bidi w:val="0"/>
        <w:rPr>
          <w:rFonts w:hint="default"/>
        </w:rPr>
      </w:pPr>
      <w:r>
        <w:rPr>
          <w:rFonts w:hint="default"/>
        </w:rPr>
        <w:t>根据本项目污染物排放特点及当地气象条件、自然环境状况，确定各环境要素评价范围见表</w:t>
      </w:r>
      <w:r>
        <w:rPr>
          <w:rFonts w:hint="eastAsia"/>
          <w:lang w:val="en-US" w:eastAsia="zh-CN"/>
        </w:rPr>
        <w:t>2.7.2-1</w:t>
      </w:r>
      <w:r>
        <w:rPr>
          <w:rFonts w:hint="default"/>
        </w:rPr>
        <w:t>。</w:t>
      </w:r>
    </w:p>
    <w:p>
      <w:pPr>
        <w:pStyle w:val="27"/>
        <w:bidi w:val="0"/>
        <w:rPr>
          <w:rFonts w:hint="default"/>
        </w:rPr>
      </w:pPr>
      <w:r>
        <w:rPr>
          <w:rFonts w:hint="default"/>
        </w:rPr>
        <w:t>表</w:t>
      </w:r>
      <w:r>
        <w:rPr>
          <w:rFonts w:hint="eastAsia"/>
          <w:lang w:val="en-US" w:eastAsia="zh-CN"/>
        </w:rPr>
        <w:t>2.7.2-1</w:t>
      </w:r>
      <w:r>
        <w:rPr>
          <w:rFonts w:hint="default"/>
        </w:rPr>
        <w:t xml:space="preserve"> 评价范围表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8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评价内容</w:t>
            </w:r>
          </w:p>
        </w:tc>
        <w:tc>
          <w:tcPr>
            <w:tcW w:w="8425"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大气</w:t>
            </w:r>
          </w:p>
        </w:tc>
        <w:tc>
          <w:tcPr>
            <w:tcW w:w="8425" w:type="dxa"/>
          </w:tcPr>
          <w:p>
            <w:pPr>
              <w:pStyle w:val="28"/>
              <w:suppressLineNumbers w:val="0"/>
              <w:bidi w:val="0"/>
              <w:spacing w:before="0" w:after="0"/>
              <w:ind w:left="0" w:right="0"/>
              <w:rPr>
                <w:rFonts w:hint="default"/>
              </w:rPr>
            </w:pPr>
            <w:r>
              <w:rPr>
                <w:rFonts w:hint="eastAsia"/>
              </w:rPr>
              <w:t>以</w:t>
            </w:r>
            <w:r>
              <w:rPr>
                <w:rFonts w:hint="eastAsia"/>
                <w:lang w:eastAsia="zh-CN"/>
              </w:rPr>
              <w:t>排气筒</w:t>
            </w:r>
            <w:r>
              <w:rPr>
                <w:rFonts w:hint="eastAsia"/>
              </w:rPr>
              <w:t>为中心边长5km 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地表水</w:t>
            </w:r>
          </w:p>
        </w:tc>
        <w:tc>
          <w:tcPr>
            <w:tcW w:w="8425" w:type="dxa"/>
          </w:tcPr>
          <w:p>
            <w:pPr>
              <w:pStyle w:val="28"/>
              <w:suppressLineNumbers w:val="0"/>
              <w:bidi w:val="0"/>
              <w:spacing w:before="0" w:after="0"/>
              <w:ind w:left="0" w:right="0"/>
              <w:rPr>
                <w:rFonts w:hint="eastAsia" w:eastAsia="宋体"/>
                <w:lang w:eastAsia="zh-CN"/>
              </w:rPr>
            </w:pPr>
            <w:r>
              <w:rPr>
                <w:rFonts w:hint="eastAsia"/>
                <w:lang w:eastAsia="zh-CN"/>
              </w:rPr>
              <w:t>依托污水处理设施环境可行性分析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声环境</w:t>
            </w:r>
          </w:p>
        </w:tc>
        <w:tc>
          <w:tcPr>
            <w:tcW w:w="8425" w:type="dxa"/>
          </w:tcPr>
          <w:p>
            <w:pPr>
              <w:pStyle w:val="28"/>
              <w:suppressLineNumbers w:val="0"/>
              <w:bidi w:val="0"/>
              <w:spacing w:before="0" w:after="0"/>
              <w:ind w:left="0" w:right="0"/>
              <w:rPr>
                <w:rFonts w:hint="default" w:eastAsia="宋体"/>
                <w:lang w:val="en-US" w:eastAsia="zh-CN"/>
              </w:rPr>
            </w:pPr>
            <w:r>
              <w:rPr>
                <w:rFonts w:hint="eastAsia"/>
                <w:lang w:eastAsia="zh-CN"/>
              </w:rPr>
              <w:t>厂界外</w:t>
            </w:r>
            <w:r>
              <w:rPr>
                <w:rFonts w:hint="eastAsia"/>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土壤</w:t>
            </w:r>
          </w:p>
        </w:tc>
        <w:tc>
          <w:tcPr>
            <w:tcW w:w="8425"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eastAsia="宋体"/>
                <w:vertAlign w:val="baseline"/>
                <w:lang w:val="en-US" w:eastAsia="zh-CN"/>
              </w:rPr>
            </w:pPr>
            <w:r>
              <w:rPr>
                <w:rFonts w:hint="eastAsia"/>
                <w:vertAlign w:val="baseline"/>
                <w:lang w:eastAsia="zh-CN"/>
              </w:rPr>
              <w:t>占地范围内及占地范围外</w:t>
            </w:r>
            <w:r>
              <w:rPr>
                <w:rFonts w:hint="eastAsia"/>
                <w:vertAlign w:val="baseline"/>
                <w:lang w:val="en-US" w:eastAsia="zh-CN"/>
              </w:rPr>
              <w:t>0.05km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地下水</w:t>
            </w:r>
          </w:p>
        </w:tc>
        <w:tc>
          <w:tcPr>
            <w:tcW w:w="8425"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val="en-US" w:eastAsia="zh-CN"/>
              </w:rPr>
            </w:pPr>
            <w:r>
              <w:rPr>
                <w:rFonts w:hint="eastAsia"/>
                <w:vertAlign w:val="baseline"/>
                <w:lang w:val="en-US" w:eastAsia="zh-CN"/>
              </w:rPr>
              <w:t>厂区周围范围内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风险</w:t>
            </w:r>
          </w:p>
        </w:tc>
        <w:tc>
          <w:tcPr>
            <w:tcW w:w="8425"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7"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eastAsia="zh-CN"/>
              </w:rPr>
            </w:pPr>
            <w:r>
              <w:rPr>
                <w:rFonts w:hint="eastAsia"/>
                <w:vertAlign w:val="baseline"/>
                <w:lang w:eastAsia="zh-CN"/>
              </w:rPr>
              <w:t>生态</w:t>
            </w:r>
          </w:p>
        </w:tc>
        <w:tc>
          <w:tcPr>
            <w:tcW w:w="8425"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eastAsia="宋体"/>
                <w:vertAlign w:val="baseline"/>
                <w:lang w:val="en-US" w:eastAsia="zh-CN"/>
              </w:rPr>
            </w:pPr>
            <w:r>
              <w:rPr>
                <w:rFonts w:hint="default" w:ascii="宋体" w:hAnsi="宋体" w:eastAsia="宋体"/>
                <w:color w:val="000000"/>
                <w:sz w:val="21"/>
              </w:rPr>
              <w:t>东海县青湖镇工业集中区范围内</w:t>
            </w:r>
          </w:p>
        </w:tc>
      </w:tr>
    </w:tbl>
    <w:p>
      <w:pPr>
        <w:pStyle w:val="4"/>
        <w:bidi w:val="0"/>
        <w:rPr>
          <w:rFonts w:hint="eastAsia"/>
          <w:lang w:val="en-US" w:eastAsia="zh-CN"/>
        </w:rPr>
      </w:pPr>
      <w:bookmarkStart w:id="39" w:name="_Toc4496"/>
      <w:r>
        <w:rPr>
          <w:rFonts w:hint="eastAsia"/>
          <w:lang w:val="en-US" w:eastAsia="zh-CN"/>
        </w:rPr>
        <w:t>2.8 环境功能区划</w:t>
      </w:r>
      <w:bookmarkEnd w:id="39"/>
    </w:p>
    <w:p>
      <w:pPr>
        <w:bidi w:val="0"/>
        <w:rPr>
          <w:lang w:eastAsia="zh-CN"/>
        </w:rPr>
      </w:pPr>
      <w:r>
        <w:rPr>
          <w:rFonts w:hint="eastAsia"/>
          <w:lang w:eastAsia="zh-CN"/>
        </w:rPr>
        <w:t>（</w:t>
      </w:r>
      <w:r>
        <w:rPr>
          <w:lang w:eastAsia="zh-CN"/>
        </w:rPr>
        <w:t>1</w:t>
      </w:r>
      <w:r>
        <w:rPr>
          <w:rFonts w:hint="eastAsia"/>
          <w:lang w:eastAsia="zh-CN"/>
        </w:rPr>
        <w:t>）大气：根据东海县大气环境功能区划，本地区属二类区，环境空气中污染物执行《环境空气质量标准》</w:t>
      </w:r>
      <w:r>
        <w:rPr>
          <w:lang w:eastAsia="zh-CN"/>
        </w:rPr>
        <w:t>(GB3095-2012)</w:t>
      </w:r>
      <w:r>
        <w:rPr>
          <w:rFonts w:hint="eastAsia"/>
          <w:lang w:eastAsia="zh-CN"/>
        </w:rPr>
        <w:t>二级标准。</w:t>
      </w:r>
    </w:p>
    <w:p>
      <w:pPr>
        <w:bidi w:val="0"/>
        <w:rPr>
          <w:rFonts w:hint="eastAsia"/>
          <w:lang w:eastAsia="zh-CN"/>
        </w:rPr>
      </w:pPr>
      <w:r>
        <w:rPr>
          <w:rFonts w:hint="eastAsia"/>
          <w:lang w:eastAsia="zh-CN"/>
        </w:rPr>
        <w:t>（</w:t>
      </w:r>
      <w:r>
        <w:rPr>
          <w:lang w:eastAsia="zh-CN"/>
        </w:rPr>
        <w:t>2</w:t>
      </w:r>
      <w:r>
        <w:rPr>
          <w:rFonts w:hint="eastAsia"/>
          <w:lang w:eastAsia="zh-CN"/>
        </w:rPr>
        <w:t>）地表水：按《江苏省地表水（环境）功能区划》，乌龙河执行《地表水环境质量标准》（</w:t>
      </w:r>
      <w:r>
        <w:rPr>
          <w:lang w:eastAsia="zh-CN"/>
        </w:rPr>
        <w:t>GB3838-2002</w:t>
      </w:r>
      <w:r>
        <w:rPr>
          <w:rFonts w:hint="eastAsia"/>
          <w:lang w:eastAsia="zh-CN"/>
        </w:rPr>
        <w:t>）中的Ⅳ类水质标准、石安河、鲁兰河执行《地表水环境质量标准》（GB3838-2002）Ⅲ类标准。</w:t>
      </w:r>
    </w:p>
    <w:p>
      <w:pPr>
        <w:bidi w:val="0"/>
        <w:rPr>
          <w:lang w:eastAsia="zh-CN"/>
        </w:rPr>
      </w:pPr>
      <w:r>
        <w:rPr>
          <w:rFonts w:hint="eastAsia"/>
          <w:lang w:eastAsia="zh-CN"/>
        </w:rPr>
        <w:t>（</w:t>
      </w:r>
      <w:r>
        <w:rPr>
          <w:lang w:eastAsia="zh-CN"/>
        </w:rPr>
        <w:t>3</w:t>
      </w:r>
      <w:r>
        <w:rPr>
          <w:rFonts w:hint="eastAsia"/>
          <w:lang w:eastAsia="zh-CN"/>
        </w:rPr>
        <w:t>）噪声：执行《声环境质量标准》（</w:t>
      </w:r>
      <w:r>
        <w:rPr>
          <w:lang w:eastAsia="zh-CN"/>
        </w:rPr>
        <w:t>GB3096-2008</w:t>
      </w:r>
      <w:r>
        <w:rPr>
          <w:rFonts w:hint="eastAsia"/>
          <w:lang w:eastAsia="zh-CN"/>
        </w:rPr>
        <w:t>）中3类标准。</w:t>
      </w:r>
    </w:p>
    <w:p>
      <w:pPr>
        <w:bidi w:val="0"/>
        <w:rPr>
          <w:rFonts w:hint="eastAsia"/>
          <w:lang w:eastAsia="zh-CN"/>
        </w:rPr>
      </w:pPr>
      <w:r>
        <w:rPr>
          <w:rFonts w:hint="eastAsia"/>
          <w:lang w:eastAsia="zh-CN"/>
        </w:rPr>
        <w:t>（</w:t>
      </w:r>
      <w:r>
        <w:rPr>
          <w:lang w:eastAsia="zh-CN"/>
        </w:rPr>
        <w:t>4</w:t>
      </w:r>
      <w:r>
        <w:rPr>
          <w:rFonts w:hint="eastAsia"/>
          <w:lang w:eastAsia="zh-CN"/>
        </w:rPr>
        <w:t>）地下水：《地下水质量标准》（</w:t>
      </w:r>
      <w:r>
        <w:rPr>
          <w:lang w:eastAsia="zh-CN"/>
        </w:rPr>
        <w:t>GB/T14848-</w:t>
      </w:r>
      <w:r>
        <w:rPr>
          <w:rFonts w:hint="eastAsia"/>
          <w:lang w:val="en-US" w:eastAsia="zh-CN"/>
        </w:rPr>
        <w:t>2017</w:t>
      </w:r>
      <w:r>
        <w:rPr>
          <w:rFonts w:hint="eastAsia"/>
          <w:lang w:eastAsia="zh-CN"/>
        </w:rPr>
        <w:t>）。</w:t>
      </w:r>
    </w:p>
    <w:p>
      <w:pPr>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default"/>
        </w:rPr>
        <w:t>土壤环境：项目所在地土壤环境执行《土壤环境质量建设用地土壤污染风险管控标准》（GB36600-2018）表1</w:t>
      </w:r>
      <w:r>
        <w:rPr>
          <w:rFonts w:hint="eastAsia"/>
          <w:lang w:eastAsia="zh-CN"/>
        </w:rPr>
        <w:t>第二类用地筛选值。</w:t>
      </w:r>
    </w:p>
    <w:p>
      <w:pPr>
        <w:pStyle w:val="4"/>
        <w:bidi w:val="0"/>
        <w:rPr>
          <w:rFonts w:hint="eastAsia"/>
          <w:lang w:val="en-US" w:eastAsia="zh-CN"/>
        </w:rPr>
      </w:pPr>
      <w:bookmarkStart w:id="40" w:name="_Toc7142"/>
      <w:r>
        <w:rPr>
          <w:rFonts w:hint="eastAsia"/>
          <w:lang w:val="en-US" w:eastAsia="zh-CN"/>
        </w:rPr>
        <w:t>2.9区域规划概况</w:t>
      </w:r>
      <w:bookmarkEnd w:id="40"/>
    </w:p>
    <w:p>
      <w:pPr>
        <w:bidi w:val="0"/>
        <w:rPr>
          <w:rFonts w:hint="default" w:eastAsia="宋体"/>
          <w:lang w:val="en-US" w:eastAsia="zh-CN"/>
        </w:rPr>
      </w:pPr>
      <w:r>
        <w:rPr>
          <w:rFonts w:hint="default"/>
        </w:rPr>
        <w:t>东海县青湖镇工业集中区于2012年6月20日取得东海县人民政府关于对《东海经济开发区西区中小企业园和东海县青湖镇工业集中区控制性详细规划》的批复，东政复</w:t>
      </w:r>
      <w:r>
        <w:rPr>
          <w:rFonts w:hint="eastAsia"/>
          <w:lang w:val="en-US" w:eastAsia="zh-CN"/>
        </w:rPr>
        <w:t>[</w:t>
      </w:r>
      <w:r>
        <w:rPr>
          <w:rFonts w:hint="default"/>
        </w:rPr>
        <w:t>2012</w:t>
      </w:r>
      <w:r>
        <w:rPr>
          <w:rFonts w:hint="eastAsia"/>
          <w:lang w:val="en-US" w:eastAsia="zh-CN"/>
        </w:rPr>
        <w:t>]</w:t>
      </w:r>
      <w:r>
        <w:rPr>
          <w:rFonts w:hint="default"/>
        </w:rPr>
        <w:t>3号。</w:t>
      </w:r>
      <w:r>
        <w:rPr>
          <w:rFonts w:hint="eastAsia"/>
          <w:lang w:eastAsia="zh-CN"/>
        </w:rPr>
        <w:t>于</w:t>
      </w:r>
      <w:r>
        <w:rPr>
          <w:rFonts w:hint="eastAsia"/>
          <w:lang w:val="en-US" w:eastAsia="zh-CN"/>
        </w:rPr>
        <w:t>2015年6月5日取得东海县环境保护局</w:t>
      </w:r>
      <w:r>
        <w:rPr>
          <w:rFonts w:hint="eastAsia"/>
          <w:lang w:eastAsia="zh-CN"/>
        </w:rPr>
        <w:t>关于对《东海县青湖镇人民政府东海县青湖镇工业集中区控制性详细规划》环境影响报告书的审查意见，东环发</w:t>
      </w:r>
      <w:r>
        <w:rPr>
          <w:rFonts w:hint="eastAsia"/>
          <w:lang w:val="en-US" w:eastAsia="zh-CN"/>
        </w:rPr>
        <w:t>[2015]23号</w:t>
      </w:r>
      <w:r>
        <w:rPr>
          <w:rFonts w:hint="eastAsia"/>
          <w:lang w:eastAsia="zh-CN"/>
        </w:rPr>
        <w:t>。</w:t>
      </w:r>
    </w:p>
    <w:p>
      <w:pPr>
        <w:pStyle w:val="5"/>
        <w:bidi w:val="0"/>
        <w:rPr>
          <w:rFonts w:hint="eastAsia"/>
        </w:rPr>
      </w:pPr>
      <w:r>
        <w:rPr>
          <w:rFonts w:hint="eastAsia"/>
        </w:rPr>
        <w:t>2.</w:t>
      </w:r>
      <w:r>
        <w:rPr>
          <w:rFonts w:hint="eastAsia"/>
          <w:lang w:val="en-US" w:eastAsia="zh-CN"/>
        </w:rPr>
        <w:t>9</w:t>
      </w:r>
      <w:r>
        <w:rPr>
          <w:rFonts w:hint="eastAsia"/>
        </w:rPr>
        <w:t>.1产业、功能定位及规划目标</w:t>
      </w:r>
    </w:p>
    <w:p>
      <w:pPr>
        <w:bidi w:val="0"/>
        <w:rPr>
          <w:rFonts w:hint="eastAsia"/>
        </w:rPr>
      </w:pPr>
      <w:r>
        <w:rPr>
          <w:rFonts w:hint="eastAsia"/>
        </w:rPr>
        <w:t>（1）产业规划</w:t>
      </w:r>
    </w:p>
    <w:p>
      <w:pPr>
        <w:bidi w:val="0"/>
        <w:rPr>
          <w:rFonts w:hint="eastAsia"/>
        </w:rPr>
      </w:pPr>
      <w:r>
        <w:rPr>
          <w:rFonts w:hint="eastAsia"/>
        </w:rPr>
        <w:t>东海县青湖镇工业集中区主要发展</w:t>
      </w:r>
      <w:r>
        <w:rPr>
          <w:rFonts w:hint="eastAsia"/>
          <w:lang w:eastAsia="zh-CN"/>
        </w:rPr>
        <w:t>机械、轻工（农副产品加工业、家具制造业、塑料制品业、金属制轻工业产品制造、玩具制造）、电子、纺织服装、新材料、硅资源深加工与物流仓储等为主导产业</w:t>
      </w:r>
      <w:r>
        <w:rPr>
          <w:rFonts w:hint="eastAsia"/>
        </w:rPr>
        <w:t xml:space="preserve">。 </w:t>
      </w:r>
    </w:p>
    <w:p>
      <w:pPr>
        <w:bidi w:val="0"/>
        <w:rPr>
          <w:rFonts w:hint="eastAsia"/>
        </w:rPr>
      </w:pPr>
      <w:r>
        <w:rPr>
          <w:rFonts w:hint="eastAsia"/>
        </w:rPr>
        <w:t>（2）功能定位</w:t>
      </w:r>
    </w:p>
    <w:p>
      <w:pPr>
        <w:bidi w:val="0"/>
        <w:rPr>
          <w:rFonts w:hint="eastAsia"/>
        </w:rPr>
      </w:pPr>
      <w:r>
        <w:rPr>
          <w:rFonts w:hint="eastAsia"/>
        </w:rPr>
        <w:t>东海县青湖镇工业集中区将努力打造成创新能力强、科技含量高、集聚效应显著、生态环境良好、功能配套完善的产业积聚、转型先导区。</w:t>
      </w:r>
    </w:p>
    <w:p>
      <w:pPr>
        <w:bidi w:val="0"/>
        <w:rPr>
          <w:rFonts w:hint="eastAsia"/>
        </w:rPr>
      </w:pPr>
      <w:r>
        <w:rPr>
          <w:rFonts w:hint="eastAsia"/>
        </w:rPr>
        <w:t>（3）规划目标</w:t>
      </w:r>
    </w:p>
    <w:p>
      <w:pPr>
        <w:bidi w:val="0"/>
        <w:rPr>
          <w:rFonts w:hint="eastAsia"/>
        </w:rPr>
      </w:pPr>
      <w:r>
        <w:rPr>
          <w:rFonts w:hint="eastAsia"/>
        </w:rPr>
        <w:t>努力把工业集中区建设成为创新能力强、科技含量高、集聚效应显著、生态环境良好、功能配套完善的产业积聚、转型先导区。</w:t>
      </w:r>
    </w:p>
    <w:p>
      <w:pPr>
        <w:pStyle w:val="5"/>
        <w:bidi w:val="0"/>
        <w:rPr>
          <w:rFonts w:hint="eastAsia"/>
        </w:rPr>
      </w:pPr>
      <w:r>
        <w:rPr>
          <w:rFonts w:hint="eastAsia"/>
        </w:rPr>
        <w:t>2.</w:t>
      </w:r>
      <w:r>
        <w:rPr>
          <w:rFonts w:hint="eastAsia"/>
          <w:lang w:val="en-US" w:eastAsia="zh-CN"/>
        </w:rPr>
        <w:t>9</w:t>
      </w:r>
      <w:r>
        <w:rPr>
          <w:rFonts w:hint="eastAsia"/>
        </w:rPr>
        <w:t>.2规划范围及期限</w:t>
      </w:r>
    </w:p>
    <w:p>
      <w:pPr>
        <w:bidi w:val="0"/>
        <w:rPr>
          <w:rFonts w:hint="eastAsia"/>
        </w:rPr>
      </w:pPr>
      <w:r>
        <w:rPr>
          <w:rFonts w:hint="eastAsia"/>
        </w:rPr>
        <w:t>（1）规划范围</w:t>
      </w:r>
    </w:p>
    <w:p>
      <w:pPr>
        <w:bidi w:val="0"/>
        <w:rPr>
          <w:rFonts w:hint="eastAsia"/>
        </w:rPr>
      </w:pPr>
      <w:r>
        <w:rPr>
          <w:rFonts w:hint="eastAsia"/>
        </w:rPr>
        <w:t>东海县青湖镇工业集中区位于东海县青湖镇区南部，南起青湖中心小学南侧270米处，北至达威路，西至245省道，东至东丁旺村，总面积230.0公顷。</w:t>
      </w:r>
    </w:p>
    <w:p>
      <w:pPr>
        <w:bidi w:val="0"/>
        <w:rPr>
          <w:rFonts w:hint="eastAsia"/>
        </w:rPr>
      </w:pPr>
      <w:r>
        <w:rPr>
          <w:rFonts w:hint="eastAsia"/>
        </w:rPr>
        <w:t>（2）规划期限</w:t>
      </w:r>
    </w:p>
    <w:p>
      <w:pPr>
        <w:bidi w:val="0"/>
        <w:rPr>
          <w:rFonts w:hint="eastAsia"/>
        </w:rPr>
      </w:pPr>
      <w:r>
        <w:rPr>
          <w:rFonts w:hint="eastAsia"/>
        </w:rPr>
        <w:t xml:space="preserve">规划基准年为2012年，规划期限为2012年~2020年。 </w:t>
      </w:r>
    </w:p>
    <w:p>
      <w:pPr>
        <w:pStyle w:val="5"/>
        <w:bidi w:val="0"/>
        <w:rPr>
          <w:rFonts w:hint="eastAsia"/>
        </w:rPr>
      </w:pPr>
      <w:r>
        <w:rPr>
          <w:rFonts w:hint="eastAsia"/>
        </w:rPr>
        <w:t>2.</w:t>
      </w:r>
      <w:r>
        <w:rPr>
          <w:rFonts w:hint="eastAsia"/>
          <w:lang w:val="en-US" w:eastAsia="zh-CN"/>
        </w:rPr>
        <w:t>9</w:t>
      </w:r>
      <w:r>
        <w:rPr>
          <w:rFonts w:hint="eastAsia"/>
        </w:rPr>
        <w:t>.3规划结构</w:t>
      </w:r>
    </w:p>
    <w:p>
      <w:pPr>
        <w:bidi w:val="0"/>
        <w:rPr>
          <w:rFonts w:hint="eastAsia"/>
        </w:rPr>
      </w:pPr>
      <w:r>
        <w:rPr>
          <w:rFonts w:hint="eastAsia"/>
        </w:rPr>
        <w:t>总体布局结构为</w:t>
      </w:r>
      <w:r>
        <w:rPr>
          <w:rFonts w:hint="default"/>
        </w:rPr>
        <w:t>“</w:t>
      </w:r>
      <w:r>
        <w:rPr>
          <w:rFonts w:hint="eastAsia"/>
        </w:rPr>
        <w:t>一心三轴五片</w:t>
      </w:r>
      <w:r>
        <w:rPr>
          <w:rFonts w:hint="default"/>
        </w:rPr>
        <w:t>”</w:t>
      </w:r>
      <w:r>
        <w:rPr>
          <w:rFonts w:hint="eastAsia"/>
        </w:rPr>
        <w:t>，五片为商业服务区、标准厂房区、两个工业生产片区、居住片区。</w:t>
      </w:r>
    </w:p>
    <w:p>
      <w:pPr>
        <w:pStyle w:val="5"/>
        <w:bidi w:val="0"/>
        <w:rPr>
          <w:rFonts w:hint="eastAsia"/>
        </w:rPr>
      </w:pPr>
      <w:r>
        <w:rPr>
          <w:rFonts w:hint="eastAsia"/>
        </w:rPr>
        <w:t>2.</w:t>
      </w:r>
      <w:r>
        <w:rPr>
          <w:rFonts w:hint="eastAsia"/>
          <w:lang w:val="en-US" w:eastAsia="zh-CN"/>
        </w:rPr>
        <w:t>9</w:t>
      </w:r>
      <w:r>
        <w:rPr>
          <w:rFonts w:hint="eastAsia"/>
        </w:rPr>
        <w:t>.4用地布局</w:t>
      </w:r>
    </w:p>
    <w:p>
      <w:pPr>
        <w:bidi w:val="0"/>
        <w:rPr>
          <w:rFonts w:hint="eastAsia"/>
        </w:rPr>
      </w:pPr>
      <w:r>
        <w:rPr>
          <w:rFonts w:hint="eastAsia"/>
        </w:rPr>
        <w:t>工业园区规划用地见</w:t>
      </w:r>
      <w:r>
        <w:rPr>
          <w:rFonts w:hint="eastAsia"/>
          <w:lang w:eastAsia="zh-CN"/>
        </w:rPr>
        <w:t>附图</w:t>
      </w:r>
      <w:r>
        <w:rPr>
          <w:rFonts w:hint="eastAsia"/>
        </w:rPr>
        <w:t>。</w:t>
      </w:r>
    </w:p>
    <w:p>
      <w:pPr>
        <w:pStyle w:val="27"/>
        <w:bidi w:val="0"/>
        <w:rPr>
          <w:rFonts w:hint="eastAsia"/>
          <w:lang w:eastAsia="zh-CN"/>
        </w:rPr>
      </w:pPr>
      <w:r>
        <w:rPr>
          <w:lang w:eastAsia="zh-CN"/>
        </w:rPr>
        <w:t>表2.</w:t>
      </w:r>
      <w:r>
        <w:rPr>
          <w:rFonts w:hint="eastAsia"/>
          <w:lang w:val="en-US" w:eastAsia="zh-CN"/>
        </w:rPr>
        <w:t>9.4</w:t>
      </w:r>
      <w:r>
        <w:rPr>
          <w:lang w:eastAsia="zh-CN"/>
        </w:rPr>
        <w:t>-1  总体规划用地构成表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657"/>
        <w:gridCol w:w="809"/>
        <w:gridCol w:w="4095"/>
        <w:gridCol w:w="1466"/>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tcBorders>
              <w:tl2br w:val="nil"/>
              <w:tr2bl w:val="nil"/>
            </w:tcBorders>
            <w:noWrap w:val="0"/>
            <w:vAlign w:val="center"/>
          </w:tcPr>
          <w:p>
            <w:pPr>
              <w:pStyle w:val="28"/>
              <w:suppressLineNumbers w:val="0"/>
              <w:bidi w:val="0"/>
              <w:spacing w:before="0" w:after="0"/>
              <w:ind w:left="0" w:right="0"/>
            </w:pPr>
            <w:r>
              <w:t>序号</w:t>
            </w:r>
          </w:p>
        </w:tc>
        <w:tc>
          <w:tcPr>
            <w:tcW w:w="736" w:type="pct"/>
            <w:gridSpan w:val="2"/>
            <w:tcBorders>
              <w:tl2br w:val="nil"/>
              <w:tr2bl w:val="nil"/>
            </w:tcBorders>
            <w:noWrap w:val="0"/>
            <w:vAlign w:val="center"/>
          </w:tcPr>
          <w:p>
            <w:pPr>
              <w:pStyle w:val="28"/>
              <w:suppressLineNumbers w:val="0"/>
              <w:bidi w:val="0"/>
              <w:spacing w:before="0" w:after="0"/>
              <w:ind w:left="0" w:right="0"/>
            </w:pPr>
            <w:r>
              <w:t>用地代码</w:t>
            </w:r>
          </w:p>
        </w:tc>
        <w:tc>
          <w:tcPr>
            <w:tcW w:w="2054" w:type="pct"/>
            <w:tcBorders>
              <w:tl2br w:val="nil"/>
              <w:tr2bl w:val="nil"/>
            </w:tcBorders>
            <w:noWrap w:val="0"/>
            <w:vAlign w:val="center"/>
          </w:tcPr>
          <w:p>
            <w:pPr>
              <w:pStyle w:val="28"/>
              <w:suppressLineNumbers w:val="0"/>
              <w:bidi w:val="0"/>
              <w:spacing w:before="0" w:after="0"/>
              <w:ind w:left="0" w:right="0"/>
            </w:pPr>
            <w:r>
              <w:t>用地类别</w:t>
            </w:r>
          </w:p>
        </w:tc>
        <w:tc>
          <w:tcPr>
            <w:tcW w:w="736" w:type="pct"/>
            <w:tcBorders>
              <w:tl2br w:val="nil"/>
              <w:tr2bl w:val="nil"/>
            </w:tcBorders>
            <w:noWrap w:val="0"/>
            <w:vAlign w:val="center"/>
          </w:tcPr>
          <w:p>
            <w:pPr>
              <w:pStyle w:val="28"/>
              <w:suppressLineNumbers w:val="0"/>
              <w:bidi w:val="0"/>
              <w:spacing w:before="0" w:after="0"/>
              <w:ind w:left="0" w:right="0"/>
            </w:pPr>
            <w:r>
              <w:t>用地面积</w:t>
            </w:r>
          </w:p>
          <w:p>
            <w:pPr>
              <w:pStyle w:val="28"/>
              <w:suppressLineNumbers w:val="0"/>
              <w:bidi w:val="0"/>
              <w:spacing w:before="0" w:after="0"/>
              <w:ind w:left="0" w:right="0"/>
            </w:pPr>
            <w:r>
              <w:t>(ha)</w:t>
            </w:r>
          </w:p>
        </w:tc>
        <w:tc>
          <w:tcPr>
            <w:tcW w:w="1029" w:type="pct"/>
            <w:tcBorders>
              <w:tl2br w:val="nil"/>
              <w:tr2bl w:val="nil"/>
            </w:tcBorders>
            <w:noWrap w:val="0"/>
            <w:vAlign w:val="center"/>
          </w:tcPr>
          <w:p>
            <w:pPr>
              <w:pStyle w:val="28"/>
              <w:suppressLineNumbers w:val="0"/>
              <w:bidi w:val="0"/>
              <w:spacing w:before="0" w:after="0"/>
              <w:ind w:left="0" w:right="0"/>
            </w:pPr>
            <w:r>
              <w:t>占建设用地比</w:t>
            </w:r>
          </w:p>
          <w:p>
            <w:pPr>
              <w:pStyle w:val="28"/>
              <w:suppressLineNumbers w:val="0"/>
              <w:bidi w:val="0"/>
              <w:spacing w:before="0" w:after="0"/>
              <w:ind w:left="0" w:right="0"/>
            </w:pPr>
            <w:r>
              <w:t>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1</w:t>
            </w:r>
          </w:p>
        </w:tc>
        <w:tc>
          <w:tcPr>
            <w:tcW w:w="736" w:type="pct"/>
            <w:gridSpan w:val="2"/>
            <w:tcBorders>
              <w:tl2br w:val="nil"/>
              <w:tr2bl w:val="nil"/>
            </w:tcBorders>
            <w:noWrap w:val="0"/>
            <w:vAlign w:val="center"/>
          </w:tcPr>
          <w:p>
            <w:pPr>
              <w:pStyle w:val="28"/>
              <w:suppressLineNumbers w:val="0"/>
              <w:bidi w:val="0"/>
              <w:spacing w:before="0" w:after="0"/>
              <w:ind w:left="0" w:right="0"/>
            </w:pPr>
            <w:r>
              <w:t>R</w:t>
            </w:r>
          </w:p>
        </w:tc>
        <w:tc>
          <w:tcPr>
            <w:tcW w:w="2054" w:type="pct"/>
            <w:tcBorders>
              <w:tl2br w:val="nil"/>
              <w:tr2bl w:val="nil"/>
            </w:tcBorders>
            <w:noWrap w:val="0"/>
            <w:vAlign w:val="center"/>
          </w:tcPr>
          <w:p>
            <w:pPr>
              <w:pStyle w:val="28"/>
              <w:suppressLineNumbers w:val="0"/>
              <w:bidi w:val="0"/>
              <w:spacing w:before="0" w:after="0"/>
              <w:ind w:left="0" w:right="0"/>
            </w:pPr>
            <w:r>
              <w:t>居住用地</w:t>
            </w:r>
          </w:p>
        </w:tc>
        <w:tc>
          <w:tcPr>
            <w:tcW w:w="736" w:type="pct"/>
            <w:tcBorders>
              <w:tl2br w:val="nil"/>
              <w:tr2bl w:val="nil"/>
            </w:tcBorders>
            <w:noWrap w:val="0"/>
            <w:vAlign w:val="center"/>
          </w:tcPr>
          <w:p>
            <w:pPr>
              <w:pStyle w:val="28"/>
              <w:suppressLineNumbers w:val="0"/>
              <w:bidi w:val="0"/>
              <w:spacing w:before="0" w:after="0"/>
              <w:ind w:left="0" w:right="0"/>
            </w:pPr>
            <w:r>
              <w:t>20.09</w:t>
            </w:r>
          </w:p>
        </w:tc>
        <w:tc>
          <w:tcPr>
            <w:tcW w:w="1029" w:type="pct"/>
            <w:tcBorders>
              <w:tl2br w:val="nil"/>
              <w:tr2bl w:val="nil"/>
            </w:tcBorders>
            <w:noWrap w:val="0"/>
            <w:vAlign w:val="center"/>
          </w:tcPr>
          <w:p>
            <w:pPr>
              <w:pStyle w:val="28"/>
              <w:suppressLineNumbers w:val="0"/>
              <w:bidi w:val="0"/>
              <w:spacing w:before="0" w:after="0"/>
              <w:ind w:left="0" w:right="0"/>
            </w:pPr>
            <w:r>
              <w:t>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restart"/>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R2</w:t>
            </w:r>
          </w:p>
        </w:tc>
        <w:tc>
          <w:tcPr>
            <w:tcW w:w="2054" w:type="pct"/>
            <w:tcBorders>
              <w:tl2br w:val="nil"/>
              <w:tr2bl w:val="nil"/>
            </w:tcBorders>
            <w:noWrap w:val="0"/>
            <w:vAlign w:val="center"/>
          </w:tcPr>
          <w:p>
            <w:pPr>
              <w:pStyle w:val="28"/>
              <w:suppressLineNumbers w:val="0"/>
              <w:bidi w:val="0"/>
              <w:spacing w:before="0" w:after="0"/>
              <w:ind w:left="0" w:right="0"/>
            </w:pPr>
            <w:r>
              <w:t>二类居住用地</w:t>
            </w:r>
          </w:p>
        </w:tc>
        <w:tc>
          <w:tcPr>
            <w:tcW w:w="736" w:type="pct"/>
            <w:tcBorders>
              <w:tl2br w:val="nil"/>
              <w:tr2bl w:val="nil"/>
            </w:tcBorders>
            <w:noWrap w:val="0"/>
            <w:vAlign w:val="center"/>
          </w:tcPr>
          <w:p>
            <w:pPr>
              <w:pStyle w:val="28"/>
              <w:suppressLineNumbers w:val="0"/>
              <w:bidi w:val="0"/>
              <w:spacing w:before="0" w:after="0"/>
              <w:ind w:left="0" w:right="0"/>
            </w:pPr>
            <w:r>
              <w:t>14.66</w:t>
            </w:r>
          </w:p>
        </w:tc>
        <w:tc>
          <w:tcPr>
            <w:tcW w:w="1029" w:type="pct"/>
            <w:tcBorders>
              <w:tl2br w:val="nil"/>
              <w:tr2bl w:val="nil"/>
            </w:tcBorders>
            <w:noWrap w:val="0"/>
            <w:vAlign w:val="center"/>
          </w:tcPr>
          <w:p>
            <w:pPr>
              <w:pStyle w:val="28"/>
              <w:suppressLineNumbers w:val="0"/>
              <w:bidi w:val="0"/>
              <w:spacing w:before="0" w:after="0"/>
              <w:ind w:left="0" w:right="0"/>
            </w:pPr>
            <w: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Rb</w:t>
            </w:r>
          </w:p>
        </w:tc>
        <w:tc>
          <w:tcPr>
            <w:tcW w:w="2054" w:type="pct"/>
            <w:tcBorders>
              <w:tl2br w:val="nil"/>
              <w:tr2bl w:val="nil"/>
            </w:tcBorders>
            <w:noWrap w:val="0"/>
            <w:vAlign w:val="center"/>
          </w:tcPr>
          <w:p>
            <w:pPr>
              <w:pStyle w:val="28"/>
              <w:suppressLineNumbers w:val="0"/>
              <w:bidi w:val="0"/>
              <w:spacing w:before="0" w:after="0"/>
              <w:ind w:left="0" w:right="0"/>
            </w:pPr>
            <w:r>
              <w:t>商住混合用地</w:t>
            </w:r>
          </w:p>
        </w:tc>
        <w:tc>
          <w:tcPr>
            <w:tcW w:w="736" w:type="pct"/>
            <w:tcBorders>
              <w:tl2br w:val="nil"/>
              <w:tr2bl w:val="nil"/>
            </w:tcBorders>
            <w:noWrap w:val="0"/>
            <w:vAlign w:val="center"/>
          </w:tcPr>
          <w:p>
            <w:pPr>
              <w:pStyle w:val="28"/>
              <w:suppressLineNumbers w:val="0"/>
              <w:bidi w:val="0"/>
              <w:spacing w:before="0" w:after="0"/>
              <w:ind w:left="0" w:right="0"/>
            </w:pPr>
            <w:r>
              <w:t>5.43</w:t>
            </w:r>
          </w:p>
        </w:tc>
        <w:tc>
          <w:tcPr>
            <w:tcW w:w="1029" w:type="pct"/>
            <w:tcBorders>
              <w:tl2br w:val="nil"/>
              <w:tr2bl w:val="nil"/>
            </w:tcBorders>
            <w:noWrap w:val="0"/>
            <w:vAlign w:val="center"/>
          </w:tcPr>
          <w:p>
            <w:pPr>
              <w:pStyle w:val="28"/>
              <w:suppressLineNumbers w:val="0"/>
              <w:bidi w:val="0"/>
              <w:spacing w:before="0" w:after="0"/>
              <w:ind w:left="0" w:right="0"/>
            </w:pPr>
            <w: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2</w:t>
            </w:r>
          </w:p>
        </w:tc>
        <w:tc>
          <w:tcPr>
            <w:tcW w:w="736" w:type="pct"/>
            <w:gridSpan w:val="2"/>
            <w:tcBorders>
              <w:tl2br w:val="nil"/>
              <w:tr2bl w:val="nil"/>
            </w:tcBorders>
            <w:noWrap w:val="0"/>
            <w:vAlign w:val="center"/>
          </w:tcPr>
          <w:p>
            <w:pPr>
              <w:pStyle w:val="28"/>
              <w:suppressLineNumbers w:val="0"/>
              <w:bidi w:val="0"/>
              <w:spacing w:before="0" w:after="0"/>
              <w:ind w:left="0" w:right="0"/>
            </w:pPr>
            <w:r>
              <w:t>A</w:t>
            </w:r>
          </w:p>
        </w:tc>
        <w:tc>
          <w:tcPr>
            <w:tcW w:w="2054" w:type="pct"/>
            <w:tcBorders>
              <w:tl2br w:val="nil"/>
              <w:tr2bl w:val="nil"/>
            </w:tcBorders>
            <w:noWrap w:val="0"/>
            <w:vAlign w:val="center"/>
          </w:tcPr>
          <w:p>
            <w:pPr>
              <w:pStyle w:val="28"/>
              <w:suppressLineNumbers w:val="0"/>
              <w:bidi w:val="0"/>
              <w:spacing w:before="0" w:after="0"/>
              <w:ind w:left="0" w:right="0"/>
            </w:pPr>
            <w:r>
              <w:t>公共管理与公共服务设施用地</w:t>
            </w:r>
          </w:p>
        </w:tc>
        <w:tc>
          <w:tcPr>
            <w:tcW w:w="736" w:type="pct"/>
            <w:tcBorders>
              <w:tl2br w:val="nil"/>
              <w:tr2bl w:val="nil"/>
            </w:tcBorders>
            <w:noWrap w:val="0"/>
            <w:vAlign w:val="center"/>
          </w:tcPr>
          <w:p>
            <w:pPr>
              <w:pStyle w:val="28"/>
              <w:suppressLineNumbers w:val="0"/>
              <w:bidi w:val="0"/>
              <w:spacing w:before="0" w:after="0"/>
              <w:ind w:left="0" w:right="0"/>
            </w:pPr>
            <w:r>
              <w:t>3.10</w:t>
            </w:r>
          </w:p>
        </w:tc>
        <w:tc>
          <w:tcPr>
            <w:tcW w:w="1029" w:type="pct"/>
            <w:tcBorders>
              <w:tl2br w:val="nil"/>
              <w:tr2bl w:val="nil"/>
            </w:tcBorders>
            <w:noWrap w:val="0"/>
            <w:vAlign w:val="center"/>
          </w:tcPr>
          <w:p>
            <w:pPr>
              <w:pStyle w:val="28"/>
              <w:suppressLineNumbers w:val="0"/>
              <w:bidi w:val="0"/>
              <w:spacing w:before="0" w:after="0"/>
              <w:ind w:left="0" w:right="0"/>
            </w:pPr>
            <w: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A35</w:t>
            </w:r>
          </w:p>
        </w:tc>
        <w:tc>
          <w:tcPr>
            <w:tcW w:w="2054" w:type="pct"/>
            <w:tcBorders>
              <w:tl2br w:val="nil"/>
              <w:tr2bl w:val="nil"/>
            </w:tcBorders>
            <w:noWrap w:val="0"/>
            <w:vAlign w:val="center"/>
          </w:tcPr>
          <w:p>
            <w:pPr>
              <w:pStyle w:val="28"/>
              <w:suppressLineNumbers w:val="0"/>
              <w:bidi w:val="0"/>
              <w:spacing w:before="0" w:after="0"/>
              <w:ind w:left="0" w:right="0"/>
            </w:pPr>
            <w:r>
              <w:t>科研用地</w:t>
            </w:r>
          </w:p>
        </w:tc>
        <w:tc>
          <w:tcPr>
            <w:tcW w:w="736" w:type="pct"/>
            <w:tcBorders>
              <w:tl2br w:val="nil"/>
              <w:tr2bl w:val="nil"/>
            </w:tcBorders>
            <w:noWrap w:val="0"/>
            <w:vAlign w:val="center"/>
          </w:tcPr>
          <w:p>
            <w:pPr>
              <w:pStyle w:val="28"/>
              <w:suppressLineNumbers w:val="0"/>
              <w:bidi w:val="0"/>
              <w:spacing w:before="0" w:after="0"/>
              <w:ind w:left="0" w:right="0"/>
            </w:pPr>
            <w:r>
              <w:t>3.10</w:t>
            </w:r>
          </w:p>
        </w:tc>
        <w:tc>
          <w:tcPr>
            <w:tcW w:w="1029" w:type="pct"/>
            <w:tcBorders>
              <w:tl2br w:val="nil"/>
              <w:tr2bl w:val="nil"/>
            </w:tcBorders>
            <w:noWrap w:val="0"/>
            <w:vAlign w:val="center"/>
          </w:tcPr>
          <w:p>
            <w:pPr>
              <w:pStyle w:val="28"/>
              <w:suppressLineNumbers w:val="0"/>
              <w:bidi w:val="0"/>
              <w:spacing w:before="0" w:after="0"/>
              <w:ind w:left="0" w:right="0"/>
            </w:pPr>
            <w: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3</w:t>
            </w:r>
          </w:p>
        </w:tc>
        <w:tc>
          <w:tcPr>
            <w:tcW w:w="736" w:type="pct"/>
            <w:gridSpan w:val="2"/>
            <w:tcBorders>
              <w:tl2br w:val="nil"/>
              <w:tr2bl w:val="nil"/>
            </w:tcBorders>
            <w:noWrap w:val="0"/>
            <w:vAlign w:val="center"/>
          </w:tcPr>
          <w:p>
            <w:pPr>
              <w:pStyle w:val="28"/>
              <w:suppressLineNumbers w:val="0"/>
              <w:bidi w:val="0"/>
              <w:spacing w:before="0" w:after="0"/>
              <w:ind w:left="0" w:right="0"/>
            </w:pPr>
            <w:r>
              <w:t>B</w:t>
            </w:r>
          </w:p>
        </w:tc>
        <w:tc>
          <w:tcPr>
            <w:tcW w:w="2054" w:type="pct"/>
            <w:tcBorders>
              <w:tl2br w:val="nil"/>
              <w:tr2bl w:val="nil"/>
            </w:tcBorders>
            <w:noWrap w:val="0"/>
            <w:vAlign w:val="center"/>
          </w:tcPr>
          <w:p>
            <w:pPr>
              <w:pStyle w:val="28"/>
              <w:suppressLineNumbers w:val="0"/>
              <w:bidi w:val="0"/>
              <w:spacing w:before="0" w:after="0"/>
              <w:ind w:left="0" w:right="0"/>
            </w:pPr>
            <w:r>
              <w:t>商业服务业设施用地</w:t>
            </w:r>
          </w:p>
        </w:tc>
        <w:tc>
          <w:tcPr>
            <w:tcW w:w="736" w:type="pct"/>
            <w:tcBorders>
              <w:tl2br w:val="nil"/>
              <w:tr2bl w:val="nil"/>
            </w:tcBorders>
            <w:noWrap w:val="0"/>
            <w:vAlign w:val="center"/>
          </w:tcPr>
          <w:p>
            <w:pPr>
              <w:pStyle w:val="28"/>
              <w:suppressLineNumbers w:val="0"/>
              <w:bidi w:val="0"/>
              <w:spacing w:before="0" w:after="0"/>
              <w:ind w:left="0" w:right="0"/>
            </w:pPr>
            <w:r>
              <w:t>7.33</w:t>
            </w:r>
          </w:p>
        </w:tc>
        <w:tc>
          <w:tcPr>
            <w:tcW w:w="1029" w:type="pct"/>
            <w:tcBorders>
              <w:tl2br w:val="nil"/>
              <w:tr2bl w:val="nil"/>
            </w:tcBorders>
            <w:noWrap w:val="0"/>
            <w:vAlign w:val="center"/>
          </w:tcPr>
          <w:p>
            <w:pPr>
              <w:pStyle w:val="28"/>
              <w:suppressLineNumbers w:val="0"/>
              <w:bidi w:val="0"/>
              <w:spacing w:before="0" w:after="0"/>
              <w:ind w:left="0" w:right="0"/>
            </w:pPr>
            <w: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330" w:type="pct"/>
            <w:vMerge w:val="restart"/>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405" w:type="pct"/>
            <w:tcBorders>
              <w:tl2br w:val="nil"/>
              <w:tr2bl w:val="nil"/>
            </w:tcBorders>
            <w:shd w:val="clear" w:color="auto" w:fill="auto"/>
            <w:noWrap w:val="0"/>
            <w:vAlign w:val="center"/>
          </w:tcPr>
          <w:p>
            <w:pPr>
              <w:pStyle w:val="28"/>
              <w:suppressLineNumbers w:val="0"/>
              <w:bidi w:val="0"/>
              <w:spacing w:before="0" w:after="0"/>
              <w:ind w:left="0" w:right="0"/>
            </w:pPr>
            <w:r>
              <w:t>Ba</w:t>
            </w:r>
          </w:p>
        </w:tc>
        <w:tc>
          <w:tcPr>
            <w:tcW w:w="2054" w:type="pct"/>
            <w:tcBorders>
              <w:tl2br w:val="nil"/>
              <w:tr2bl w:val="nil"/>
            </w:tcBorders>
            <w:noWrap w:val="0"/>
            <w:vAlign w:val="center"/>
          </w:tcPr>
          <w:p>
            <w:pPr>
              <w:pStyle w:val="28"/>
              <w:suppressLineNumbers w:val="0"/>
              <w:bidi w:val="0"/>
              <w:spacing w:before="0" w:after="0"/>
              <w:ind w:left="0" w:right="0"/>
            </w:pPr>
            <w:r>
              <w:t>居住区级公共服务设施用地</w:t>
            </w:r>
          </w:p>
        </w:tc>
        <w:tc>
          <w:tcPr>
            <w:tcW w:w="736" w:type="pct"/>
            <w:tcBorders>
              <w:tl2br w:val="nil"/>
              <w:tr2bl w:val="nil"/>
            </w:tcBorders>
            <w:noWrap w:val="0"/>
            <w:vAlign w:val="center"/>
          </w:tcPr>
          <w:p>
            <w:pPr>
              <w:pStyle w:val="28"/>
              <w:suppressLineNumbers w:val="0"/>
              <w:bidi w:val="0"/>
              <w:spacing w:before="0" w:after="0"/>
              <w:ind w:left="0" w:right="0"/>
            </w:pPr>
            <w:r>
              <w:t>0.66</w:t>
            </w:r>
          </w:p>
        </w:tc>
        <w:tc>
          <w:tcPr>
            <w:tcW w:w="1029" w:type="pct"/>
            <w:tcBorders>
              <w:tl2br w:val="nil"/>
              <w:tr2bl w:val="nil"/>
            </w:tcBorders>
            <w:noWrap w:val="0"/>
            <w:vAlign w:val="center"/>
          </w:tcPr>
          <w:p>
            <w:pPr>
              <w:pStyle w:val="28"/>
              <w:suppressLineNumbers w:val="0"/>
              <w:bidi w:val="0"/>
              <w:spacing w:before="0" w:after="0"/>
              <w:ind w:left="0" w:right="0"/>
            </w:pPr>
            <w: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405" w:type="pct"/>
            <w:tcBorders>
              <w:tl2br w:val="nil"/>
              <w:tr2bl w:val="nil"/>
            </w:tcBorders>
            <w:shd w:val="clear" w:color="auto" w:fill="auto"/>
            <w:noWrap w:val="0"/>
            <w:vAlign w:val="center"/>
          </w:tcPr>
          <w:p>
            <w:pPr>
              <w:pStyle w:val="28"/>
              <w:suppressLineNumbers w:val="0"/>
              <w:bidi w:val="0"/>
              <w:spacing w:before="0" w:after="0"/>
              <w:ind w:left="0" w:right="0"/>
            </w:pPr>
            <w:r>
              <w:t>B1</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商业设施用地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3.90</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405" w:type="pct"/>
            <w:tcBorders>
              <w:tl2br w:val="nil"/>
              <w:tr2bl w:val="nil"/>
            </w:tcBorders>
            <w:shd w:val="clear" w:color="auto" w:fill="auto"/>
            <w:noWrap w:val="0"/>
            <w:vAlign w:val="center"/>
          </w:tcPr>
          <w:p>
            <w:pPr>
              <w:pStyle w:val="28"/>
              <w:suppressLineNumbers w:val="0"/>
              <w:bidi w:val="0"/>
              <w:spacing w:before="0" w:after="0"/>
              <w:ind w:left="0" w:right="0"/>
            </w:pPr>
            <w:r>
              <w:t>B2</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商务设施用地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2.31</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405" w:type="pct"/>
            <w:tcBorders>
              <w:tl2br w:val="nil"/>
              <w:tr2bl w:val="nil"/>
            </w:tcBorders>
            <w:shd w:val="clear" w:color="auto" w:fill="auto"/>
            <w:noWrap w:val="0"/>
            <w:vAlign w:val="center"/>
          </w:tcPr>
          <w:p>
            <w:pPr>
              <w:pStyle w:val="28"/>
              <w:suppressLineNumbers w:val="0"/>
              <w:bidi w:val="0"/>
              <w:spacing w:before="0" w:after="0"/>
              <w:ind w:left="0" w:right="0"/>
            </w:pPr>
            <w:r>
              <w:t>B41</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加油站营业网点用地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0.46</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4</w:t>
            </w:r>
          </w:p>
        </w:tc>
        <w:tc>
          <w:tcPr>
            <w:tcW w:w="736" w:type="pct"/>
            <w:gridSpan w:val="2"/>
            <w:tcBorders>
              <w:tl2br w:val="nil"/>
              <w:tr2bl w:val="nil"/>
            </w:tcBorders>
            <w:noWrap w:val="0"/>
            <w:vAlign w:val="center"/>
          </w:tcPr>
          <w:p>
            <w:pPr>
              <w:pStyle w:val="28"/>
              <w:suppressLineNumbers w:val="0"/>
              <w:bidi w:val="0"/>
              <w:spacing w:before="0" w:after="0"/>
              <w:ind w:left="0" w:right="0"/>
            </w:pPr>
            <w:r>
              <w:t>M</w:t>
            </w:r>
          </w:p>
        </w:tc>
        <w:tc>
          <w:tcPr>
            <w:tcW w:w="2054" w:type="pct"/>
            <w:tcBorders>
              <w:tl2br w:val="nil"/>
              <w:tr2bl w:val="nil"/>
            </w:tcBorders>
            <w:noWrap w:val="0"/>
            <w:vAlign w:val="center"/>
          </w:tcPr>
          <w:p>
            <w:pPr>
              <w:pStyle w:val="28"/>
              <w:suppressLineNumbers w:val="0"/>
              <w:bidi w:val="0"/>
              <w:spacing w:before="0" w:after="0"/>
              <w:ind w:left="0" w:right="0"/>
            </w:pPr>
            <w:r>
              <w:t>工业用地</w:t>
            </w:r>
          </w:p>
        </w:tc>
        <w:tc>
          <w:tcPr>
            <w:tcW w:w="736" w:type="pct"/>
            <w:tcBorders>
              <w:tl2br w:val="nil"/>
              <w:tr2bl w:val="nil"/>
            </w:tcBorders>
            <w:noWrap w:val="0"/>
            <w:vAlign w:val="center"/>
          </w:tcPr>
          <w:p>
            <w:pPr>
              <w:pStyle w:val="28"/>
              <w:suppressLineNumbers w:val="0"/>
              <w:bidi w:val="0"/>
              <w:spacing w:before="0" w:after="0"/>
              <w:ind w:left="0" w:right="0"/>
            </w:pPr>
            <w:r>
              <w:t>134.01</w:t>
            </w:r>
          </w:p>
        </w:tc>
        <w:tc>
          <w:tcPr>
            <w:tcW w:w="1029" w:type="pct"/>
            <w:tcBorders>
              <w:tl2br w:val="nil"/>
              <w:tr2bl w:val="nil"/>
            </w:tcBorders>
            <w:noWrap w:val="0"/>
            <w:vAlign w:val="center"/>
          </w:tcPr>
          <w:p>
            <w:pPr>
              <w:pStyle w:val="28"/>
              <w:suppressLineNumbers w:val="0"/>
              <w:bidi w:val="0"/>
              <w:spacing w:before="0" w:after="0"/>
              <w:ind w:left="0" w:right="0"/>
            </w:pPr>
            <w:r>
              <w:t>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restart"/>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M1</w:t>
            </w:r>
          </w:p>
        </w:tc>
        <w:tc>
          <w:tcPr>
            <w:tcW w:w="2054" w:type="pct"/>
            <w:tcBorders>
              <w:tl2br w:val="nil"/>
              <w:tr2bl w:val="nil"/>
            </w:tcBorders>
            <w:noWrap w:val="0"/>
            <w:vAlign w:val="center"/>
          </w:tcPr>
          <w:p>
            <w:pPr>
              <w:pStyle w:val="28"/>
              <w:suppressLineNumbers w:val="0"/>
              <w:bidi w:val="0"/>
              <w:spacing w:before="0" w:after="0"/>
              <w:ind w:left="0" w:right="0"/>
            </w:pPr>
            <w:r>
              <w:t>一类工业用地</w:t>
            </w:r>
          </w:p>
        </w:tc>
        <w:tc>
          <w:tcPr>
            <w:tcW w:w="736" w:type="pct"/>
            <w:tcBorders>
              <w:tl2br w:val="nil"/>
              <w:tr2bl w:val="nil"/>
            </w:tcBorders>
            <w:noWrap w:val="0"/>
            <w:vAlign w:val="center"/>
          </w:tcPr>
          <w:p>
            <w:pPr>
              <w:pStyle w:val="28"/>
              <w:suppressLineNumbers w:val="0"/>
              <w:bidi w:val="0"/>
              <w:spacing w:before="0" w:after="0"/>
              <w:ind w:left="0" w:right="0"/>
            </w:pPr>
            <w:r>
              <w:t>100.31</w:t>
            </w:r>
          </w:p>
        </w:tc>
        <w:tc>
          <w:tcPr>
            <w:tcW w:w="1029" w:type="pct"/>
            <w:tcBorders>
              <w:tl2br w:val="nil"/>
              <w:tr2bl w:val="nil"/>
            </w:tcBorders>
            <w:noWrap w:val="0"/>
            <w:vAlign w:val="center"/>
          </w:tcPr>
          <w:p>
            <w:pPr>
              <w:pStyle w:val="28"/>
              <w:suppressLineNumbers w:val="0"/>
              <w:bidi w:val="0"/>
              <w:spacing w:before="0" w:after="0"/>
              <w:ind w:left="0" w:right="0"/>
            </w:pPr>
            <w: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M2</w:t>
            </w:r>
          </w:p>
        </w:tc>
        <w:tc>
          <w:tcPr>
            <w:tcW w:w="2054" w:type="pct"/>
            <w:tcBorders>
              <w:tl2br w:val="nil"/>
              <w:tr2bl w:val="nil"/>
            </w:tcBorders>
            <w:noWrap w:val="0"/>
            <w:vAlign w:val="center"/>
          </w:tcPr>
          <w:p>
            <w:pPr>
              <w:pStyle w:val="28"/>
              <w:suppressLineNumbers w:val="0"/>
              <w:bidi w:val="0"/>
              <w:spacing w:before="0" w:after="0"/>
              <w:ind w:left="0" w:right="0"/>
            </w:pPr>
            <w:r>
              <w:t>二类工业用地</w:t>
            </w:r>
          </w:p>
        </w:tc>
        <w:tc>
          <w:tcPr>
            <w:tcW w:w="736" w:type="pct"/>
            <w:tcBorders>
              <w:tl2br w:val="nil"/>
              <w:tr2bl w:val="nil"/>
            </w:tcBorders>
            <w:noWrap w:val="0"/>
            <w:vAlign w:val="center"/>
          </w:tcPr>
          <w:p>
            <w:pPr>
              <w:pStyle w:val="28"/>
              <w:suppressLineNumbers w:val="0"/>
              <w:bidi w:val="0"/>
              <w:spacing w:before="0" w:after="0"/>
              <w:ind w:left="0" w:right="0"/>
            </w:pPr>
            <w:r>
              <w:t>33.70</w:t>
            </w:r>
          </w:p>
        </w:tc>
        <w:tc>
          <w:tcPr>
            <w:tcW w:w="1029" w:type="pct"/>
            <w:tcBorders>
              <w:tl2br w:val="nil"/>
              <w:tr2bl w:val="nil"/>
            </w:tcBorders>
            <w:noWrap w:val="0"/>
            <w:vAlign w:val="center"/>
          </w:tcPr>
          <w:p>
            <w:pPr>
              <w:pStyle w:val="28"/>
              <w:suppressLineNumbers w:val="0"/>
              <w:bidi w:val="0"/>
              <w:spacing w:before="0" w:after="0"/>
              <w:ind w:left="0" w:right="0"/>
            </w:pPr>
            <w:r>
              <w:t>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3" w:type="pct"/>
            <w:tcBorders>
              <w:tl2br w:val="nil"/>
              <w:tr2bl w:val="nil"/>
            </w:tcBorders>
            <w:noWrap w:val="0"/>
            <w:vAlign w:val="center"/>
          </w:tcPr>
          <w:p>
            <w:pPr>
              <w:pStyle w:val="28"/>
              <w:suppressLineNumbers w:val="0"/>
              <w:bidi w:val="0"/>
              <w:spacing w:before="0" w:after="0"/>
              <w:ind w:left="0" w:right="0"/>
            </w:pPr>
            <w:r>
              <w:t>5</w:t>
            </w:r>
          </w:p>
        </w:tc>
        <w:tc>
          <w:tcPr>
            <w:tcW w:w="736" w:type="pct"/>
            <w:gridSpan w:val="2"/>
            <w:tcBorders>
              <w:tl2br w:val="nil"/>
              <w:tr2bl w:val="nil"/>
            </w:tcBorders>
            <w:noWrap w:val="0"/>
            <w:vAlign w:val="center"/>
          </w:tcPr>
          <w:p>
            <w:pPr>
              <w:pStyle w:val="28"/>
              <w:suppressLineNumbers w:val="0"/>
              <w:bidi w:val="0"/>
              <w:spacing w:before="0" w:after="0"/>
              <w:ind w:left="0" w:right="0"/>
            </w:pPr>
            <w:r>
              <w:t>W</w:t>
            </w:r>
          </w:p>
        </w:tc>
        <w:tc>
          <w:tcPr>
            <w:tcW w:w="2054" w:type="pct"/>
            <w:tcBorders>
              <w:tl2br w:val="nil"/>
              <w:tr2bl w:val="nil"/>
            </w:tcBorders>
            <w:noWrap w:val="0"/>
            <w:vAlign w:val="center"/>
          </w:tcPr>
          <w:p>
            <w:pPr>
              <w:pStyle w:val="28"/>
              <w:suppressLineNumbers w:val="0"/>
              <w:bidi w:val="0"/>
              <w:spacing w:before="0" w:after="0"/>
              <w:ind w:left="0" w:right="0"/>
            </w:pPr>
            <w:r>
              <w:t>物流仓储用地</w:t>
            </w:r>
          </w:p>
        </w:tc>
        <w:tc>
          <w:tcPr>
            <w:tcW w:w="736" w:type="pct"/>
            <w:tcBorders>
              <w:tl2br w:val="nil"/>
              <w:tr2bl w:val="nil"/>
            </w:tcBorders>
            <w:noWrap w:val="0"/>
            <w:vAlign w:val="center"/>
          </w:tcPr>
          <w:p>
            <w:pPr>
              <w:pStyle w:val="28"/>
              <w:suppressLineNumbers w:val="0"/>
              <w:bidi w:val="0"/>
              <w:spacing w:before="0" w:after="0"/>
              <w:ind w:left="0" w:right="0"/>
            </w:pPr>
            <w:r>
              <w:t>3.06</w:t>
            </w:r>
          </w:p>
        </w:tc>
        <w:tc>
          <w:tcPr>
            <w:tcW w:w="1029" w:type="pct"/>
            <w:tcBorders>
              <w:tl2br w:val="nil"/>
              <w:tr2bl w:val="nil"/>
            </w:tcBorders>
            <w:noWrap w:val="0"/>
            <w:vAlign w:val="center"/>
          </w:tcPr>
          <w:p>
            <w:pPr>
              <w:pStyle w:val="28"/>
              <w:suppressLineNumbers w:val="0"/>
              <w:bidi w:val="0"/>
              <w:spacing w:before="0" w:after="0"/>
              <w:ind w:left="0" w:right="0"/>
            </w:pPr>
            <w: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43" w:type="pct"/>
            <w:tcBorders>
              <w:tl2br w:val="nil"/>
              <w:tr2bl w:val="nil"/>
            </w:tcBorders>
            <w:shd w:val="clear" w:color="auto" w:fill="auto"/>
            <w:noWrap w:val="0"/>
            <w:vAlign w:val="center"/>
          </w:tcPr>
          <w:p>
            <w:pPr>
              <w:pStyle w:val="28"/>
              <w:suppressLineNumbers w:val="0"/>
              <w:bidi w:val="0"/>
              <w:spacing w:before="0" w:after="0"/>
              <w:ind w:left="0" w:right="0"/>
            </w:pPr>
            <w:r>
              <w:t>6</w:t>
            </w:r>
          </w:p>
        </w:tc>
        <w:tc>
          <w:tcPr>
            <w:tcW w:w="736" w:type="pct"/>
            <w:gridSpan w:val="2"/>
            <w:tcBorders>
              <w:tl2br w:val="nil"/>
              <w:tr2bl w:val="nil"/>
            </w:tcBorders>
            <w:shd w:val="clear" w:color="auto" w:fill="auto"/>
            <w:noWrap w:val="0"/>
            <w:vAlign w:val="center"/>
          </w:tcPr>
          <w:p>
            <w:pPr>
              <w:pStyle w:val="28"/>
              <w:suppressLineNumbers w:val="0"/>
              <w:bidi w:val="0"/>
              <w:spacing w:before="0" w:after="0"/>
              <w:ind w:left="0" w:right="0"/>
            </w:pPr>
            <w:r>
              <w:t>S</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道路与交通设施用地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34.23</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5</w:t>
            </w:r>
          </w:p>
        </w:tc>
        <w:tc>
          <w:tcPr>
            <w:tcW w:w="736" w:type="pct"/>
            <w:gridSpan w:val="2"/>
            <w:tcBorders>
              <w:tl2br w:val="nil"/>
              <w:tr2bl w:val="nil"/>
            </w:tcBorders>
            <w:noWrap w:val="0"/>
            <w:vAlign w:val="center"/>
          </w:tcPr>
          <w:p>
            <w:pPr>
              <w:pStyle w:val="28"/>
              <w:suppressLineNumbers w:val="0"/>
              <w:bidi w:val="0"/>
              <w:spacing w:before="0" w:after="0"/>
              <w:ind w:left="0" w:right="0"/>
            </w:pPr>
            <w:r>
              <w:t>U</w:t>
            </w:r>
          </w:p>
        </w:tc>
        <w:tc>
          <w:tcPr>
            <w:tcW w:w="2054" w:type="pct"/>
            <w:tcBorders>
              <w:tl2br w:val="nil"/>
              <w:tr2bl w:val="nil"/>
            </w:tcBorders>
            <w:noWrap w:val="0"/>
            <w:vAlign w:val="center"/>
          </w:tcPr>
          <w:p>
            <w:pPr>
              <w:pStyle w:val="28"/>
              <w:suppressLineNumbers w:val="0"/>
              <w:bidi w:val="0"/>
              <w:spacing w:before="0" w:after="0"/>
              <w:ind w:left="0" w:right="0"/>
            </w:pPr>
            <w:r>
              <w:t>公用设施用地</w:t>
            </w:r>
          </w:p>
        </w:tc>
        <w:tc>
          <w:tcPr>
            <w:tcW w:w="736" w:type="pct"/>
            <w:tcBorders>
              <w:tl2br w:val="nil"/>
              <w:tr2bl w:val="nil"/>
            </w:tcBorders>
            <w:noWrap w:val="0"/>
            <w:vAlign w:val="center"/>
          </w:tcPr>
          <w:p>
            <w:pPr>
              <w:pStyle w:val="28"/>
              <w:suppressLineNumbers w:val="0"/>
              <w:bidi w:val="0"/>
              <w:spacing w:before="0" w:after="0"/>
              <w:ind w:left="0" w:right="0"/>
            </w:pPr>
            <w:r>
              <w:t>1.14</w:t>
            </w:r>
          </w:p>
        </w:tc>
        <w:tc>
          <w:tcPr>
            <w:tcW w:w="1029" w:type="pct"/>
            <w:tcBorders>
              <w:tl2br w:val="nil"/>
              <w:tr2bl w:val="nil"/>
            </w:tcBorders>
            <w:noWrap w:val="0"/>
            <w:vAlign w:val="center"/>
          </w:tcPr>
          <w:p>
            <w:pPr>
              <w:pStyle w:val="28"/>
              <w:suppressLineNumbers w:val="0"/>
              <w:bidi w:val="0"/>
              <w:spacing w:before="0" w:after="0"/>
              <w:ind w:left="0" w:right="0"/>
            </w:pPr>
            <w: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restart"/>
            <w:tcBorders>
              <w:tl2br w:val="nil"/>
              <w:tr2bl w:val="nil"/>
            </w:tcBorders>
            <w:noWrap w:val="0"/>
            <w:vAlign w:val="center"/>
          </w:tcPr>
          <w:p>
            <w:pPr>
              <w:pStyle w:val="28"/>
              <w:suppressLineNumbers w:val="0"/>
              <w:bidi w:val="0"/>
              <w:spacing w:before="0" w:after="0"/>
              <w:ind w:left="0" w:right="0"/>
            </w:pPr>
            <w:r>
              <w:t>U2</w:t>
            </w:r>
          </w:p>
        </w:tc>
        <w:tc>
          <w:tcPr>
            <w:tcW w:w="405" w:type="pct"/>
            <w:tcBorders>
              <w:tl2br w:val="nil"/>
              <w:tr2bl w:val="nil"/>
            </w:tcBorders>
            <w:noWrap w:val="0"/>
            <w:vAlign w:val="center"/>
          </w:tcPr>
          <w:p>
            <w:pPr>
              <w:pStyle w:val="28"/>
              <w:suppressLineNumbers w:val="0"/>
              <w:bidi w:val="0"/>
              <w:spacing w:before="0" w:after="0"/>
              <w:ind w:left="0" w:right="0"/>
            </w:pPr>
            <w:r>
              <w:t>U21</w:t>
            </w:r>
          </w:p>
        </w:tc>
        <w:tc>
          <w:tcPr>
            <w:tcW w:w="2054" w:type="pct"/>
            <w:tcBorders>
              <w:tl2br w:val="nil"/>
              <w:tr2bl w:val="nil"/>
            </w:tcBorders>
            <w:noWrap w:val="0"/>
            <w:vAlign w:val="center"/>
          </w:tcPr>
          <w:p>
            <w:pPr>
              <w:pStyle w:val="28"/>
              <w:suppressLineNumbers w:val="0"/>
              <w:bidi w:val="0"/>
              <w:spacing w:before="0" w:after="0"/>
              <w:ind w:left="0" w:right="0"/>
            </w:pPr>
            <w:r>
              <w:t>排水设施用地</w:t>
            </w:r>
          </w:p>
        </w:tc>
        <w:tc>
          <w:tcPr>
            <w:tcW w:w="736" w:type="pct"/>
            <w:tcBorders>
              <w:tl2br w:val="nil"/>
              <w:tr2bl w:val="nil"/>
            </w:tcBorders>
            <w:noWrap w:val="0"/>
            <w:vAlign w:val="center"/>
          </w:tcPr>
          <w:p>
            <w:pPr>
              <w:pStyle w:val="28"/>
              <w:suppressLineNumbers w:val="0"/>
              <w:bidi w:val="0"/>
              <w:spacing w:before="0" w:after="0"/>
              <w:ind w:left="0" w:right="0"/>
            </w:pPr>
            <w:r>
              <w:t>0.77</w:t>
            </w:r>
          </w:p>
        </w:tc>
        <w:tc>
          <w:tcPr>
            <w:tcW w:w="1029" w:type="pct"/>
            <w:tcBorders>
              <w:tl2br w:val="nil"/>
              <w:tr2bl w:val="nil"/>
            </w:tcBorders>
            <w:noWrap w:val="0"/>
            <w:vAlign w:val="center"/>
          </w:tcPr>
          <w:p>
            <w:pPr>
              <w:pStyle w:val="28"/>
              <w:suppressLineNumbers w:val="0"/>
              <w:bidi w:val="0"/>
              <w:spacing w:before="0" w:after="0"/>
              <w:ind w:left="0" w:right="0"/>
            </w:pPr>
            <w: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330" w:type="pct"/>
            <w:vMerge w:val="continue"/>
            <w:tcBorders>
              <w:tl2br w:val="nil"/>
              <w:tr2bl w:val="nil"/>
            </w:tcBorders>
            <w:noWrap w:val="0"/>
            <w:vAlign w:val="center"/>
          </w:tcPr>
          <w:p>
            <w:pPr>
              <w:pStyle w:val="28"/>
              <w:suppressLineNumbers w:val="0"/>
              <w:bidi w:val="0"/>
              <w:spacing w:before="0" w:after="0"/>
              <w:ind w:left="0" w:right="0"/>
              <w:outlineLvl w:val="9"/>
            </w:pPr>
          </w:p>
        </w:tc>
        <w:tc>
          <w:tcPr>
            <w:tcW w:w="405" w:type="pct"/>
            <w:tcBorders>
              <w:tl2br w:val="nil"/>
              <w:tr2bl w:val="nil"/>
            </w:tcBorders>
            <w:noWrap w:val="0"/>
            <w:vAlign w:val="center"/>
          </w:tcPr>
          <w:p>
            <w:pPr>
              <w:pStyle w:val="28"/>
              <w:suppressLineNumbers w:val="0"/>
              <w:bidi w:val="0"/>
              <w:spacing w:before="0" w:after="0"/>
              <w:ind w:left="0" w:right="0"/>
            </w:pPr>
            <w:r>
              <w:t>U22</w:t>
            </w:r>
          </w:p>
        </w:tc>
        <w:tc>
          <w:tcPr>
            <w:tcW w:w="2054" w:type="pct"/>
            <w:tcBorders>
              <w:tl2br w:val="nil"/>
              <w:tr2bl w:val="nil"/>
            </w:tcBorders>
            <w:noWrap w:val="0"/>
            <w:vAlign w:val="center"/>
          </w:tcPr>
          <w:p>
            <w:pPr>
              <w:pStyle w:val="28"/>
              <w:suppressLineNumbers w:val="0"/>
              <w:bidi w:val="0"/>
              <w:spacing w:before="0" w:after="0"/>
              <w:ind w:left="0" w:right="0"/>
            </w:pPr>
            <w:r>
              <w:t>环卫设施用地</w:t>
            </w:r>
          </w:p>
        </w:tc>
        <w:tc>
          <w:tcPr>
            <w:tcW w:w="736" w:type="pct"/>
            <w:tcBorders>
              <w:tl2br w:val="nil"/>
              <w:tr2bl w:val="nil"/>
            </w:tcBorders>
            <w:noWrap w:val="0"/>
            <w:vAlign w:val="center"/>
          </w:tcPr>
          <w:p>
            <w:pPr>
              <w:pStyle w:val="28"/>
              <w:suppressLineNumbers w:val="0"/>
              <w:bidi w:val="0"/>
              <w:spacing w:before="0" w:after="0"/>
              <w:ind w:left="0" w:right="0"/>
            </w:pPr>
            <w:r>
              <w:t>0.37</w:t>
            </w:r>
          </w:p>
        </w:tc>
        <w:tc>
          <w:tcPr>
            <w:tcW w:w="1029" w:type="pct"/>
            <w:tcBorders>
              <w:tl2br w:val="nil"/>
              <w:tr2bl w:val="nil"/>
            </w:tcBorders>
            <w:noWrap w:val="0"/>
            <w:vAlign w:val="center"/>
          </w:tcPr>
          <w:p>
            <w:pPr>
              <w:pStyle w:val="28"/>
              <w:suppressLineNumbers w:val="0"/>
              <w:bidi w:val="0"/>
              <w:spacing w:before="0" w:after="0"/>
              <w:ind w:left="0" w:right="0"/>
            </w:pPr>
            <w: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3" w:type="pct"/>
            <w:vMerge w:val="restart"/>
            <w:tcBorders>
              <w:tl2br w:val="nil"/>
              <w:tr2bl w:val="nil"/>
            </w:tcBorders>
            <w:noWrap w:val="0"/>
            <w:vAlign w:val="center"/>
          </w:tcPr>
          <w:p>
            <w:pPr>
              <w:pStyle w:val="28"/>
              <w:suppressLineNumbers w:val="0"/>
              <w:bidi w:val="0"/>
              <w:spacing w:before="0" w:after="0"/>
              <w:ind w:left="0" w:right="0"/>
            </w:pPr>
            <w:r>
              <w:t>6</w:t>
            </w:r>
          </w:p>
        </w:tc>
        <w:tc>
          <w:tcPr>
            <w:tcW w:w="736" w:type="pct"/>
            <w:gridSpan w:val="2"/>
            <w:tcBorders>
              <w:tl2br w:val="nil"/>
              <w:tr2bl w:val="nil"/>
            </w:tcBorders>
            <w:noWrap w:val="0"/>
            <w:vAlign w:val="center"/>
          </w:tcPr>
          <w:p>
            <w:pPr>
              <w:pStyle w:val="28"/>
              <w:suppressLineNumbers w:val="0"/>
              <w:bidi w:val="0"/>
              <w:spacing w:before="0" w:after="0"/>
              <w:ind w:left="0" w:right="0"/>
            </w:pPr>
            <w:r>
              <w:t>G</w:t>
            </w:r>
          </w:p>
        </w:tc>
        <w:tc>
          <w:tcPr>
            <w:tcW w:w="2054" w:type="pct"/>
            <w:tcBorders>
              <w:tl2br w:val="nil"/>
              <w:tr2bl w:val="nil"/>
            </w:tcBorders>
            <w:noWrap w:val="0"/>
            <w:vAlign w:val="center"/>
          </w:tcPr>
          <w:p>
            <w:pPr>
              <w:pStyle w:val="28"/>
              <w:suppressLineNumbers w:val="0"/>
              <w:bidi w:val="0"/>
              <w:spacing w:before="0" w:after="0"/>
              <w:ind w:left="0" w:right="0"/>
            </w:pPr>
            <w:r>
              <w:t>绿地与广场用地</w:t>
            </w:r>
          </w:p>
        </w:tc>
        <w:tc>
          <w:tcPr>
            <w:tcW w:w="736" w:type="pct"/>
            <w:tcBorders>
              <w:tl2br w:val="nil"/>
              <w:tr2bl w:val="nil"/>
            </w:tcBorders>
            <w:noWrap w:val="0"/>
            <w:vAlign w:val="center"/>
          </w:tcPr>
          <w:p>
            <w:pPr>
              <w:pStyle w:val="28"/>
              <w:suppressLineNumbers w:val="0"/>
              <w:bidi w:val="0"/>
              <w:spacing w:before="0" w:after="0"/>
              <w:ind w:left="0" w:right="0"/>
            </w:pPr>
            <w:r>
              <w:t>19.97</w:t>
            </w:r>
          </w:p>
        </w:tc>
        <w:tc>
          <w:tcPr>
            <w:tcW w:w="1029" w:type="pct"/>
            <w:tcBorders>
              <w:tl2br w:val="nil"/>
              <w:tr2bl w:val="nil"/>
            </w:tcBorders>
            <w:noWrap w:val="0"/>
            <w:vAlign w:val="center"/>
          </w:tcPr>
          <w:p>
            <w:pPr>
              <w:pStyle w:val="28"/>
              <w:suppressLineNumbers w:val="0"/>
              <w:bidi w:val="0"/>
              <w:spacing w:before="0" w:after="0"/>
              <w:ind w:left="0" w:right="0"/>
            </w:pPr>
            <w: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3" w:type="pct"/>
            <w:vMerge w:val="continue"/>
            <w:tcBorders>
              <w:tl2br w:val="nil"/>
              <w:tr2bl w:val="nil"/>
            </w:tcBorders>
            <w:noWrap w:val="0"/>
            <w:vAlign w:val="center"/>
          </w:tcPr>
          <w:p>
            <w:pPr>
              <w:pStyle w:val="28"/>
              <w:suppressLineNumbers w:val="0"/>
              <w:bidi w:val="0"/>
              <w:spacing w:before="0" w:after="0"/>
              <w:ind w:left="0" w:right="0"/>
              <w:outlineLvl w:val="9"/>
            </w:pPr>
          </w:p>
        </w:tc>
        <w:tc>
          <w:tcPr>
            <w:tcW w:w="736" w:type="pct"/>
            <w:gridSpan w:val="2"/>
            <w:tcBorders>
              <w:tl2br w:val="nil"/>
              <w:tr2bl w:val="nil"/>
            </w:tcBorders>
            <w:noWrap w:val="0"/>
            <w:vAlign w:val="center"/>
          </w:tcPr>
          <w:p>
            <w:pPr>
              <w:pStyle w:val="28"/>
              <w:suppressLineNumbers w:val="0"/>
              <w:bidi w:val="0"/>
              <w:spacing w:before="0" w:after="0"/>
              <w:ind w:left="0" w:right="0"/>
            </w:pPr>
            <w:r>
              <w:t>G1c</w:t>
            </w:r>
          </w:p>
        </w:tc>
        <w:tc>
          <w:tcPr>
            <w:tcW w:w="2054" w:type="pct"/>
            <w:tcBorders>
              <w:tl2br w:val="nil"/>
              <w:tr2bl w:val="nil"/>
            </w:tcBorders>
            <w:noWrap w:val="0"/>
            <w:vAlign w:val="center"/>
          </w:tcPr>
          <w:p>
            <w:pPr>
              <w:pStyle w:val="28"/>
              <w:suppressLineNumbers w:val="0"/>
              <w:bidi w:val="0"/>
              <w:spacing w:before="0" w:after="0"/>
              <w:ind w:left="0" w:right="0"/>
            </w:pPr>
            <w:r>
              <w:t>街头绿地</w:t>
            </w:r>
          </w:p>
        </w:tc>
        <w:tc>
          <w:tcPr>
            <w:tcW w:w="736" w:type="pct"/>
            <w:tcBorders>
              <w:tl2br w:val="nil"/>
              <w:tr2bl w:val="nil"/>
            </w:tcBorders>
            <w:noWrap w:val="0"/>
            <w:vAlign w:val="center"/>
          </w:tcPr>
          <w:p>
            <w:pPr>
              <w:pStyle w:val="28"/>
              <w:suppressLineNumbers w:val="0"/>
              <w:bidi w:val="0"/>
              <w:spacing w:before="0" w:after="0"/>
              <w:ind w:left="0" w:right="0"/>
            </w:pPr>
            <w:r>
              <w:t>4.93</w:t>
            </w:r>
          </w:p>
        </w:tc>
        <w:tc>
          <w:tcPr>
            <w:tcW w:w="1029" w:type="pct"/>
            <w:tcBorders>
              <w:tl2br w:val="nil"/>
              <w:tr2bl w:val="nil"/>
            </w:tcBorders>
            <w:noWrap w:val="0"/>
            <w:vAlign w:val="center"/>
          </w:tcPr>
          <w:p>
            <w:pPr>
              <w:pStyle w:val="28"/>
              <w:suppressLineNumbers w:val="0"/>
              <w:bidi w:val="0"/>
              <w:spacing w:before="0" w:after="0"/>
              <w:ind w:left="0" w:right="0"/>
            </w:pPr>
            <w: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736" w:type="pct"/>
            <w:gridSpan w:val="2"/>
            <w:tcBorders>
              <w:tl2br w:val="nil"/>
              <w:tr2bl w:val="nil"/>
            </w:tcBorders>
            <w:shd w:val="clear" w:color="auto" w:fill="auto"/>
            <w:noWrap w:val="0"/>
            <w:vAlign w:val="center"/>
          </w:tcPr>
          <w:p>
            <w:pPr>
              <w:pStyle w:val="28"/>
              <w:suppressLineNumbers w:val="0"/>
              <w:bidi w:val="0"/>
              <w:spacing w:before="0" w:after="0"/>
              <w:ind w:left="0" w:right="0"/>
            </w:pPr>
            <w:r>
              <w:t>G2</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防护绿地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13.31</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43" w:type="pct"/>
            <w:vMerge w:val="continue"/>
            <w:tcBorders>
              <w:tl2br w:val="nil"/>
              <w:tr2bl w:val="nil"/>
            </w:tcBorders>
            <w:shd w:val="clear" w:color="auto" w:fill="auto"/>
            <w:noWrap w:val="0"/>
            <w:vAlign w:val="center"/>
          </w:tcPr>
          <w:p>
            <w:pPr>
              <w:pStyle w:val="28"/>
              <w:suppressLineNumbers w:val="0"/>
              <w:bidi w:val="0"/>
              <w:spacing w:before="0" w:after="0"/>
              <w:ind w:left="0" w:right="0"/>
              <w:outlineLvl w:val="9"/>
            </w:pPr>
          </w:p>
        </w:tc>
        <w:tc>
          <w:tcPr>
            <w:tcW w:w="736" w:type="pct"/>
            <w:gridSpan w:val="2"/>
            <w:tcBorders>
              <w:tl2br w:val="nil"/>
              <w:tr2bl w:val="nil"/>
            </w:tcBorders>
            <w:shd w:val="clear" w:color="auto" w:fill="auto"/>
            <w:noWrap w:val="0"/>
            <w:vAlign w:val="center"/>
          </w:tcPr>
          <w:p>
            <w:pPr>
              <w:pStyle w:val="28"/>
              <w:suppressLineNumbers w:val="0"/>
              <w:bidi w:val="0"/>
              <w:spacing w:before="0" w:after="0"/>
              <w:ind w:left="0" w:right="0"/>
            </w:pPr>
            <w:r>
              <w:t>G3</w:t>
            </w:r>
          </w:p>
        </w:tc>
        <w:tc>
          <w:tcPr>
            <w:tcW w:w="2054" w:type="pct"/>
            <w:tcBorders>
              <w:tl2br w:val="nil"/>
              <w:tr2bl w:val="nil"/>
            </w:tcBorders>
            <w:shd w:val="clear" w:color="auto" w:fill="auto"/>
            <w:noWrap w:val="0"/>
            <w:vAlign w:val="center"/>
          </w:tcPr>
          <w:p>
            <w:pPr>
              <w:pStyle w:val="28"/>
              <w:suppressLineNumbers w:val="0"/>
              <w:bidi w:val="0"/>
              <w:spacing w:before="0" w:after="0"/>
              <w:ind w:left="0" w:right="0"/>
            </w:pPr>
            <w:r>
              <w:t>广场用地</w:t>
            </w:r>
          </w:p>
        </w:tc>
        <w:tc>
          <w:tcPr>
            <w:tcW w:w="736" w:type="pct"/>
            <w:tcBorders>
              <w:tl2br w:val="nil"/>
              <w:tr2bl w:val="nil"/>
            </w:tcBorders>
            <w:shd w:val="clear" w:color="auto" w:fill="auto"/>
            <w:noWrap w:val="0"/>
            <w:vAlign w:val="center"/>
          </w:tcPr>
          <w:p>
            <w:pPr>
              <w:pStyle w:val="28"/>
              <w:suppressLineNumbers w:val="0"/>
              <w:bidi w:val="0"/>
              <w:spacing w:before="0" w:after="0"/>
              <w:ind w:left="0" w:right="0"/>
            </w:pPr>
            <w:r>
              <w:t>1.73</w:t>
            </w:r>
          </w:p>
        </w:tc>
        <w:tc>
          <w:tcPr>
            <w:tcW w:w="1029" w:type="pct"/>
            <w:tcBorders>
              <w:tl2br w:val="nil"/>
              <w:tr2bl w:val="nil"/>
            </w:tcBorders>
            <w:shd w:val="clear" w:color="auto" w:fill="auto"/>
            <w:noWrap w:val="0"/>
            <w:vAlign w:val="center"/>
          </w:tcPr>
          <w:p>
            <w:pPr>
              <w:pStyle w:val="28"/>
              <w:suppressLineNumbers w:val="0"/>
              <w:bidi w:val="0"/>
              <w:spacing w:before="0" w:after="0"/>
              <w:ind w:left="0" w:right="0"/>
            </w:pPr>
            <w: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4" w:type="pct"/>
            <w:gridSpan w:val="4"/>
            <w:tcBorders>
              <w:tl2br w:val="nil"/>
              <w:tr2bl w:val="nil"/>
            </w:tcBorders>
            <w:noWrap w:val="0"/>
            <w:vAlign w:val="center"/>
          </w:tcPr>
          <w:p>
            <w:pPr>
              <w:pStyle w:val="28"/>
              <w:suppressLineNumbers w:val="0"/>
              <w:bidi w:val="0"/>
              <w:spacing w:before="0" w:after="0"/>
              <w:ind w:left="0" w:right="0"/>
            </w:pPr>
            <w:r>
              <w:t>建设用地总计</w:t>
            </w:r>
          </w:p>
        </w:tc>
        <w:tc>
          <w:tcPr>
            <w:tcW w:w="736" w:type="pct"/>
            <w:tcBorders>
              <w:tl2br w:val="nil"/>
              <w:tr2bl w:val="nil"/>
            </w:tcBorders>
            <w:noWrap w:val="0"/>
            <w:vAlign w:val="center"/>
          </w:tcPr>
          <w:p>
            <w:pPr>
              <w:pStyle w:val="28"/>
              <w:suppressLineNumbers w:val="0"/>
              <w:bidi w:val="0"/>
              <w:spacing w:before="0" w:after="0"/>
              <w:ind w:left="0" w:right="0"/>
            </w:pPr>
            <w:r>
              <w:t>222.93</w:t>
            </w:r>
          </w:p>
        </w:tc>
        <w:tc>
          <w:tcPr>
            <w:tcW w:w="1029" w:type="pct"/>
            <w:tcBorders>
              <w:tl2br w:val="nil"/>
              <w:tr2bl w:val="nil"/>
            </w:tcBorders>
            <w:noWrap w:val="0"/>
            <w:vAlign w:val="center"/>
          </w:tcPr>
          <w:p>
            <w:pPr>
              <w:pStyle w:val="28"/>
              <w:suppressLineNumbers w:val="0"/>
              <w:bidi w:val="0"/>
              <w:spacing w:before="0" w:after="0"/>
              <w:ind w:left="0" w:right="0"/>
            </w:pPr>
            <w: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4" w:type="pct"/>
            <w:gridSpan w:val="4"/>
            <w:tcBorders>
              <w:tl2br w:val="nil"/>
              <w:tr2bl w:val="nil"/>
            </w:tcBorders>
            <w:noWrap w:val="0"/>
            <w:vAlign w:val="center"/>
          </w:tcPr>
          <w:p>
            <w:pPr>
              <w:pStyle w:val="28"/>
              <w:suppressLineNumbers w:val="0"/>
              <w:bidi w:val="0"/>
              <w:spacing w:before="0" w:after="0"/>
              <w:ind w:left="0" w:right="0"/>
            </w:pPr>
            <w:r>
              <w:t>水域面积</w:t>
            </w:r>
          </w:p>
        </w:tc>
        <w:tc>
          <w:tcPr>
            <w:tcW w:w="736" w:type="pct"/>
            <w:tcBorders>
              <w:tl2br w:val="nil"/>
              <w:tr2bl w:val="nil"/>
            </w:tcBorders>
            <w:noWrap w:val="0"/>
            <w:vAlign w:val="center"/>
          </w:tcPr>
          <w:p>
            <w:pPr>
              <w:pStyle w:val="28"/>
              <w:suppressLineNumbers w:val="0"/>
              <w:bidi w:val="0"/>
              <w:spacing w:before="0" w:after="0"/>
              <w:ind w:left="0" w:right="0"/>
            </w:pPr>
            <w:r>
              <w:t>7.07</w:t>
            </w:r>
          </w:p>
        </w:tc>
        <w:tc>
          <w:tcPr>
            <w:tcW w:w="1029"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4" w:type="pct"/>
            <w:gridSpan w:val="4"/>
            <w:tcBorders>
              <w:tl2br w:val="nil"/>
              <w:tr2bl w:val="nil"/>
            </w:tcBorders>
            <w:noWrap w:val="0"/>
            <w:vAlign w:val="center"/>
          </w:tcPr>
          <w:p>
            <w:pPr>
              <w:pStyle w:val="28"/>
              <w:suppressLineNumbers w:val="0"/>
              <w:bidi w:val="0"/>
              <w:spacing w:before="0" w:after="0"/>
              <w:ind w:left="0" w:right="0"/>
            </w:pPr>
            <w:r>
              <w:t>规划用地总计</w:t>
            </w:r>
          </w:p>
        </w:tc>
        <w:tc>
          <w:tcPr>
            <w:tcW w:w="736" w:type="pct"/>
            <w:tcBorders>
              <w:tl2br w:val="nil"/>
              <w:tr2bl w:val="nil"/>
            </w:tcBorders>
            <w:noWrap w:val="0"/>
            <w:vAlign w:val="center"/>
          </w:tcPr>
          <w:p>
            <w:pPr>
              <w:pStyle w:val="28"/>
              <w:suppressLineNumbers w:val="0"/>
              <w:bidi w:val="0"/>
              <w:spacing w:before="0" w:after="0"/>
              <w:ind w:left="0" w:right="0"/>
            </w:pPr>
            <w:r>
              <w:t>230</w:t>
            </w:r>
          </w:p>
        </w:tc>
        <w:tc>
          <w:tcPr>
            <w:tcW w:w="1029" w:type="pct"/>
            <w:tcBorders>
              <w:tl2br w:val="nil"/>
              <w:tr2bl w:val="nil"/>
            </w:tcBorders>
            <w:noWrap w:val="0"/>
            <w:vAlign w:val="center"/>
          </w:tcPr>
          <w:p>
            <w:pPr>
              <w:pStyle w:val="28"/>
              <w:suppressLineNumbers w:val="0"/>
              <w:bidi w:val="0"/>
              <w:spacing w:before="0" w:after="0"/>
              <w:ind w:left="0" w:right="0"/>
              <w:outlineLvl w:val="9"/>
            </w:pPr>
          </w:p>
        </w:tc>
      </w:tr>
    </w:tbl>
    <w:p>
      <w:pPr>
        <w:bidi w:val="0"/>
        <w:rPr>
          <w:rFonts w:hint="eastAsia"/>
          <w:lang w:eastAsia="zh-CN"/>
        </w:rPr>
      </w:pPr>
      <w:r>
        <w:rPr>
          <w:rFonts w:hint="eastAsia"/>
          <w:lang w:eastAsia="zh-CN"/>
        </w:rPr>
        <w:t>（</w:t>
      </w:r>
      <w:r>
        <w:rPr>
          <w:rFonts w:hint="eastAsia"/>
          <w:lang w:val="en-US" w:eastAsia="zh-CN"/>
        </w:rPr>
        <w:t>1）</w:t>
      </w:r>
      <w:r>
        <w:rPr>
          <w:rFonts w:hint="eastAsia"/>
          <w:lang w:eastAsia="zh-CN"/>
        </w:rPr>
        <w:t>居住用地规划：在工业集中区东侧设置居住区、商住混合区，作为工业集中区生活配套区，为东丁旺村居民及工业集中区员工服务，规划用地为20.09公顷，占规划总用地的9.01%。</w:t>
      </w:r>
    </w:p>
    <w:p>
      <w:pPr>
        <w:bidi w:val="0"/>
        <w:rPr>
          <w:rFonts w:hint="eastAsia"/>
          <w:lang w:eastAsia="zh-CN"/>
        </w:rPr>
      </w:pPr>
      <w:r>
        <w:rPr>
          <w:rFonts w:hint="eastAsia"/>
          <w:lang w:eastAsia="zh-CN"/>
        </w:rPr>
        <w:t>（</w:t>
      </w:r>
      <w:r>
        <w:rPr>
          <w:rFonts w:hint="eastAsia"/>
          <w:lang w:val="en-US" w:eastAsia="zh-CN"/>
        </w:rPr>
        <w:t>2）</w:t>
      </w:r>
      <w:r>
        <w:rPr>
          <w:rFonts w:hint="eastAsia"/>
          <w:lang w:eastAsia="zh-CN"/>
        </w:rPr>
        <w:t>公共管理与公共服务设施用地：东海县青湖镇工业集中区规划配备相应的公共管理与公共服务设施用地，主要为科研用地，用地用地面积3.10公顷，占建设用地的1.39％。</w:t>
      </w:r>
    </w:p>
    <w:p>
      <w:pPr>
        <w:bidi w:val="0"/>
        <w:rPr>
          <w:rFonts w:hint="eastAsia"/>
          <w:lang w:eastAsia="zh-CN"/>
        </w:rPr>
      </w:pPr>
      <w:r>
        <w:rPr>
          <w:rFonts w:hint="eastAsia"/>
          <w:lang w:eastAsia="zh-CN"/>
        </w:rPr>
        <w:t>（</w:t>
      </w:r>
      <w:r>
        <w:rPr>
          <w:rFonts w:hint="eastAsia"/>
          <w:lang w:val="en-US" w:eastAsia="zh-CN"/>
        </w:rPr>
        <w:t>3）</w:t>
      </w:r>
      <w:r>
        <w:rPr>
          <w:rFonts w:hint="eastAsia"/>
          <w:lang w:eastAsia="zh-CN"/>
        </w:rPr>
        <w:t>商业服务业设施用地规划：东海县青湖镇工业集中区规划配备相应的商业服务业设施用地。主要包括公共服务设施用地、商业设施用地、商务设施用地、加油站营业网点用地等，用地面积7.33公顷，占建设用地的3.29％。</w:t>
      </w:r>
    </w:p>
    <w:p>
      <w:pPr>
        <w:bidi w:val="0"/>
        <w:rPr>
          <w:rFonts w:hint="eastAsia"/>
          <w:lang w:eastAsia="zh-CN"/>
        </w:rPr>
      </w:pPr>
      <w:r>
        <w:rPr>
          <w:rFonts w:hint="eastAsia"/>
          <w:lang w:eastAsia="zh-CN"/>
        </w:rPr>
        <w:t>（</w:t>
      </w:r>
      <w:r>
        <w:rPr>
          <w:rFonts w:hint="eastAsia"/>
          <w:lang w:val="en-US" w:eastAsia="zh-CN"/>
        </w:rPr>
        <w:t>4）</w:t>
      </w:r>
      <w:r>
        <w:rPr>
          <w:rFonts w:hint="eastAsia"/>
          <w:lang w:eastAsia="zh-CN"/>
        </w:rPr>
        <w:t>工业用地规划：规划工业用地总用地面积134.01公顷，其中一类工业用地面积100.31公顷、二类工业用地面积33.70公顷，工业总用地面积占建设用地面积的60.12%。工业区产业以发展机械、轻工（农副产品加工业、家具制造业、塑料制品业、金属制轻工业产品制造、玩具制造）、电子、纺织服装、新材料和硅资源加工为主。</w:t>
      </w:r>
    </w:p>
    <w:p>
      <w:pPr>
        <w:bidi w:val="0"/>
        <w:rPr>
          <w:rFonts w:hint="eastAsia"/>
          <w:lang w:eastAsia="zh-CN"/>
        </w:rPr>
      </w:pPr>
      <w:r>
        <w:rPr>
          <w:rFonts w:hint="eastAsia"/>
          <w:lang w:eastAsia="zh-CN"/>
        </w:rPr>
        <w:t>（</w:t>
      </w:r>
      <w:r>
        <w:rPr>
          <w:rFonts w:hint="eastAsia"/>
          <w:lang w:val="en-US" w:eastAsia="zh-CN"/>
        </w:rPr>
        <w:t>5）</w:t>
      </w:r>
      <w:r>
        <w:rPr>
          <w:rFonts w:hint="eastAsia"/>
          <w:lang w:eastAsia="zh-CN"/>
        </w:rPr>
        <w:t>仓储物流用地规划：规划仓储物流用地位于规划区中部对外交通联系便利地段、综合服务中心内，规划用地面积3.06公顷，占建设用地面积的1.37％。</w:t>
      </w:r>
    </w:p>
    <w:p>
      <w:pPr>
        <w:bidi w:val="0"/>
        <w:rPr>
          <w:rFonts w:hint="eastAsia"/>
          <w:lang w:eastAsia="zh-CN"/>
        </w:rPr>
      </w:pPr>
      <w:r>
        <w:rPr>
          <w:rFonts w:hint="eastAsia"/>
          <w:lang w:eastAsia="zh-CN"/>
        </w:rPr>
        <w:t>（</w:t>
      </w:r>
      <w:r>
        <w:rPr>
          <w:rFonts w:hint="eastAsia"/>
          <w:lang w:val="en-US" w:eastAsia="zh-CN"/>
        </w:rPr>
        <w:t>6）</w:t>
      </w:r>
      <w:r>
        <w:rPr>
          <w:rFonts w:hint="eastAsia"/>
          <w:lang w:eastAsia="zh-CN"/>
        </w:rPr>
        <w:t>公用设施用地规划：工业集中区设有污水处理厂及环卫设施用地，规划面积1.14公顷，占规划总用地的0.51%。</w:t>
      </w:r>
    </w:p>
    <w:p>
      <w:pPr>
        <w:bidi w:val="0"/>
        <w:rPr>
          <w:rFonts w:hint="eastAsia"/>
          <w:lang w:eastAsia="zh-CN"/>
        </w:rPr>
      </w:pPr>
      <w:r>
        <w:rPr>
          <w:rFonts w:hint="eastAsia"/>
          <w:lang w:eastAsia="zh-CN"/>
        </w:rPr>
        <w:t>（</w:t>
      </w:r>
      <w:r>
        <w:rPr>
          <w:rFonts w:hint="eastAsia"/>
          <w:lang w:val="en-US" w:eastAsia="zh-CN"/>
        </w:rPr>
        <w:t>7）</w:t>
      </w:r>
      <w:r>
        <w:rPr>
          <w:rFonts w:hint="eastAsia"/>
          <w:lang w:eastAsia="zh-CN"/>
        </w:rPr>
        <w:t>道路与交通设施用地：道路与交通设施用地包括道路用地，总用地面积34.23公顷，占规划总用地的15.35％。</w:t>
      </w:r>
    </w:p>
    <w:p>
      <w:pPr>
        <w:bidi w:val="0"/>
        <w:rPr>
          <w:rFonts w:hint="eastAsia"/>
          <w:lang w:eastAsia="zh-CN"/>
        </w:rPr>
      </w:pPr>
      <w:r>
        <w:rPr>
          <w:rFonts w:hint="eastAsia"/>
          <w:lang w:eastAsia="zh-CN"/>
        </w:rPr>
        <w:t>（</w:t>
      </w:r>
      <w:r>
        <w:rPr>
          <w:rFonts w:hint="eastAsia"/>
          <w:lang w:val="en-US" w:eastAsia="zh-CN"/>
        </w:rPr>
        <w:t>8）</w:t>
      </w:r>
      <w:r>
        <w:rPr>
          <w:rFonts w:hint="eastAsia"/>
          <w:lang w:eastAsia="zh-CN"/>
        </w:rPr>
        <w:t>绿地与广场用地：规划绿化广场面积19.97公顷，占建设用地规模的8.96%。区内绿地系统通过沿路绿化、防护绿带相串联，形成系统。</w:t>
      </w:r>
    </w:p>
    <w:p>
      <w:pPr>
        <w:pStyle w:val="5"/>
        <w:bidi w:val="0"/>
        <w:rPr>
          <w:rFonts w:hint="eastAsia"/>
        </w:rPr>
      </w:pPr>
      <w:r>
        <w:rPr>
          <w:rFonts w:hint="eastAsia"/>
        </w:rPr>
        <w:t>2.</w:t>
      </w:r>
      <w:r>
        <w:rPr>
          <w:rFonts w:hint="eastAsia"/>
          <w:lang w:val="en-US" w:eastAsia="zh-CN"/>
        </w:rPr>
        <w:t>9</w:t>
      </w:r>
      <w:r>
        <w:rPr>
          <w:rFonts w:hint="eastAsia"/>
        </w:rPr>
        <w:t>.5基础设施规划</w:t>
      </w:r>
    </w:p>
    <w:p>
      <w:pPr>
        <w:pStyle w:val="6"/>
        <w:bidi w:val="0"/>
        <w:rPr>
          <w:rFonts w:hint="eastAsia"/>
        </w:rPr>
      </w:pPr>
      <w:r>
        <w:rPr>
          <w:rFonts w:hint="eastAsia"/>
        </w:rPr>
        <w:t>2.</w:t>
      </w:r>
      <w:r>
        <w:rPr>
          <w:rFonts w:hint="eastAsia"/>
          <w:lang w:val="en-US" w:eastAsia="zh-CN"/>
        </w:rPr>
        <w:t>9</w:t>
      </w:r>
      <w:r>
        <w:rPr>
          <w:rFonts w:hint="eastAsia"/>
        </w:rPr>
        <w:t xml:space="preserve">.5.1给水工程规划 </w:t>
      </w:r>
    </w:p>
    <w:p>
      <w:pPr>
        <w:bidi w:val="0"/>
        <w:rPr>
          <w:rFonts w:hint="eastAsia"/>
        </w:rPr>
      </w:pPr>
      <w:r>
        <w:rPr>
          <w:rFonts w:hint="eastAsia"/>
        </w:rPr>
        <w:t>工业集中区不另设水厂，用水全部来自镇区自来水厂。镇区自来水厂以石安河为供水水源。供应青湖镇镇区及集中区用水，现有供水能力约为7500m</w:t>
      </w:r>
      <w:r>
        <w:rPr>
          <w:rFonts w:hint="eastAsia"/>
          <w:vertAlign w:val="superscript"/>
        </w:rPr>
        <w:t>3</w:t>
      </w:r>
      <w:r>
        <w:rPr>
          <w:rFonts w:hint="eastAsia"/>
        </w:rPr>
        <w:t>/d，运行良好。镇区自来水厂可满足工业集中区的需要。远期自来水厂将扩建成日供水能力10万m</w:t>
      </w:r>
      <w:r>
        <w:rPr>
          <w:rFonts w:hint="eastAsia"/>
          <w:vertAlign w:val="superscript"/>
        </w:rPr>
        <w:t>3</w:t>
      </w:r>
      <w:r>
        <w:rPr>
          <w:rFonts w:hint="eastAsia"/>
        </w:rPr>
        <w:t xml:space="preserve">/d，供全镇生活及工业用水。 </w:t>
      </w:r>
    </w:p>
    <w:p>
      <w:pPr>
        <w:bidi w:val="0"/>
        <w:rPr>
          <w:rFonts w:hint="eastAsia"/>
        </w:rPr>
      </w:pPr>
      <w:r>
        <w:rPr>
          <w:rFonts w:hint="eastAsia"/>
        </w:rPr>
        <w:t xml:space="preserve">区域供水由245省道接入，工业集中区内主干管沿达威路、经三路、经七路等道路敷设，管径DN300毫米。其它道路布置给水支管，管径DN150-DN200毫米。 </w:t>
      </w:r>
    </w:p>
    <w:p>
      <w:pPr>
        <w:bidi w:val="0"/>
        <w:rPr>
          <w:rFonts w:hint="eastAsia"/>
        </w:rPr>
      </w:pPr>
      <w:r>
        <w:rPr>
          <w:rFonts w:hint="eastAsia"/>
        </w:rPr>
        <w:t xml:space="preserve">给水管道在道路下位置，单侧布置时以道路东侧、南侧为主，一般设在人行道或绿化带下。给水管道覆土深度不小于0.7米。给水管道DN200毫米以上(含DN200毫米)宜采用球墨铸铁管，DN200毫米以下可采用硬质U-PVC、HDPE管等管材。 </w:t>
      </w:r>
    </w:p>
    <w:p>
      <w:pPr>
        <w:pStyle w:val="6"/>
        <w:bidi w:val="0"/>
        <w:rPr>
          <w:rFonts w:hint="eastAsia"/>
        </w:rPr>
      </w:pPr>
      <w:r>
        <w:rPr>
          <w:rFonts w:hint="eastAsia"/>
        </w:rPr>
        <w:t>2.</w:t>
      </w:r>
      <w:r>
        <w:rPr>
          <w:rFonts w:hint="eastAsia"/>
          <w:lang w:val="en-US" w:eastAsia="zh-CN"/>
        </w:rPr>
        <w:t>9</w:t>
      </w:r>
      <w:r>
        <w:rPr>
          <w:rFonts w:hint="eastAsia"/>
        </w:rPr>
        <w:t xml:space="preserve">.5.2排水工程规划 </w:t>
      </w:r>
    </w:p>
    <w:p>
      <w:pPr>
        <w:bidi w:val="0"/>
        <w:rPr>
          <w:rFonts w:hint="eastAsia"/>
        </w:rPr>
      </w:pPr>
      <w:r>
        <w:rPr>
          <w:rFonts w:hint="eastAsia"/>
        </w:rPr>
        <w:t xml:space="preserve">根据污水工程规划，区内各企业产生的生产废水、生活污水自行预处理达到污水处理厂接管标准，近期排入青湖镇联村生活污水处理厂，远期排入工业集中区污水处理厂集中处理。 </w:t>
      </w:r>
    </w:p>
    <w:p>
      <w:pPr>
        <w:bidi w:val="0"/>
        <w:rPr>
          <w:rFonts w:hint="eastAsia"/>
        </w:rPr>
      </w:pPr>
      <w:r>
        <w:rPr>
          <w:rFonts w:hint="eastAsia"/>
        </w:rPr>
        <w:t>青湖镇</w:t>
      </w:r>
      <w:r>
        <w:rPr>
          <w:rFonts w:hint="eastAsia"/>
          <w:lang w:eastAsia="zh-CN"/>
        </w:rPr>
        <w:t>联村</w:t>
      </w:r>
      <w:r>
        <w:rPr>
          <w:rFonts w:hint="eastAsia"/>
        </w:rPr>
        <w:t xml:space="preserve">生活污水处理厂现有规模1500t/d，主要接纳镇区居民生活污水及工业集中区生活污水。 </w:t>
      </w:r>
    </w:p>
    <w:p>
      <w:pPr>
        <w:bidi w:val="0"/>
        <w:rPr>
          <w:rFonts w:hint="eastAsia"/>
        </w:rPr>
      </w:pPr>
      <w:r>
        <w:rPr>
          <w:rFonts w:hint="eastAsia"/>
        </w:rPr>
        <w:t xml:space="preserve">规划污水处理厂位于纬三路北，经七路西地块，设计规模为1万t/d。污水处理厂服务范围为：整个工业集中区工业废水及生活污水、远期收集附近村庄生活污水，尾水经处理达到《城镇污水处理厂污染物排放标准》（GB18918-2002）表1一级B标准后排入乌龙河。 </w:t>
      </w:r>
    </w:p>
    <w:p>
      <w:pPr>
        <w:bidi w:val="0"/>
        <w:rPr>
          <w:rFonts w:hint="eastAsia"/>
        </w:rPr>
      </w:pPr>
      <w:r>
        <w:rPr>
          <w:rFonts w:hint="eastAsia"/>
        </w:rPr>
        <w:t xml:space="preserve">污水主干管沿经七路、纬三路敷设，管径d600毫米。其它道路敷设污水支管，管径d400毫米。污水管道在道路下位置，以车行道中间偏西侧、北侧为主。污水干管起始端覆土深度不小于1.5米。污水管道采用PVC-U双壁波纹管、HDPE双壁波纹管或承插式钢筋混凝土管。 </w:t>
      </w:r>
    </w:p>
    <w:p>
      <w:pPr>
        <w:pStyle w:val="6"/>
        <w:bidi w:val="0"/>
        <w:rPr>
          <w:rFonts w:hint="eastAsia"/>
        </w:rPr>
      </w:pPr>
      <w:r>
        <w:rPr>
          <w:rFonts w:hint="eastAsia"/>
        </w:rPr>
        <w:t>2.</w:t>
      </w:r>
      <w:r>
        <w:rPr>
          <w:rFonts w:hint="eastAsia"/>
          <w:lang w:val="en-US" w:eastAsia="zh-CN"/>
        </w:rPr>
        <w:t>9</w:t>
      </w:r>
      <w:r>
        <w:rPr>
          <w:rFonts w:hint="eastAsia"/>
        </w:rPr>
        <w:t xml:space="preserve">.5.3电力工程规划 </w:t>
      </w:r>
    </w:p>
    <w:p>
      <w:pPr>
        <w:bidi w:val="0"/>
        <w:rPr>
          <w:rFonts w:hint="eastAsia"/>
        </w:rPr>
      </w:pPr>
      <w:r>
        <w:rPr>
          <w:rFonts w:hint="eastAsia"/>
        </w:rPr>
        <w:t>规划区用电负荷为3.1万KW，容载比取2.0，则需配变电站主变容量为6.2万kVA。</w:t>
      </w:r>
    </w:p>
    <w:p>
      <w:pPr>
        <w:bidi w:val="0"/>
        <w:rPr>
          <w:rFonts w:hint="eastAsia"/>
        </w:rPr>
      </w:pPr>
      <w:r>
        <w:rPr>
          <w:rFonts w:hint="eastAsia"/>
        </w:rPr>
        <w:t>规划电力线路接自青湖110 kV变电所。根据总体规划和分区发展趋势，为节约城市通道和简化电压等级；配电电压采用10KV。10 KV电力线在城区内采用架空和埋地相结合的方式敷设，以减少对城市景观的影响。</w:t>
      </w:r>
    </w:p>
    <w:p>
      <w:pPr>
        <w:pStyle w:val="6"/>
        <w:bidi w:val="0"/>
        <w:rPr>
          <w:rFonts w:hint="eastAsia"/>
        </w:rPr>
      </w:pPr>
      <w:r>
        <w:rPr>
          <w:rFonts w:hint="eastAsia"/>
        </w:rPr>
        <w:t>2.</w:t>
      </w:r>
      <w:r>
        <w:rPr>
          <w:rFonts w:hint="eastAsia"/>
          <w:lang w:val="en-US" w:eastAsia="zh-CN"/>
        </w:rPr>
        <w:t>9</w:t>
      </w:r>
      <w:r>
        <w:rPr>
          <w:rFonts w:hint="eastAsia"/>
        </w:rPr>
        <w:t xml:space="preserve">.5.4燃气工程规划 </w:t>
      </w:r>
    </w:p>
    <w:p>
      <w:pPr>
        <w:bidi w:val="0"/>
        <w:rPr>
          <w:rFonts w:hint="eastAsia"/>
        </w:rPr>
      </w:pPr>
      <w:r>
        <w:rPr>
          <w:rFonts w:hint="eastAsia"/>
        </w:rPr>
        <w:t>规划区燃气管网分高压－中压－低压三级压力级制。</w:t>
      </w:r>
    </w:p>
    <w:p>
      <w:pPr>
        <w:bidi w:val="0"/>
        <w:rPr>
          <w:rFonts w:hint="eastAsia"/>
        </w:rPr>
      </w:pPr>
      <w:r>
        <w:rPr>
          <w:rFonts w:hint="eastAsia"/>
        </w:rPr>
        <w:t>在本规划范围敷设DN200～DN300毫压配气管网，管网呈大环小枝状布置。燃气管除穿越工程外，均埋地敷设，原则上敷设在道路西或北侧的人行道下，根据用户分布预留过路。</w:t>
      </w:r>
    </w:p>
    <w:p>
      <w:pPr>
        <w:pStyle w:val="6"/>
        <w:bidi w:val="0"/>
        <w:rPr>
          <w:rFonts w:hint="eastAsia"/>
        </w:rPr>
      </w:pPr>
      <w:r>
        <w:rPr>
          <w:rFonts w:hint="eastAsia"/>
        </w:rPr>
        <w:t>2.</w:t>
      </w:r>
      <w:r>
        <w:rPr>
          <w:rFonts w:hint="eastAsia"/>
          <w:lang w:val="en-US" w:eastAsia="zh-CN"/>
        </w:rPr>
        <w:t>9</w:t>
      </w:r>
      <w:r>
        <w:rPr>
          <w:rFonts w:hint="eastAsia"/>
        </w:rPr>
        <w:t xml:space="preserve">.5.5通信工程规划 </w:t>
      </w:r>
    </w:p>
    <w:p>
      <w:pPr>
        <w:bidi w:val="0"/>
        <w:rPr>
          <w:rFonts w:hint="eastAsia"/>
        </w:rPr>
      </w:pPr>
      <w:r>
        <w:rPr>
          <w:rFonts w:hint="eastAsia"/>
        </w:rPr>
        <w:t>规划区电话总量4585部。规划按1:1.6放线比放线，则线路总容量约为7336万门。</w:t>
      </w:r>
    </w:p>
    <w:p>
      <w:pPr>
        <w:bidi w:val="0"/>
        <w:rPr>
          <w:rFonts w:hint="eastAsia"/>
        </w:rPr>
      </w:pPr>
      <w:r>
        <w:rPr>
          <w:rFonts w:hint="eastAsia"/>
        </w:rPr>
        <w:t>规划区电话干线段采用光缆，光缆连接到电话集中用户。电信管道管孔数须满足电话光缆、数据通信、其它通信、广播电视和备用线路的铺设需要，不同用途线路尽量分孔敷设。</w:t>
      </w:r>
    </w:p>
    <w:p>
      <w:pPr>
        <w:pStyle w:val="6"/>
        <w:bidi w:val="0"/>
        <w:rPr>
          <w:rFonts w:hint="eastAsia"/>
        </w:rPr>
      </w:pPr>
      <w:r>
        <w:rPr>
          <w:rFonts w:hint="eastAsia"/>
        </w:rPr>
        <w:t>2.</w:t>
      </w:r>
      <w:r>
        <w:rPr>
          <w:rFonts w:hint="eastAsia"/>
          <w:lang w:val="en-US" w:eastAsia="zh-CN"/>
        </w:rPr>
        <w:t>9</w:t>
      </w:r>
      <w:r>
        <w:rPr>
          <w:rFonts w:hint="eastAsia"/>
        </w:rPr>
        <w:t xml:space="preserve">.5.6消防 </w:t>
      </w:r>
    </w:p>
    <w:p>
      <w:pPr>
        <w:spacing w:beforeLines="0" w:afterLines="0"/>
        <w:jc w:val="left"/>
        <w:rPr>
          <w:rFonts w:hint="eastAsia" w:ascii="宋体" w:hAnsi="宋体" w:eastAsia="宋体"/>
          <w:color w:val="000000"/>
          <w:sz w:val="28"/>
        </w:rPr>
      </w:pPr>
      <w:r>
        <w:rPr>
          <w:rFonts w:hint="eastAsia" w:ascii="宋体" w:hAnsi="宋体" w:eastAsia="宋体"/>
          <w:color w:val="000000"/>
          <w:sz w:val="28"/>
        </w:rPr>
        <w:t>规划区不设置消防站，与镇区共用。</w:t>
      </w:r>
    </w:p>
    <w:p>
      <w:pPr>
        <w:bidi w:val="0"/>
        <w:rPr>
          <w:rFonts w:hint="eastAsia"/>
        </w:rPr>
      </w:pPr>
      <w:r>
        <w:rPr>
          <w:rFonts w:hint="eastAsia"/>
        </w:rPr>
        <w:t>消防用水量按同一时间内3次火灾和一次灭火用水量为75升/秒确定。城市消防给水管道与生活、生产给水管道共用，采用低压给水系统。城市给水管网呈环状布置。</w:t>
      </w:r>
    </w:p>
    <w:p>
      <w:pPr>
        <w:bidi w:val="0"/>
        <w:rPr>
          <w:rFonts w:hint="eastAsia"/>
        </w:rPr>
      </w:pPr>
      <w:r>
        <w:rPr>
          <w:rFonts w:hint="eastAsia"/>
        </w:rPr>
        <w:t>消防车通道应结合道路规划﹑统一建设。规划区内的道路应考虑消防车的通行。</w:t>
      </w:r>
    </w:p>
    <w:p>
      <w:pPr>
        <w:bidi w:val="0"/>
        <w:rPr>
          <w:rFonts w:hint="eastAsia"/>
        </w:rPr>
      </w:pPr>
      <w:r>
        <w:rPr>
          <w:rFonts w:hint="eastAsia"/>
        </w:rPr>
        <w:t>大型建筑物应设环形消防车通道，居住小区骨干道路设计必需满足各种消防车辆通行。</w:t>
      </w:r>
    </w:p>
    <w:p>
      <w:pPr>
        <w:pStyle w:val="6"/>
        <w:bidi w:val="0"/>
        <w:rPr>
          <w:rFonts w:hint="eastAsia"/>
        </w:rPr>
      </w:pPr>
      <w:r>
        <w:rPr>
          <w:rFonts w:hint="eastAsia"/>
        </w:rPr>
        <w:t>2.</w:t>
      </w:r>
      <w:r>
        <w:rPr>
          <w:rFonts w:hint="eastAsia"/>
          <w:lang w:val="en-US" w:eastAsia="zh-CN"/>
        </w:rPr>
        <w:t>9</w:t>
      </w:r>
      <w:r>
        <w:rPr>
          <w:rFonts w:hint="eastAsia"/>
        </w:rPr>
        <w:t xml:space="preserve">.5.7绿地系统 </w:t>
      </w:r>
    </w:p>
    <w:p>
      <w:pPr>
        <w:spacing w:beforeLines="0" w:afterLines="0"/>
        <w:jc w:val="left"/>
        <w:rPr>
          <w:rFonts w:hint="eastAsia" w:ascii="宋体" w:hAnsi="宋体" w:eastAsia="宋体"/>
          <w:color w:val="000000"/>
          <w:sz w:val="28"/>
        </w:rPr>
      </w:pPr>
      <w:r>
        <w:rPr>
          <w:rFonts w:hint="eastAsia" w:ascii="宋体" w:hAnsi="宋体" w:eastAsia="宋体"/>
          <w:color w:val="000000"/>
          <w:sz w:val="28"/>
        </w:rPr>
        <w:t>本规划区绿地共</w:t>
      </w:r>
      <w:r>
        <w:rPr>
          <w:rFonts w:hint="eastAsia" w:ascii="Times New Roman" w:hAnsi="Times New Roman" w:eastAsia="Times New Roman"/>
          <w:color w:val="000000"/>
          <w:sz w:val="28"/>
        </w:rPr>
        <w:t>19.47</w:t>
      </w:r>
      <w:r>
        <w:rPr>
          <w:rFonts w:hint="eastAsia" w:ascii="宋体" w:hAnsi="宋体" w:eastAsia="宋体"/>
          <w:color w:val="000000"/>
          <w:sz w:val="28"/>
        </w:rPr>
        <w:t>公顷，占总用地</w:t>
      </w:r>
      <w:r>
        <w:rPr>
          <w:rFonts w:hint="eastAsia" w:ascii="Times New Roman" w:hAnsi="Times New Roman" w:eastAsia="Times New Roman"/>
          <w:color w:val="000000"/>
          <w:sz w:val="28"/>
        </w:rPr>
        <w:t>8.92</w:t>
      </w:r>
      <w:r>
        <w:rPr>
          <w:rFonts w:hint="eastAsia" w:ascii="宋体" w:hAnsi="宋体" w:eastAsia="宋体"/>
          <w:color w:val="000000"/>
          <w:sz w:val="28"/>
        </w:rPr>
        <w:t>％。区内绿地系统通过沿路绿化、防护绿带相串联，形成系统。各类用地绿地率必须符合下表的规定，绿地不得低于规划下限规定。</w:t>
      </w:r>
    </w:p>
    <w:p>
      <w:pPr>
        <w:pStyle w:val="27"/>
        <w:bidi w:val="0"/>
        <w:rPr>
          <w:rFonts w:hint="eastAsia"/>
        </w:rPr>
      </w:pPr>
      <w:r>
        <w:rPr>
          <w:rFonts w:hint="eastAsia"/>
        </w:rPr>
        <w:t>表</w:t>
      </w:r>
      <w:r>
        <w:rPr>
          <w:rFonts w:hint="eastAsia"/>
          <w:lang w:val="en-US" w:eastAsia="zh-CN"/>
        </w:rPr>
        <w:t>2.9.5-1</w:t>
      </w:r>
      <w:r>
        <w:rPr>
          <w:rFonts w:hint="eastAsia"/>
        </w:rPr>
        <w:t>绿地率控制表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用地类型</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零售商业用地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vertAlign w:val="baseline"/>
                <w:lang w:val="en-US" w:eastAsia="zh-CN"/>
              </w:rPr>
            </w:pPr>
            <w:r>
              <w:rPr>
                <w:rFonts w:hint="eastAsia"/>
                <w:vertAlign w:val="baseline"/>
                <w:lang w:val="en-US" w:eastAsia="zh-CN"/>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餐饮业用地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val="en-US" w:eastAsia="zh-CN"/>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vertAlign w:val="baseline"/>
                <w:lang w:val="en-US" w:eastAsia="zh-CN"/>
              </w:rPr>
            </w:pPr>
            <w:r>
              <w:rPr>
                <w:rFonts w:hint="eastAsia"/>
                <w:vertAlign w:val="baseline"/>
                <w:lang w:eastAsia="zh-CN"/>
              </w:rPr>
              <w:t>服务性公寓用地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val="en-US" w:eastAsia="zh-CN"/>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金融保险业用地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val="en-US" w:eastAsia="zh-CN"/>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工业用地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vertAlign w:val="baseline"/>
                <w:lang w:val="en-US" w:eastAsia="zh-CN"/>
              </w:rPr>
            </w:pPr>
            <w:r>
              <w:rPr>
                <w:rFonts w:hint="eastAsia"/>
                <w:vertAlign w:val="baseline"/>
                <w:lang w:val="en-US"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vertAlign w:val="baseline"/>
                <w:lang w:val="en-US" w:eastAsia="zh-CN"/>
              </w:rPr>
            </w:pPr>
            <w:r>
              <w:rPr>
                <w:rFonts w:hint="eastAsia"/>
                <w:vertAlign w:val="baseline"/>
                <w:lang w:val="en-US" w:eastAsia="zh-CN"/>
              </w:rPr>
              <w:t>仓储用地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val="en-US" w:eastAsia="zh-CN"/>
              </w:rPr>
              <w:t>&lt;20%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eastAsia"/>
                <w:vertAlign w:val="baseline"/>
                <w:lang w:eastAsia="zh-CN"/>
              </w:rPr>
            </w:pPr>
            <w:r>
              <w:rPr>
                <w:rFonts w:hint="eastAsia"/>
                <w:vertAlign w:val="baseline"/>
                <w:lang w:eastAsia="zh-CN"/>
              </w:rPr>
              <w:t>绿化用地</w:t>
            </w:r>
          </w:p>
        </w:tc>
        <w:tc>
          <w:tcPr>
            <w:tcW w:w="4981" w:type="dxa"/>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rPr>
                <w:rFonts w:hint="default"/>
                <w:vertAlign w:val="baseline"/>
                <w:lang w:val="en-US" w:eastAsia="zh-CN"/>
              </w:rPr>
            </w:pPr>
            <w:r>
              <w:rPr>
                <w:rFonts w:hint="eastAsia"/>
                <w:vertAlign w:val="baseline"/>
                <w:lang w:val="en-US" w:eastAsia="zh-CN"/>
              </w:rPr>
              <w:t>&gt;70%</w:t>
            </w:r>
          </w:p>
        </w:tc>
      </w:tr>
    </w:tbl>
    <w:p>
      <w:pPr>
        <w:pStyle w:val="5"/>
        <w:bidi w:val="0"/>
        <w:rPr>
          <w:rFonts w:hint="eastAsia"/>
        </w:rPr>
      </w:pPr>
      <w:r>
        <w:rPr>
          <w:rFonts w:hint="eastAsia"/>
          <w:lang w:val="en-US" w:eastAsia="zh-CN"/>
        </w:rPr>
        <w:t>2.9.6</w:t>
      </w:r>
      <w:r>
        <w:rPr>
          <w:rFonts w:hint="eastAsia"/>
        </w:rPr>
        <w:t>基础设施建设</w:t>
      </w:r>
    </w:p>
    <w:p>
      <w:pPr>
        <w:pStyle w:val="6"/>
        <w:bidi w:val="0"/>
        <w:rPr>
          <w:rFonts w:hint="eastAsia"/>
        </w:rPr>
      </w:pPr>
      <w:r>
        <w:rPr>
          <w:rFonts w:hint="eastAsia"/>
          <w:lang w:val="en-US" w:eastAsia="zh-CN"/>
        </w:rPr>
        <w:t>2.9.6.1</w:t>
      </w:r>
      <w:r>
        <w:rPr>
          <w:rFonts w:hint="eastAsia"/>
        </w:rPr>
        <w:t>给水现状</w:t>
      </w:r>
    </w:p>
    <w:p>
      <w:pPr>
        <w:bidi w:val="0"/>
        <w:rPr>
          <w:rFonts w:hint="eastAsia"/>
        </w:rPr>
      </w:pPr>
      <w:r>
        <w:rPr>
          <w:rFonts w:hint="eastAsia"/>
        </w:rPr>
        <w:t xml:space="preserve">工业集中区内不设水厂，取水来自镇区自来水厂，工业集中区域管网均已铺设到位，覆盖已开发区域。 </w:t>
      </w:r>
    </w:p>
    <w:p>
      <w:pPr>
        <w:pStyle w:val="6"/>
        <w:bidi w:val="0"/>
        <w:rPr>
          <w:rFonts w:hint="eastAsia"/>
        </w:rPr>
      </w:pPr>
      <w:r>
        <w:rPr>
          <w:rFonts w:hint="eastAsia"/>
        </w:rPr>
        <w:t>2.</w:t>
      </w:r>
      <w:r>
        <w:rPr>
          <w:rFonts w:hint="eastAsia"/>
          <w:lang w:val="en-US" w:eastAsia="zh-CN"/>
        </w:rPr>
        <w:t>9.</w:t>
      </w:r>
      <w:r>
        <w:rPr>
          <w:rFonts w:hint="eastAsia"/>
        </w:rPr>
        <w:t>6.2 排水现状</w:t>
      </w:r>
    </w:p>
    <w:p>
      <w:pPr>
        <w:bidi w:val="0"/>
        <w:rPr>
          <w:rFonts w:hint="eastAsia"/>
        </w:rPr>
      </w:pPr>
      <w:r>
        <w:rPr>
          <w:rFonts w:hint="eastAsia"/>
        </w:rPr>
        <w:t>本项目污水经厂区预处理达到青湖镇</w:t>
      </w:r>
      <w:r>
        <w:rPr>
          <w:rFonts w:hint="eastAsia"/>
          <w:lang w:eastAsia="zh-CN"/>
        </w:rPr>
        <w:t>联村生活</w:t>
      </w:r>
      <w:r>
        <w:rPr>
          <w:rFonts w:hint="eastAsia"/>
        </w:rPr>
        <w:t>污水处理厂的接管要求，接管至青湖镇</w:t>
      </w:r>
      <w:r>
        <w:rPr>
          <w:rFonts w:hint="eastAsia"/>
          <w:lang w:eastAsia="zh-CN"/>
        </w:rPr>
        <w:t>联村生活</w:t>
      </w:r>
      <w:r>
        <w:rPr>
          <w:rFonts w:hint="eastAsia"/>
        </w:rPr>
        <w:t>污水处理厂集中处理。</w:t>
      </w:r>
    </w:p>
    <w:p>
      <w:pPr>
        <w:bidi w:val="0"/>
        <w:rPr>
          <w:rFonts w:hint="eastAsia"/>
        </w:rPr>
      </w:pPr>
      <w:r>
        <w:rPr>
          <w:rFonts w:hint="eastAsia"/>
        </w:rPr>
        <w:t xml:space="preserve">东海县青湖镇人民政府投资524万元在青湖镇310国道南侧、青华路北侧新建青湖镇联村生活污水处理厂及配套管网工程项目。 </w:t>
      </w:r>
    </w:p>
    <w:p>
      <w:pPr>
        <w:bidi w:val="0"/>
        <w:rPr>
          <w:rFonts w:hint="eastAsia"/>
        </w:rPr>
      </w:pPr>
      <w:r>
        <w:rPr>
          <w:rFonts w:hint="eastAsia"/>
        </w:rPr>
        <w:t>青湖镇联村生活污水处理厂总规模1500m</w:t>
      </w:r>
      <w:r>
        <w:rPr>
          <w:rFonts w:hint="eastAsia"/>
          <w:vertAlign w:val="superscript"/>
        </w:rPr>
        <w:t>3</w:t>
      </w:r>
      <w:r>
        <w:rPr>
          <w:rFonts w:hint="eastAsia"/>
        </w:rPr>
        <w:t>/d，污水收集范围为青湖镇驻地，服务面积共1.5平方公里，污水性质为生活污水和相对简单的工业废水的混合废水。处理工艺采用格栅+沉砂池+ A2/O+二沉池+消毒工艺，尾水排入乌龙河。该项目已于2011年9月通过东海县环保局批复，目前，青湖镇污水处理厂已建成，投入运营。因此区域条件可满足本项目建设需求。</w:t>
      </w:r>
    </w:p>
    <w:p>
      <w:pPr>
        <w:pStyle w:val="6"/>
        <w:bidi w:val="0"/>
        <w:rPr>
          <w:rFonts w:hint="eastAsia"/>
        </w:rPr>
      </w:pPr>
      <w:r>
        <w:rPr>
          <w:rFonts w:hint="eastAsia"/>
        </w:rPr>
        <w:t>2</w:t>
      </w:r>
      <w:r>
        <w:rPr>
          <w:rFonts w:hint="eastAsia"/>
          <w:lang w:val="en-US" w:eastAsia="zh-CN"/>
        </w:rPr>
        <w:t>.9</w:t>
      </w:r>
      <w:r>
        <w:rPr>
          <w:rFonts w:hint="eastAsia"/>
        </w:rPr>
        <w:t>.6.3 电力现状</w:t>
      </w:r>
    </w:p>
    <w:p>
      <w:pPr>
        <w:bidi w:val="0"/>
        <w:rPr>
          <w:rFonts w:hint="eastAsia"/>
        </w:rPr>
      </w:pPr>
      <w:r>
        <w:rPr>
          <w:rFonts w:hint="eastAsia"/>
        </w:rPr>
        <w:t>电力线路接自青湖110KV变电所。配电电压采用10KV。10KV电力线在城区内采用架空和埋地相结合的方式敷设，以减少对城市景观的影响。</w:t>
      </w:r>
    </w:p>
    <w:p>
      <w:pPr>
        <w:pStyle w:val="6"/>
        <w:bidi w:val="0"/>
        <w:rPr>
          <w:rFonts w:hint="eastAsia"/>
        </w:rPr>
      </w:pPr>
      <w:r>
        <w:rPr>
          <w:rFonts w:hint="eastAsia"/>
        </w:rPr>
        <w:t>2</w:t>
      </w:r>
      <w:r>
        <w:rPr>
          <w:rFonts w:hint="eastAsia"/>
          <w:lang w:val="en-US" w:eastAsia="zh-CN"/>
        </w:rPr>
        <w:t>.9</w:t>
      </w:r>
      <w:r>
        <w:rPr>
          <w:rFonts w:hint="eastAsia"/>
        </w:rPr>
        <w:t>.6.4 燃气现状</w:t>
      </w:r>
    </w:p>
    <w:p>
      <w:pPr>
        <w:bidi w:val="0"/>
        <w:rPr>
          <w:rFonts w:hint="eastAsia"/>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燃气管网分高压－中压－低压三级压力级制。在工业集中区范围敷设DN200～DN300毫压配气管网，管网呈大环小枝状布置。燃气管除穿越工程外，均埋地敷设，原则上敷设在道路西或北侧的人行道下，根据用户分布预留过路。</w:t>
      </w:r>
    </w:p>
    <w:p>
      <w:pPr>
        <w:pStyle w:val="3"/>
        <w:bidi w:val="0"/>
        <w:rPr>
          <w:rFonts w:hint="eastAsia"/>
          <w:lang w:val="en-US" w:eastAsia="zh-CN"/>
        </w:rPr>
      </w:pPr>
      <w:bookmarkStart w:id="41" w:name="_Toc19269"/>
      <w:r>
        <w:rPr>
          <w:rFonts w:hint="eastAsia"/>
          <w:lang w:val="en-US" w:eastAsia="zh-CN"/>
        </w:rPr>
        <w:t>3 工程分析</w:t>
      </w:r>
      <w:bookmarkEnd w:id="41"/>
    </w:p>
    <w:p>
      <w:pPr>
        <w:pStyle w:val="4"/>
        <w:bidi w:val="0"/>
        <w:rPr>
          <w:rFonts w:hint="eastAsia"/>
          <w:lang w:val="en-US" w:eastAsia="zh-CN"/>
        </w:rPr>
      </w:pPr>
      <w:bookmarkStart w:id="42" w:name="_Toc13683"/>
      <w:r>
        <w:rPr>
          <w:rFonts w:hint="eastAsia"/>
          <w:lang w:val="en-US" w:eastAsia="zh-CN"/>
        </w:rPr>
        <w:t>3.1 项目概况</w:t>
      </w:r>
      <w:bookmarkEnd w:id="42"/>
    </w:p>
    <w:p>
      <w:pPr>
        <w:pStyle w:val="5"/>
        <w:bidi w:val="0"/>
        <w:rPr>
          <w:rFonts w:hint="eastAsia"/>
          <w:lang w:val="en-US" w:eastAsia="zh-CN"/>
        </w:rPr>
      </w:pPr>
      <w:r>
        <w:rPr>
          <w:rFonts w:hint="eastAsia"/>
          <w:lang w:val="en-US" w:eastAsia="zh-CN"/>
        </w:rPr>
        <w:t>3.1.1 基本情况</w:t>
      </w:r>
    </w:p>
    <w:p>
      <w:pPr>
        <w:bidi w:val="0"/>
        <w:rPr>
          <w:rFonts w:hint="default"/>
        </w:rPr>
      </w:pPr>
      <w:r>
        <w:rPr>
          <w:rFonts w:hint="default"/>
        </w:rPr>
        <w:t>项目名称：</w:t>
      </w:r>
      <w:r>
        <w:rPr>
          <w:rFonts w:hint="eastAsia"/>
          <w:lang w:eastAsia="zh-CN"/>
        </w:rPr>
        <w:t>年产</w:t>
      </w:r>
      <w:r>
        <w:rPr>
          <w:rFonts w:hint="eastAsia"/>
          <w:lang w:val="en-US" w:eastAsia="zh-CN"/>
        </w:rPr>
        <w:t>10万吨新型增碳剂项目</w:t>
      </w:r>
      <w:r>
        <w:rPr>
          <w:rFonts w:hint="default"/>
        </w:rPr>
        <w:t>；</w:t>
      </w:r>
    </w:p>
    <w:p>
      <w:pPr>
        <w:bidi w:val="0"/>
        <w:rPr>
          <w:rFonts w:hint="default"/>
        </w:rPr>
      </w:pPr>
      <w:r>
        <w:rPr>
          <w:rFonts w:hint="default"/>
        </w:rPr>
        <w:t>项目性质：</w:t>
      </w:r>
      <w:r>
        <w:rPr>
          <w:rFonts w:hint="eastAsia"/>
          <w:lang w:eastAsia="zh-CN"/>
        </w:rPr>
        <w:t>新</w:t>
      </w:r>
      <w:r>
        <w:rPr>
          <w:rFonts w:hint="default"/>
        </w:rPr>
        <w:t>建；</w:t>
      </w:r>
    </w:p>
    <w:p>
      <w:pPr>
        <w:bidi w:val="0"/>
        <w:rPr>
          <w:rFonts w:hint="eastAsia" w:eastAsia="宋体"/>
          <w:lang w:eastAsia="zh-CN"/>
        </w:rPr>
      </w:pPr>
      <w:r>
        <w:rPr>
          <w:rFonts w:hint="eastAsia"/>
          <w:lang w:eastAsia="zh-CN"/>
        </w:rPr>
        <w:t>建设单位：</w:t>
      </w:r>
      <w:r>
        <w:rPr>
          <w:rFonts w:hint="eastAsia"/>
          <w:lang w:val="en-US" w:eastAsia="zh-CN"/>
        </w:rPr>
        <w:t>江苏恒贵信新材料有限公司</w:t>
      </w:r>
    </w:p>
    <w:p>
      <w:pPr>
        <w:bidi w:val="0"/>
        <w:rPr>
          <w:rFonts w:hint="default"/>
        </w:rPr>
      </w:pPr>
      <w:r>
        <w:rPr>
          <w:rFonts w:hint="default"/>
        </w:rPr>
        <w:t>建设地址：</w:t>
      </w:r>
      <w:r>
        <w:rPr>
          <w:rFonts w:hint="eastAsia"/>
          <w:lang w:eastAsia="zh-CN"/>
        </w:rPr>
        <w:t>连云港市东海县青湖镇</w:t>
      </w:r>
      <w:r>
        <w:rPr>
          <w:rFonts w:hint="default"/>
        </w:rPr>
        <w:t>；</w:t>
      </w:r>
    </w:p>
    <w:p>
      <w:pPr>
        <w:bidi w:val="0"/>
        <w:rPr>
          <w:rFonts w:hint="default"/>
        </w:rPr>
      </w:pPr>
      <w:r>
        <w:rPr>
          <w:rFonts w:hint="default"/>
        </w:rPr>
        <w:t>行业类别：</w:t>
      </w:r>
      <w:r>
        <w:rPr>
          <w:rFonts w:hint="eastAsia"/>
          <w:lang w:val="en-US" w:eastAsia="zh-CN"/>
        </w:rPr>
        <w:t>C3091石墨及碳素制品制造</w:t>
      </w:r>
      <w:r>
        <w:rPr>
          <w:rFonts w:hint="default"/>
        </w:rPr>
        <w:t>；</w:t>
      </w:r>
    </w:p>
    <w:p>
      <w:pPr>
        <w:bidi w:val="0"/>
        <w:rPr>
          <w:rFonts w:hint="default"/>
        </w:rPr>
      </w:pPr>
      <w:r>
        <w:rPr>
          <w:rFonts w:hint="default"/>
        </w:rPr>
        <w:t>投资总额：项目总投资约</w:t>
      </w:r>
      <w:r>
        <w:rPr>
          <w:rFonts w:hint="eastAsia"/>
          <w:lang w:val="en-US" w:eastAsia="zh-CN"/>
        </w:rPr>
        <w:t>100000</w:t>
      </w:r>
      <w:r>
        <w:rPr>
          <w:rFonts w:hint="default"/>
        </w:rPr>
        <w:t>万元，其中环保投资</w:t>
      </w:r>
      <w:r>
        <w:rPr>
          <w:rFonts w:hint="eastAsia"/>
          <w:lang w:val="en-US" w:eastAsia="zh-CN"/>
        </w:rPr>
        <w:t>971</w:t>
      </w:r>
      <w:r>
        <w:rPr>
          <w:rFonts w:hint="default"/>
        </w:rPr>
        <w:t>万元；</w:t>
      </w:r>
    </w:p>
    <w:p>
      <w:pPr>
        <w:bidi w:val="0"/>
        <w:rPr>
          <w:rFonts w:hint="default"/>
        </w:rPr>
      </w:pPr>
      <w:r>
        <w:rPr>
          <w:rFonts w:hint="default"/>
        </w:rPr>
        <w:t>占地面积：</w:t>
      </w:r>
      <w:r>
        <w:rPr>
          <w:rFonts w:hint="eastAsia"/>
          <w:lang w:val="en-US" w:eastAsia="zh-CN"/>
        </w:rPr>
        <w:t>60亩</w:t>
      </w:r>
      <w:r>
        <w:rPr>
          <w:rFonts w:hint="default"/>
        </w:rPr>
        <w:t>；</w:t>
      </w:r>
    </w:p>
    <w:p>
      <w:pPr>
        <w:bidi w:val="0"/>
        <w:rPr>
          <w:rFonts w:hint="default" w:eastAsia="宋体"/>
          <w:lang w:val="en-US" w:eastAsia="zh-CN"/>
        </w:rPr>
      </w:pPr>
      <w:r>
        <w:rPr>
          <w:rFonts w:hint="default"/>
        </w:rPr>
        <w:t>职工人数：</w:t>
      </w:r>
      <w:r>
        <w:rPr>
          <w:rFonts w:hint="eastAsia"/>
        </w:rPr>
        <w:t>新增</w:t>
      </w:r>
      <w:r>
        <w:rPr>
          <w:rFonts w:hint="default"/>
        </w:rPr>
        <w:t>劳动定员为</w:t>
      </w:r>
      <w:r>
        <w:rPr>
          <w:rFonts w:hint="eastAsia"/>
          <w:lang w:val="en-US" w:eastAsia="zh-CN"/>
        </w:rPr>
        <w:t>40</w:t>
      </w:r>
      <w:r>
        <w:rPr>
          <w:rFonts w:hint="default"/>
        </w:rPr>
        <w:t>人，其中生产人员约</w:t>
      </w:r>
      <w:r>
        <w:rPr>
          <w:rFonts w:hint="eastAsia"/>
          <w:lang w:val="en-US" w:eastAsia="zh-CN"/>
        </w:rPr>
        <w:t>26</w:t>
      </w:r>
      <w:r>
        <w:rPr>
          <w:rFonts w:hint="default"/>
        </w:rPr>
        <w:t>人，管理人员</w:t>
      </w:r>
      <w:r>
        <w:rPr>
          <w:rFonts w:hint="eastAsia"/>
          <w:lang w:val="en-US" w:eastAsia="zh-CN"/>
        </w:rPr>
        <w:t>14</w:t>
      </w:r>
      <w:r>
        <w:rPr>
          <w:rFonts w:hint="default"/>
        </w:rPr>
        <w:t>人，</w:t>
      </w:r>
      <w:r>
        <w:rPr>
          <w:rFonts w:hint="eastAsia"/>
          <w:lang w:val="en-US" w:eastAsia="zh-CN"/>
        </w:rPr>
        <w:t>四班三运转，</w:t>
      </w:r>
      <w:r>
        <w:t>每班工作8小时</w:t>
      </w:r>
      <w:r>
        <w:rPr>
          <w:lang w:eastAsia="zh-CN"/>
        </w:rPr>
        <w:t>，年工作</w:t>
      </w:r>
      <w:r>
        <w:rPr>
          <w:rFonts w:hint="eastAsia"/>
          <w:lang w:val="en-US" w:eastAsia="zh-CN"/>
        </w:rPr>
        <w:t>330天</w:t>
      </w:r>
      <w:r>
        <w:rPr>
          <w:color w:val="000000"/>
          <w:szCs w:val="21"/>
        </w:rPr>
        <w:t>，全年工作7920h</w:t>
      </w:r>
      <w:r>
        <w:rPr>
          <w:rFonts w:hint="default"/>
        </w:rPr>
        <w:t>；</w:t>
      </w:r>
      <w:r>
        <w:rPr>
          <w:rFonts w:hint="eastAsia"/>
          <w:lang w:eastAsia="zh-CN"/>
        </w:rPr>
        <w:t>其中管理人员一期、二期共用</w:t>
      </w:r>
      <w:r>
        <w:rPr>
          <w:rFonts w:hint="eastAsia"/>
          <w:lang w:val="en-US" w:eastAsia="zh-CN"/>
        </w:rPr>
        <w:t>14人，一期配齐；生产人员一期、二期各13人。</w:t>
      </w:r>
    </w:p>
    <w:p>
      <w:pPr>
        <w:bidi w:val="0"/>
        <w:rPr>
          <w:rFonts w:hint="default"/>
        </w:rPr>
      </w:pPr>
      <w:r>
        <w:rPr>
          <w:rFonts w:hint="default"/>
        </w:rPr>
        <w:t>建设进度：</w:t>
      </w:r>
      <w:r>
        <w:rPr>
          <w:rFonts w:hint="eastAsia"/>
          <w:lang w:eastAsia="zh-CN"/>
        </w:rPr>
        <w:t>拟建项目分两期建设，一期、二期分别</w:t>
      </w:r>
      <w:r>
        <w:rPr>
          <w:rFonts w:hint="default"/>
        </w:rPr>
        <w:t>于2020年</w:t>
      </w:r>
      <w:r>
        <w:rPr>
          <w:rFonts w:hint="eastAsia"/>
          <w:lang w:val="en-US" w:eastAsia="zh-CN"/>
        </w:rPr>
        <w:t>12</w:t>
      </w:r>
      <w:r>
        <w:rPr>
          <w:rFonts w:hint="default"/>
        </w:rPr>
        <w:t>月</w:t>
      </w:r>
      <w:r>
        <w:rPr>
          <w:rFonts w:hint="eastAsia"/>
          <w:lang w:eastAsia="zh-CN"/>
        </w:rPr>
        <w:t>、</w:t>
      </w:r>
      <w:r>
        <w:rPr>
          <w:rFonts w:hint="eastAsia"/>
          <w:lang w:val="en-US" w:eastAsia="zh-CN"/>
        </w:rPr>
        <w:t>2021年12月</w:t>
      </w:r>
      <w:r>
        <w:rPr>
          <w:rFonts w:hint="default"/>
        </w:rPr>
        <w:t>开始施工，建设期</w:t>
      </w:r>
      <w:r>
        <w:rPr>
          <w:rFonts w:hint="eastAsia"/>
          <w:lang w:eastAsia="zh-CN"/>
        </w:rPr>
        <w:t>均</w:t>
      </w:r>
      <w:r>
        <w:rPr>
          <w:rFonts w:hint="default"/>
        </w:rPr>
        <w:t>约</w:t>
      </w:r>
      <w:r>
        <w:rPr>
          <w:rFonts w:hint="eastAsia"/>
          <w:lang w:val="en-US" w:eastAsia="zh-CN"/>
        </w:rPr>
        <w:t>12</w:t>
      </w:r>
      <w:r>
        <w:rPr>
          <w:rFonts w:hint="default"/>
        </w:rPr>
        <w:t>个月。</w:t>
      </w:r>
    </w:p>
    <w:p>
      <w:pPr>
        <w:pStyle w:val="5"/>
        <w:bidi w:val="0"/>
        <w:rPr>
          <w:rFonts w:hint="default"/>
          <w:lang w:val="en-US" w:eastAsia="zh-CN"/>
        </w:rPr>
      </w:pPr>
      <w:r>
        <w:rPr>
          <w:rFonts w:hint="eastAsia"/>
          <w:lang w:val="en-US" w:eastAsia="zh-CN"/>
        </w:rPr>
        <w:t>3.1.2 产品方案</w:t>
      </w:r>
    </w:p>
    <w:p>
      <w:pPr>
        <w:bidi w:val="0"/>
      </w:pPr>
      <w:r>
        <w:t>项目建设规模为年产</w:t>
      </w:r>
      <w:r>
        <w:rPr>
          <w:rFonts w:hint="eastAsia"/>
          <w:lang w:val="en-US" w:eastAsia="zh-CN"/>
        </w:rPr>
        <w:t>10</w:t>
      </w:r>
      <w:r>
        <w:t>万吨</w:t>
      </w:r>
      <w:r>
        <w:rPr>
          <w:rFonts w:hint="eastAsia"/>
          <w:lang w:eastAsia="zh-CN"/>
        </w:rPr>
        <w:t>新型</w:t>
      </w:r>
      <w:r>
        <w:t>增碳剂</w:t>
      </w:r>
      <w:r>
        <w:rPr>
          <w:rFonts w:hint="eastAsia"/>
          <w:lang w:eastAsia="zh-CN"/>
        </w:rPr>
        <w:t>项目</w:t>
      </w:r>
      <w:r>
        <w:t>，分二期建设，其中，一期建设</w:t>
      </w:r>
      <w:r>
        <w:rPr>
          <w:rFonts w:hint="eastAsia"/>
          <w:lang w:val="en-US" w:eastAsia="zh-CN"/>
        </w:rPr>
        <w:t>5</w:t>
      </w:r>
      <w:r>
        <w:t>0000t/a</w:t>
      </w:r>
      <w:r>
        <w:rPr>
          <w:rFonts w:hint="eastAsia"/>
          <w:lang w:eastAsia="zh-CN"/>
        </w:rPr>
        <w:t>新型</w:t>
      </w:r>
      <w:r>
        <w:t>增碳剂；二期建设</w:t>
      </w:r>
      <w:r>
        <w:rPr>
          <w:rFonts w:hint="eastAsia"/>
          <w:lang w:val="en-US" w:eastAsia="zh-CN"/>
        </w:rPr>
        <w:t>5</w:t>
      </w:r>
      <w:r>
        <w:t>0000t/a</w:t>
      </w:r>
      <w:r>
        <w:rPr>
          <w:rFonts w:hint="eastAsia"/>
          <w:lang w:eastAsia="zh-CN"/>
        </w:rPr>
        <w:t>新型</w:t>
      </w:r>
      <w:r>
        <w:t>增碳剂。</w:t>
      </w:r>
    </w:p>
    <w:p>
      <w:pPr>
        <w:pStyle w:val="27"/>
        <w:bidi w:val="0"/>
      </w:pPr>
      <w:r>
        <w:t>表</w:t>
      </w:r>
      <w:r>
        <w:rPr>
          <w:rFonts w:hint="eastAsia"/>
          <w:lang w:val="en-US" w:eastAsia="zh-CN"/>
        </w:rPr>
        <w:t>3.1.2-1</w:t>
      </w:r>
      <w:r>
        <w:t>项目产品方案</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780"/>
        <w:gridCol w:w="1388"/>
        <w:gridCol w:w="1446"/>
        <w:gridCol w:w="1361"/>
        <w:gridCol w:w="1038"/>
        <w:gridCol w:w="1230"/>
        <w:gridCol w:w="1033"/>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8" w:type="dxa"/>
            <w:noWrap w:val="0"/>
            <w:vAlign w:val="center"/>
          </w:tcPr>
          <w:p>
            <w:pPr>
              <w:pStyle w:val="28"/>
              <w:suppressLineNumbers w:val="0"/>
              <w:bidi w:val="0"/>
              <w:spacing w:before="0" w:after="0"/>
              <w:ind w:left="0" w:right="0"/>
            </w:pPr>
            <w:r>
              <w:t>产品名称</w:t>
            </w:r>
          </w:p>
        </w:tc>
        <w:tc>
          <w:tcPr>
            <w:tcW w:w="2168" w:type="dxa"/>
            <w:gridSpan w:val="2"/>
            <w:noWrap w:val="0"/>
            <w:vAlign w:val="center"/>
          </w:tcPr>
          <w:p>
            <w:pPr>
              <w:pStyle w:val="28"/>
              <w:suppressLineNumbers w:val="0"/>
              <w:bidi w:val="0"/>
              <w:spacing w:before="0" w:after="0"/>
              <w:ind w:left="0" w:right="0"/>
            </w:pPr>
            <w:r>
              <w:t>设计规模（t/a）</w:t>
            </w:r>
          </w:p>
        </w:tc>
        <w:tc>
          <w:tcPr>
            <w:tcW w:w="1446" w:type="dxa"/>
            <w:noWrap w:val="0"/>
            <w:vAlign w:val="center"/>
          </w:tcPr>
          <w:p>
            <w:pPr>
              <w:pStyle w:val="28"/>
              <w:suppressLineNumbers w:val="0"/>
              <w:bidi w:val="0"/>
              <w:spacing w:before="0" w:after="0"/>
              <w:ind w:left="0" w:right="0"/>
            </w:pPr>
            <w:r>
              <w:t>计划开工时间</w:t>
            </w:r>
          </w:p>
        </w:tc>
        <w:tc>
          <w:tcPr>
            <w:tcW w:w="1361" w:type="dxa"/>
            <w:noWrap w:val="0"/>
            <w:vAlign w:val="center"/>
          </w:tcPr>
          <w:p>
            <w:pPr>
              <w:pStyle w:val="28"/>
              <w:suppressLineNumbers w:val="0"/>
              <w:bidi w:val="0"/>
              <w:spacing w:before="0" w:after="0"/>
              <w:ind w:left="0" w:right="0"/>
            </w:pPr>
            <w:r>
              <w:t>建成时间</w:t>
            </w:r>
          </w:p>
        </w:tc>
        <w:tc>
          <w:tcPr>
            <w:tcW w:w="1038" w:type="dxa"/>
            <w:noWrap w:val="0"/>
            <w:vAlign w:val="center"/>
          </w:tcPr>
          <w:p>
            <w:pPr>
              <w:pStyle w:val="28"/>
              <w:suppressLineNumbers w:val="0"/>
              <w:bidi w:val="0"/>
              <w:spacing w:before="0" w:after="0"/>
              <w:ind w:left="0" w:right="0"/>
            </w:pPr>
            <w:r>
              <w:t>年工作时间</w:t>
            </w:r>
          </w:p>
        </w:tc>
        <w:tc>
          <w:tcPr>
            <w:tcW w:w="1230" w:type="dxa"/>
            <w:noWrap w:val="0"/>
            <w:vAlign w:val="center"/>
          </w:tcPr>
          <w:p>
            <w:pPr>
              <w:pStyle w:val="28"/>
              <w:suppressLineNumbers w:val="0"/>
              <w:bidi w:val="0"/>
              <w:spacing w:before="0" w:after="0"/>
              <w:ind w:left="0" w:right="0"/>
              <w:rPr>
                <w:rFonts w:hint="eastAsia"/>
                <w:lang w:eastAsia="zh-CN"/>
              </w:rPr>
            </w:pPr>
            <w:r>
              <w:rPr>
                <w:rFonts w:hint="eastAsia"/>
                <w:lang w:eastAsia="zh-CN"/>
              </w:rPr>
              <w:t>容器或包装规格</w:t>
            </w:r>
          </w:p>
        </w:tc>
        <w:tc>
          <w:tcPr>
            <w:tcW w:w="1033" w:type="dxa"/>
            <w:noWrap w:val="0"/>
            <w:vAlign w:val="center"/>
          </w:tcPr>
          <w:p>
            <w:pPr>
              <w:pStyle w:val="28"/>
              <w:suppressLineNumbers w:val="0"/>
              <w:bidi w:val="0"/>
              <w:spacing w:before="0" w:after="0"/>
              <w:ind w:left="0" w:right="0"/>
              <w:rPr>
                <w:rFonts w:hint="default"/>
                <w:lang w:val="en-US" w:eastAsia="zh-CN"/>
              </w:rPr>
            </w:pPr>
            <w:r>
              <w:rPr>
                <w:rFonts w:hint="eastAsia"/>
                <w:lang w:eastAsia="zh-CN"/>
              </w:rPr>
              <w:t>最大贮存量</w:t>
            </w:r>
            <w:r>
              <w:rPr>
                <w:rFonts w:hint="eastAsia"/>
                <w:lang w:val="en-US" w:eastAsia="zh-CN"/>
              </w:rPr>
              <w:t>t</w:t>
            </w:r>
          </w:p>
        </w:tc>
        <w:tc>
          <w:tcPr>
            <w:tcW w:w="828"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restart"/>
            <w:noWrap w:val="0"/>
            <w:vAlign w:val="center"/>
          </w:tcPr>
          <w:p>
            <w:pPr>
              <w:pStyle w:val="28"/>
              <w:suppressLineNumbers w:val="0"/>
              <w:bidi w:val="0"/>
              <w:spacing w:before="0" w:after="0"/>
              <w:ind w:left="0" w:right="0"/>
            </w:pPr>
            <w:r>
              <w:rPr>
                <w:rFonts w:hint="eastAsia"/>
                <w:lang w:eastAsia="zh-CN"/>
              </w:rPr>
              <w:t>新型</w:t>
            </w:r>
            <w:r>
              <w:t>增碳剂</w:t>
            </w:r>
          </w:p>
        </w:tc>
        <w:tc>
          <w:tcPr>
            <w:tcW w:w="780" w:type="dxa"/>
            <w:vMerge w:val="restart"/>
            <w:noWrap w:val="0"/>
            <w:vAlign w:val="center"/>
          </w:tcPr>
          <w:p>
            <w:pPr>
              <w:pStyle w:val="28"/>
              <w:suppressLineNumbers w:val="0"/>
              <w:bidi w:val="0"/>
              <w:spacing w:before="0" w:after="0"/>
              <w:ind w:left="0" w:right="0"/>
            </w:pPr>
            <w:r>
              <w:rPr>
                <w:rFonts w:hint="eastAsia"/>
                <w:lang w:val="en-US" w:eastAsia="zh-CN"/>
              </w:rPr>
              <w:t>10</w:t>
            </w:r>
            <w:r>
              <w:t>0000</w:t>
            </w:r>
          </w:p>
        </w:tc>
        <w:tc>
          <w:tcPr>
            <w:tcW w:w="1388" w:type="dxa"/>
            <w:noWrap w:val="0"/>
            <w:vAlign w:val="center"/>
          </w:tcPr>
          <w:p>
            <w:pPr>
              <w:pStyle w:val="28"/>
              <w:suppressLineNumbers w:val="0"/>
              <w:bidi w:val="0"/>
              <w:spacing w:before="0" w:after="0"/>
              <w:ind w:left="0" w:right="0"/>
            </w:pPr>
            <w:r>
              <w:t>一期</w:t>
            </w:r>
            <w:r>
              <w:rPr>
                <w:rFonts w:hint="eastAsia"/>
                <w:lang w:val="en-US" w:eastAsia="zh-CN"/>
              </w:rPr>
              <w:t>5</w:t>
            </w:r>
            <w:r>
              <w:t>0000t/a</w:t>
            </w:r>
          </w:p>
        </w:tc>
        <w:tc>
          <w:tcPr>
            <w:tcW w:w="1446" w:type="dxa"/>
            <w:noWrap w:val="0"/>
            <w:vAlign w:val="center"/>
          </w:tcPr>
          <w:p>
            <w:pPr>
              <w:pStyle w:val="28"/>
              <w:suppressLineNumbers w:val="0"/>
              <w:bidi w:val="0"/>
              <w:spacing w:before="0" w:after="0"/>
              <w:ind w:left="0" w:right="0"/>
            </w:pPr>
            <w:r>
              <w:t>20</w:t>
            </w:r>
            <w:r>
              <w:rPr>
                <w:rFonts w:hint="eastAsia"/>
                <w:lang w:val="en-US" w:eastAsia="zh-CN"/>
              </w:rPr>
              <w:t>20</w:t>
            </w:r>
            <w:r>
              <w:t>年</w:t>
            </w:r>
            <w:r>
              <w:rPr>
                <w:rFonts w:hint="eastAsia"/>
                <w:lang w:val="en-US" w:eastAsia="zh-CN"/>
              </w:rPr>
              <w:t>12</w:t>
            </w:r>
            <w:r>
              <w:t>月</w:t>
            </w:r>
          </w:p>
        </w:tc>
        <w:tc>
          <w:tcPr>
            <w:tcW w:w="1361" w:type="dxa"/>
            <w:noWrap w:val="0"/>
            <w:vAlign w:val="center"/>
          </w:tcPr>
          <w:p>
            <w:pPr>
              <w:pStyle w:val="28"/>
              <w:suppressLineNumbers w:val="0"/>
              <w:bidi w:val="0"/>
              <w:spacing w:before="0" w:after="0"/>
              <w:ind w:left="0" w:right="0"/>
            </w:pPr>
            <w:r>
              <w:t>20</w:t>
            </w:r>
            <w:r>
              <w:rPr>
                <w:rFonts w:hint="eastAsia"/>
                <w:lang w:val="en-US" w:eastAsia="zh-CN"/>
              </w:rPr>
              <w:t>21</w:t>
            </w:r>
            <w:r>
              <w:t>年</w:t>
            </w:r>
            <w:r>
              <w:rPr>
                <w:rFonts w:hint="eastAsia"/>
                <w:lang w:val="en-US" w:eastAsia="zh-CN"/>
              </w:rPr>
              <w:t>12</w:t>
            </w:r>
            <w:r>
              <w:t>月</w:t>
            </w:r>
          </w:p>
        </w:tc>
        <w:tc>
          <w:tcPr>
            <w:tcW w:w="1038" w:type="dxa"/>
            <w:noWrap w:val="0"/>
            <w:vAlign w:val="center"/>
          </w:tcPr>
          <w:p>
            <w:pPr>
              <w:pStyle w:val="28"/>
              <w:suppressLineNumbers w:val="0"/>
              <w:bidi w:val="0"/>
              <w:spacing w:before="0" w:after="0"/>
              <w:ind w:left="0" w:right="0"/>
            </w:pPr>
            <w:r>
              <w:t>7920</w:t>
            </w:r>
          </w:p>
        </w:tc>
        <w:tc>
          <w:tcPr>
            <w:tcW w:w="1230" w:type="dxa"/>
            <w:vMerge w:val="restart"/>
            <w:noWrap w:val="0"/>
            <w:vAlign w:val="center"/>
          </w:tcPr>
          <w:p>
            <w:pPr>
              <w:pStyle w:val="28"/>
              <w:suppressLineNumbers w:val="0"/>
              <w:bidi w:val="0"/>
              <w:spacing w:before="0" w:after="0"/>
              <w:ind w:left="0" w:right="0"/>
              <w:rPr>
                <w:rFonts w:hint="default" w:eastAsia="宋体"/>
                <w:lang w:val="en-US" w:eastAsia="zh-CN"/>
              </w:rPr>
            </w:pPr>
            <w:r>
              <w:rPr>
                <w:color w:val="000000"/>
                <w:szCs w:val="21"/>
              </w:rPr>
              <w:t>吨袋</w:t>
            </w:r>
            <w:r>
              <w:rPr>
                <w:rFonts w:hint="eastAsia"/>
                <w:color w:val="000000"/>
                <w:szCs w:val="21"/>
                <w:lang w:eastAsia="zh-CN"/>
              </w:rPr>
              <w:t>或</w:t>
            </w:r>
            <w:r>
              <w:rPr>
                <w:rFonts w:hint="eastAsia"/>
                <w:color w:val="000000"/>
                <w:szCs w:val="21"/>
                <w:lang w:val="en-US" w:eastAsia="zh-CN"/>
              </w:rPr>
              <w:t>25kg/袋</w:t>
            </w:r>
          </w:p>
        </w:tc>
        <w:tc>
          <w:tcPr>
            <w:tcW w:w="1033" w:type="dxa"/>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8000</w:t>
            </w:r>
          </w:p>
        </w:tc>
        <w:tc>
          <w:tcPr>
            <w:tcW w:w="828" w:type="dxa"/>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dxa"/>
            <w:vMerge w:val="continue"/>
            <w:noWrap w:val="0"/>
            <w:vAlign w:val="center"/>
          </w:tcPr>
          <w:p>
            <w:pPr>
              <w:pStyle w:val="28"/>
              <w:suppressLineNumbers w:val="0"/>
              <w:bidi w:val="0"/>
              <w:spacing w:before="0" w:after="0"/>
              <w:ind w:left="0" w:right="0"/>
              <w:outlineLvl w:val="9"/>
            </w:pPr>
          </w:p>
        </w:tc>
        <w:tc>
          <w:tcPr>
            <w:tcW w:w="780" w:type="dxa"/>
            <w:vMerge w:val="continue"/>
            <w:noWrap w:val="0"/>
            <w:vAlign w:val="center"/>
          </w:tcPr>
          <w:p>
            <w:pPr>
              <w:pStyle w:val="28"/>
              <w:suppressLineNumbers w:val="0"/>
              <w:bidi w:val="0"/>
              <w:spacing w:before="0" w:after="0"/>
              <w:ind w:left="0" w:right="0"/>
              <w:outlineLvl w:val="9"/>
            </w:pPr>
          </w:p>
        </w:tc>
        <w:tc>
          <w:tcPr>
            <w:tcW w:w="1388" w:type="dxa"/>
            <w:noWrap w:val="0"/>
            <w:vAlign w:val="center"/>
          </w:tcPr>
          <w:p>
            <w:pPr>
              <w:pStyle w:val="28"/>
              <w:suppressLineNumbers w:val="0"/>
              <w:bidi w:val="0"/>
              <w:spacing w:before="0" w:after="0"/>
              <w:ind w:left="0" w:right="0"/>
            </w:pPr>
            <w:r>
              <w:t>二期</w:t>
            </w:r>
            <w:r>
              <w:rPr>
                <w:rFonts w:hint="eastAsia"/>
                <w:lang w:val="en-US" w:eastAsia="zh-CN"/>
              </w:rPr>
              <w:t>5</w:t>
            </w:r>
            <w:r>
              <w:t>0000t/a</w:t>
            </w:r>
          </w:p>
        </w:tc>
        <w:tc>
          <w:tcPr>
            <w:tcW w:w="1446" w:type="dxa"/>
            <w:noWrap w:val="0"/>
            <w:vAlign w:val="center"/>
          </w:tcPr>
          <w:p>
            <w:pPr>
              <w:pStyle w:val="28"/>
              <w:suppressLineNumbers w:val="0"/>
              <w:bidi w:val="0"/>
              <w:spacing w:before="0" w:after="0"/>
              <w:ind w:left="0" w:right="0"/>
            </w:pPr>
            <w:r>
              <w:rPr>
                <w:rFonts w:hint="eastAsia"/>
                <w:lang w:val="en-US" w:eastAsia="zh-CN"/>
              </w:rPr>
              <w:t>2021</w:t>
            </w:r>
            <w:r>
              <w:t>年</w:t>
            </w:r>
            <w:r>
              <w:rPr>
                <w:rFonts w:hint="eastAsia"/>
                <w:lang w:val="en-US" w:eastAsia="zh-CN"/>
              </w:rPr>
              <w:t>12</w:t>
            </w:r>
            <w:r>
              <w:t>月</w:t>
            </w:r>
          </w:p>
        </w:tc>
        <w:tc>
          <w:tcPr>
            <w:tcW w:w="1361" w:type="dxa"/>
            <w:noWrap w:val="0"/>
            <w:vAlign w:val="center"/>
          </w:tcPr>
          <w:p>
            <w:pPr>
              <w:pStyle w:val="28"/>
              <w:suppressLineNumbers w:val="0"/>
              <w:bidi w:val="0"/>
              <w:spacing w:before="0" w:after="0"/>
              <w:ind w:left="0" w:right="0"/>
            </w:pPr>
            <w:r>
              <w:t>202</w:t>
            </w:r>
            <w:r>
              <w:rPr>
                <w:rFonts w:hint="eastAsia"/>
                <w:lang w:val="en-US" w:eastAsia="zh-CN"/>
              </w:rPr>
              <w:t>2</w:t>
            </w:r>
            <w:r>
              <w:t>年</w:t>
            </w:r>
            <w:r>
              <w:rPr>
                <w:rFonts w:hint="eastAsia"/>
                <w:lang w:val="en-US" w:eastAsia="zh-CN"/>
              </w:rPr>
              <w:t>12</w:t>
            </w:r>
            <w:r>
              <w:t>月</w:t>
            </w:r>
          </w:p>
        </w:tc>
        <w:tc>
          <w:tcPr>
            <w:tcW w:w="1038" w:type="dxa"/>
            <w:noWrap w:val="0"/>
            <w:vAlign w:val="center"/>
          </w:tcPr>
          <w:p>
            <w:pPr>
              <w:pStyle w:val="28"/>
              <w:suppressLineNumbers w:val="0"/>
              <w:bidi w:val="0"/>
              <w:spacing w:before="0" w:after="0"/>
              <w:ind w:left="0" w:right="0"/>
            </w:pPr>
            <w:r>
              <w:t>7920</w:t>
            </w:r>
          </w:p>
        </w:tc>
        <w:tc>
          <w:tcPr>
            <w:tcW w:w="1230" w:type="dxa"/>
            <w:vMerge w:val="continue"/>
            <w:noWrap w:val="0"/>
            <w:vAlign w:val="center"/>
          </w:tcPr>
          <w:p>
            <w:pPr>
              <w:pStyle w:val="28"/>
              <w:suppressLineNumbers w:val="0"/>
              <w:bidi w:val="0"/>
              <w:spacing w:before="0" w:after="0"/>
              <w:ind w:left="0" w:right="0"/>
              <w:outlineLvl w:val="9"/>
            </w:pPr>
          </w:p>
        </w:tc>
        <w:tc>
          <w:tcPr>
            <w:tcW w:w="1033" w:type="dxa"/>
            <w:vMerge w:val="continue"/>
            <w:noWrap w:val="0"/>
            <w:vAlign w:val="center"/>
          </w:tcPr>
          <w:p>
            <w:pPr>
              <w:pStyle w:val="28"/>
              <w:suppressLineNumbers w:val="0"/>
              <w:bidi w:val="0"/>
              <w:spacing w:before="0" w:after="0"/>
              <w:ind w:left="0" w:right="0"/>
              <w:outlineLvl w:val="9"/>
            </w:pPr>
          </w:p>
        </w:tc>
        <w:tc>
          <w:tcPr>
            <w:tcW w:w="828" w:type="dxa"/>
            <w:vMerge w:val="continue"/>
            <w:noWrap w:val="0"/>
            <w:vAlign w:val="center"/>
          </w:tcPr>
          <w:p>
            <w:pPr>
              <w:pStyle w:val="28"/>
              <w:suppressLineNumbers w:val="0"/>
              <w:bidi w:val="0"/>
              <w:spacing w:before="0" w:after="0"/>
              <w:ind w:left="0" w:right="0"/>
              <w:outlineLvl w:val="9"/>
            </w:pPr>
          </w:p>
        </w:tc>
      </w:tr>
    </w:tbl>
    <w:p>
      <w:pPr>
        <w:bidi w:val="0"/>
      </w:pPr>
      <w:r>
        <w:t>本项目产品满足《石墨化增碳剂》（YB/T4403-2014）中表1中</w:t>
      </w:r>
      <w:r>
        <w:rPr>
          <w:rFonts w:hint="eastAsia"/>
          <w:lang w:eastAsia="zh-CN"/>
        </w:rPr>
        <w:t>的</w:t>
      </w:r>
      <w:r>
        <w:t>标准。</w:t>
      </w:r>
    </w:p>
    <w:p>
      <w:pPr>
        <w:pStyle w:val="27"/>
        <w:bidi w:val="0"/>
      </w:pPr>
      <w:r>
        <w:t>表</w:t>
      </w:r>
      <w:r>
        <w:rPr>
          <w:rFonts w:hint="eastAsia"/>
          <w:lang w:val="en-US" w:eastAsia="zh-CN"/>
        </w:rPr>
        <w:t>3.1.2-2</w:t>
      </w:r>
      <w:r>
        <w:t>项目产品理化指标表</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1843"/>
        <w:gridCol w:w="1472"/>
        <w:gridCol w:w="1843"/>
        <w:gridCol w:w="1472"/>
        <w:gridCol w:w="1108"/>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9" w:type="pct"/>
            <w:vMerge w:val="restar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等级</w:t>
            </w:r>
          </w:p>
        </w:tc>
        <w:tc>
          <w:tcPr>
            <w:tcW w:w="3890" w:type="pct"/>
            <w:gridSpan w:val="6"/>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vMerge w:val="continue"/>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outlineLvl w:val="9"/>
            </w:pP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固定碳≥</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灰分≤</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挥发分≤</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水分≤</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特级</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99.7</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0.15</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0.15</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0.2</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一级</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99.5</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0.2</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0.3</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二级</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99</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0.5</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0.5</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0.3</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三级</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98.5</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0.7</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0.8</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0.3</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3" w:hRule="atLeast"/>
        </w:trPr>
        <w:tc>
          <w:tcPr>
            <w:tcW w:w="110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b/>
                <w:bCs/>
              </w:rPr>
            </w:pPr>
            <w:r>
              <w:rPr>
                <w:b/>
                <w:bCs/>
              </w:rPr>
              <w:t>本项目取值</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b/>
                <w:bCs/>
                <w:lang w:val="en-US" w:eastAsia="zh-CN"/>
              </w:rPr>
            </w:pPr>
            <w:r>
              <w:rPr>
                <w:rFonts w:hint="eastAsia"/>
                <w:b/>
                <w:bCs/>
                <w:lang w:val="en-US" w:eastAsia="zh-CN"/>
              </w:rPr>
              <w:t>99</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eastAsia" w:eastAsia="宋体"/>
                <w:b/>
                <w:bCs/>
                <w:lang w:val="en-US" w:eastAsia="zh-CN"/>
              </w:rPr>
            </w:pPr>
            <w:r>
              <w:rPr>
                <w:b/>
                <w:bCs/>
              </w:rPr>
              <w:t>0.</w:t>
            </w:r>
            <w:r>
              <w:rPr>
                <w:rFonts w:hint="eastAsia"/>
                <w:b/>
                <w:bCs/>
                <w:lang w:val="en-US" w:eastAsia="zh-CN"/>
              </w:rPr>
              <w:t>6</w:t>
            </w:r>
          </w:p>
        </w:tc>
        <w:tc>
          <w:tcPr>
            <w:tcW w:w="92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b/>
                <w:bCs/>
                <w:lang w:val="en-US" w:eastAsia="zh-CN"/>
              </w:rPr>
            </w:pPr>
            <w:r>
              <w:rPr>
                <w:rFonts w:hint="eastAsia"/>
                <w:b/>
                <w:bCs/>
                <w:lang w:val="en-US" w:eastAsia="zh-CN"/>
              </w:rPr>
              <w:t>0.3</w:t>
            </w:r>
          </w:p>
        </w:tc>
        <w:tc>
          <w:tcPr>
            <w:tcW w:w="739"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b/>
                <w:bCs/>
                <w:lang w:val="en-US" w:eastAsia="zh-CN"/>
              </w:rPr>
            </w:pPr>
            <w:r>
              <w:rPr>
                <w:b/>
                <w:bCs/>
              </w:rPr>
              <w:t>0.</w:t>
            </w:r>
            <w:r>
              <w:rPr>
                <w:rFonts w:hint="eastAsia"/>
                <w:b/>
                <w:bCs/>
                <w:lang w:val="en-US" w:eastAsia="zh-CN"/>
              </w:rPr>
              <w:t>05</w:t>
            </w:r>
          </w:p>
        </w:tc>
        <w:tc>
          <w:tcPr>
            <w:tcW w:w="556"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b/>
                <w:bCs/>
                <w:lang w:val="en-US" w:eastAsia="zh-CN"/>
              </w:rPr>
            </w:pPr>
            <w:r>
              <w:rPr>
                <w:b/>
                <w:bCs/>
              </w:rPr>
              <w:t>0.05</w:t>
            </w:r>
          </w:p>
        </w:tc>
      </w:tr>
    </w:tbl>
    <w:p>
      <w:pPr>
        <w:pStyle w:val="5"/>
        <w:bidi w:val="0"/>
        <w:rPr>
          <w:rFonts w:hint="eastAsia"/>
          <w:lang w:val="en-US" w:eastAsia="zh-CN"/>
        </w:rPr>
      </w:pPr>
      <w:r>
        <w:rPr>
          <w:rFonts w:hint="eastAsia"/>
          <w:lang w:val="en-US" w:eastAsia="zh-CN"/>
        </w:rPr>
        <w:t>3.1.3 项目组成</w:t>
      </w:r>
    </w:p>
    <w:p>
      <w:pPr>
        <w:pStyle w:val="6"/>
        <w:bidi w:val="0"/>
        <w:rPr>
          <w:rFonts w:hint="default"/>
          <w:lang w:val="en-US" w:eastAsia="zh-CN"/>
        </w:rPr>
      </w:pPr>
      <w:r>
        <w:rPr>
          <w:rFonts w:hint="eastAsia"/>
          <w:lang w:val="en-US" w:eastAsia="zh-CN"/>
        </w:rPr>
        <w:t>3.1.3.1 主体工程情况</w:t>
      </w:r>
    </w:p>
    <w:p>
      <w:pPr>
        <w:rPr>
          <w:rFonts w:hint="default"/>
          <w:lang w:val="en-US" w:eastAsia="zh-CN"/>
        </w:rPr>
      </w:pPr>
      <w:r>
        <w:rPr>
          <w:rFonts w:hint="eastAsia"/>
          <w:lang w:val="en-US" w:eastAsia="zh-CN"/>
        </w:rPr>
        <w:t>项目建设规模及内容：项目总用地面积60亩，建筑面积28874.39平方米，通过购置埋弧电煅炉、振动筛分机、破碎机等装置，经过原料-电煅-筛分-破碎-检验-包装等工艺，形成年产10万吨新型增碳剂项目生产规模。</w:t>
      </w:r>
    </w:p>
    <w:p>
      <w:pPr>
        <w:rPr>
          <w:rFonts w:hint="eastAsia"/>
          <w:lang w:val="en-US" w:eastAsia="zh-CN"/>
        </w:rPr>
      </w:pPr>
      <w:r>
        <w:rPr>
          <w:rFonts w:hint="eastAsia"/>
          <w:lang w:val="en-US" w:eastAsia="zh-CN"/>
        </w:rPr>
        <w:t>项目主体工程如下表所示。</w:t>
      </w:r>
    </w:p>
    <w:p>
      <w:pPr>
        <w:pStyle w:val="27"/>
        <w:bidi w:val="0"/>
        <w:rPr>
          <w:rFonts w:hint="eastAsia"/>
          <w:lang w:val="en-US" w:eastAsia="zh-CN"/>
        </w:rPr>
      </w:pPr>
      <w:r>
        <w:rPr>
          <w:rFonts w:hint="eastAsia"/>
          <w:lang w:val="en-US" w:eastAsia="zh-CN"/>
        </w:rPr>
        <w:t>表3.1.3-1项目主体工程情况表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422"/>
        <w:gridCol w:w="1480"/>
        <w:gridCol w:w="1504"/>
        <w:gridCol w:w="1769"/>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tcPr>
          <w:p>
            <w:pPr>
              <w:pStyle w:val="28"/>
              <w:suppressLineNumbers w:val="0"/>
              <w:bidi w:val="0"/>
              <w:spacing w:before="0" w:after="0"/>
              <w:ind w:left="0" w:right="0"/>
              <w:rPr>
                <w:rFonts w:hint="default"/>
                <w:lang w:val="en-US" w:eastAsia="zh-CN"/>
              </w:rPr>
            </w:pPr>
            <w:r>
              <w:rPr>
                <w:rFonts w:hint="eastAsia"/>
                <w:lang w:val="en-US" w:eastAsia="zh-CN"/>
              </w:rPr>
              <w:t>车间</w:t>
            </w:r>
          </w:p>
        </w:tc>
        <w:tc>
          <w:tcPr>
            <w:tcW w:w="713" w:type="pct"/>
          </w:tcPr>
          <w:p>
            <w:pPr>
              <w:pStyle w:val="28"/>
              <w:suppressLineNumbers w:val="0"/>
              <w:bidi w:val="0"/>
              <w:spacing w:before="0" w:after="0"/>
              <w:ind w:left="0" w:right="0"/>
              <w:rPr>
                <w:rFonts w:hint="default"/>
                <w:lang w:val="en-US" w:eastAsia="zh-CN"/>
              </w:rPr>
            </w:pPr>
            <w:r>
              <w:rPr>
                <w:rFonts w:hint="eastAsia"/>
                <w:lang w:val="en-US" w:eastAsia="zh-CN"/>
              </w:rPr>
              <w:t>产品名称</w:t>
            </w:r>
          </w:p>
        </w:tc>
        <w:tc>
          <w:tcPr>
            <w:tcW w:w="743" w:type="pct"/>
          </w:tcPr>
          <w:p>
            <w:pPr>
              <w:pStyle w:val="28"/>
              <w:suppressLineNumbers w:val="0"/>
              <w:bidi w:val="0"/>
              <w:spacing w:before="0" w:after="0"/>
              <w:ind w:left="0" w:right="0"/>
              <w:rPr>
                <w:rFonts w:hint="default"/>
                <w:lang w:val="en-US" w:eastAsia="zh-CN"/>
              </w:rPr>
            </w:pPr>
            <w:r>
              <w:rPr>
                <w:rFonts w:hint="eastAsia"/>
                <w:lang w:val="en-US" w:eastAsia="zh-CN"/>
              </w:rPr>
              <w:t>设计能力t/a</w:t>
            </w:r>
          </w:p>
        </w:tc>
        <w:tc>
          <w:tcPr>
            <w:tcW w:w="755" w:type="pct"/>
          </w:tcPr>
          <w:p>
            <w:pPr>
              <w:pStyle w:val="28"/>
              <w:suppressLineNumbers w:val="0"/>
              <w:bidi w:val="0"/>
              <w:spacing w:before="0" w:after="0"/>
              <w:ind w:left="0" w:right="0"/>
              <w:rPr>
                <w:rFonts w:hint="default"/>
                <w:lang w:val="en-US" w:eastAsia="zh-CN"/>
              </w:rPr>
            </w:pPr>
            <w:r>
              <w:rPr>
                <w:rFonts w:hint="eastAsia"/>
                <w:lang w:val="en-US" w:eastAsia="zh-CN"/>
              </w:rPr>
              <w:t>占地面积m</w:t>
            </w:r>
            <w:r>
              <w:rPr>
                <w:rFonts w:hint="eastAsia"/>
                <w:vertAlign w:val="superscript"/>
                <w:lang w:val="en-US" w:eastAsia="zh-CN"/>
              </w:rPr>
              <w:t>2</w:t>
            </w:r>
          </w:p>
        </w:tc>
        <w:tc>
          <w:tcPr>
            <w:tcW w:w="888" w:type="pct"/>
          </w:tcPr>
          <w:p>
            <w:pPr>
              <w:pStyle w:val="28"/>
              <w:suppressLineNumbers w:val="0"/>
              <w:bidi w:val="0"/>
              <w:spacing w:before="0" w:after="0"/>
              <w:ind w:left="0" w:right="0"/>
              <w:rPr>
                <w:rFonts w:hint="default"/>
                <w:lang w:val="en-US" w:eastAsia="zh-CN"/>
              </w:rPr>
            </w:pPr>
            <w:r>
              <w:rPr>
                <w:rFonts w:hint="eastAsia"/>
                <w:lang w:val="en-US" w:eastAsia="zh-CN"/>
              </w:rPr>
              <w:t>年运行时数h/a</w:t>
            </w:r>
          </w:p>
        </w:tc>
        <w:tc>
          <w:tcPr>
            <w:tcW w:w="1068" w:type="pct"/>
          </w:tcPr>
          <w:p>
            <w:pPr>
              <w:pStyle w:val="28"/>
              <w:suppressLineNumbers w:val="0"/>
              <w:bidi w:val="0"/>
              <w:spacing w:before="0" w:after="0"/>
              <w:ind w:left="0" w:right="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tcPr>
          <w:p>
            <w:pPr>
              <w:pStyle w:val="28"/>
              <w:suppressLineNumbers w:val="0"/>
              <w:bidi w:val="0"/>
              <w:spacing w:before="0" w:after="0"/>
              <w:ind w:left="0" w:right="0"/>
              <w:rPr>
                <w:rFonts w:hint="default"/>
                <w:lang w:val="en-US" w:eastAsia="zh-CN"/>
              </w:rPr>
            </w:pPr>
            <w:r>
              <w:rPr>
                <w:rFonts w:hint="eastAsia"/>
                <w:lang w:val="en-US" w:eastAsia="zh-CN"/>
              </w:rPr>
              <w:t>车间一</w:t>
            </w:r>
          </w:p>
        </w:tc>
        <w:tc>
          <w:tcPr>
            <w:tcW w:w="713" w:type="pct"/>
          </w:tcPr>
          <w:p>
            <w:pPr>
              <w:pStyle w:val="28"/>
              <w:suppressLineNumbers w:val="0"/>
              <w:bidi w:val="0"/>
              <w:spacing w:before="0" w:after="0"/>
              <w:ind w:left="0" w:right="0"/>
              <w:rPr>
                <w:rFonts w:hint="default"/>
                <w:lang w:val="en-US" w:eastAsia="zh-CN"/>
              </w:rPr>
            </w:pPr>
            <w:r>
              <w:rPr>
                <w:rFonts w:hint="eastAsia"/>
                <w:lang w:val="en-US" w:eastAsia="zh-CN"/>
              </w:rPr>
              <w:t>新型增碳剂</w:t>
            </w:r>
          </w:p>
        </w:tc>
        <w:tc>
          <w:tcPr>
            <w:tcW w:w="743" w:type="pct"/>
          </w:tcPr>
          <w:p>
            <w:pPr>
              <w:pStyle w:val="28"/>
              <w:suppressLineNumbers w:val="0"/>
              <w:bidi w:val="0"/>
              <w:spacing w:before="0" w:after="0"/>
              <w:ind w:left="0" w:right="0"/>
              <w:rPr>
                <w:rFonts w:hint="default"/>
                <w:lang w:val="en-US" w:eastAsia="zh-CN"/>
              </w:rPr>
            </w:pPr>
            <w:r>
              <w:rPr>
                <w:rFonts w:hint="eastAsia"/>
                <w:lang w:val="en-US" w:eastAsia="zh-CN"/>
              </w:rPr>
              <w:t>50000</w:t>
            </w:r>
          </w:p>
        </w:tc>
        <w:tc>
          <w:tcPr>
            <w:tcW w:w="755" w:type="pct"/>
          </w:tcPr>
          <w:p>
            <w:pPr>
              <w:pStyle w:val="28"/>
              <w:suppressLineNumbers w:val="0"/>
              <w:bidi w:val="0"/>
              <w:spacing w:before="0" w:after="0"/>
              <w:ind w:left="0" w:right="0"/>
              <w:rPr>
                <w:rFonts w:hint="default"/>
                <w:lang w:val="en-US" w:eastAsia="zh-CN"/>
              </w:rPr>
            </w:pPr>
            <w:r>
              <w:rPr>
                <w:rFonts w:hint="eastAsia"/>
                <w:lang w:val="en-US" w:eastAsia="zh-CN"/>
              </w:rPr>
              <w:t>4112.9</w:t>
            </w:r>
          </w:p>
        </w:tc>
        <w:tc>
          <w:tcPr>
            <w:tcW w:w="888" w:type="pct"/>
          </w:tcPr>
          <w:p>
            <w:pPr>
              <w:pStyle w:val="28"/>
              <w:suppressLineNumbers w:val="0"/>
              <w:bidi w:val="0"/>
              <w:spacing w:before="0" w:after="0"/>
              <w:ind w:left="0" w:right="0"/>
              <w:rPr>
                <w:rFonts w:hint="default"/>
                <w:lang w:val="en-US" w:eastAsia="zh-CN"/>
              </w:rPr>
            </w:pPr>
            <w:r>
              <w:rPr>
                <w:rFonts w:hint="eastAsia"/>
                <w:lang w:val="en-US" w:eastAsia="zh-CN"/>
              </w:rPr>
              <w:t>7920</w:t>
            </w:r>
          </w:p>
        </w:tc>
        <w:tc>
          <w:tcPr>
            <w:tcW w:w="1068" w:type="pct"/>
          </w:tcPr>
          <w:p>
            <w:pPr>
              <w:pStyle w:val="28"/>
              <w:suppressLineNumbers w:val="0"/>
              <w:bidi w:val="0"/>
              <w:spacing w:before="0" w:after="0"/>
              <w:ind w:left="0" w:right="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tcPr>
          <w:p>
            <w:pPr>
              <w:pStyle w:val="28"/>
              <w:suppressLineNumbers w:val="0"/>
              <w:bidi w:val="0"/>
              <w:spacing w:before="0" w:after="0"/>
              <w:ind w:left="0" w:right="0"/>
              <w:rPr>
                <w:rFonts w:hint="default"/>
                <w:lang w:val="en-US" w:eastAsia="zh-CN"/>
              </w:rPr>
            </w:pPr>
            <w:r>
              <w:rPr>
                <w:rFonts w:hint="eastAsia"/>
                <w:lang w:val="en-US" w:eastAsia="zh-CN"/>
              </w:rPr>
              <w:t>车间二</w:t>
            </w:r>
          </w:p>
        </w:tc>
        <w:tc>
          <w:tcPr>
            <w:tcW w:w="713" w:type="pct"/>
          </w:tcPr>
          <w:p>
            <w:pPr>
              <w:pStyle w:val="28"/>
              <w:suppressLineNumbers w:val="0"/>
              <w:bidi w:val="0"/>
              <w:spacing w:before="0" w:after="0"/>
              <w:ind w:left="0" w:right="0"/>
              <w:rPr>
                <w:rFonts w:hint="default"/>
                <w:lang w:val="en-US" w:eastAsia="zh-CN"/>
              </w:rPr>
            </w:pPr>
            <w:r>
              <w:rPr>
                <w:rFonts w:hint="eastAsia"/>
                <w:lang w:val="en-US" w:eastAsia="zh-CN"/>
              </w:rPr>
              <w:t>新型增碳剂</w:t>
            </w:r>
          </w:p>
        </w:tc>
        <w:tc>
          <w:tcPr>
            <w:tcW w:w="743" w:type="pct"/>
          </w:tcPr>
          <w:p>
            <w:pPr>
              <w:pStyle w:val="28"/>
              <w:suppressLineNumbers w:val="0"/>
              <w:bidi w:val="0"/>
              <w:spacing w:before="0" w:after="0"/>
              <w:ind w:left="0" w:right="0"/>
              <w:rPr>
                <w:rFonts w:hint="default"/>
                <w:lang w:val="en-US" w:eastAsia="zh-CN"/>
              </w:rPr>
            </w:pPr>
            <w:r>
              <w:rPr>
                <w:rFonts w:hint="eastAsia"/>
                <w:lang w:val="en-US" w:eastAsia="zh-CN"/>
              </w:rPr>
              <w:t>50000</w:t>
            </w:r>
          </w:p>
        </w:tc>
        <w:tc>
          <w:tcPr>
            <w:tcW w:w="755" w:type="pct"/>
          </w:tcPr>
          <w:p>
            <w:pPr>
              <w:pStyle w:val="28"/>
              <w:suppressLineNumbers w:val="0"/>
              <w:bidi w:val="0"/>
              <w:spacing w:before="0" w:after="0"/>
              <w:ind w:left="0" w:right="0"/>
              <w:rPr>
                <w:rFonts w:hint="default"/>
                <w:lang w:val="en-US" w:eastAsia="zh-CN"/>
              </w:rPr>
            </w:pPr>
            <w:r>
              <w:rPr>
                <w:rFonts w:hint="eastAsia"/>
                <w:lang w:val="en-US" w:eastAsia="zh-CN"/>
              </w:rPr>
              <w:t>5503.28</w:t>
            </w:r>
          </w:p>
        </w:tc>
        <w:tc>
          <w:tcPr>
            <w:tcW w:w="888" w:type="pct"/>
          </w:tcPr>
          <w:p>
            <w:pPr>
              <w:pStyle w:val="28"/>
              <w:suppressLineNumbers w:val="0"/>
              <w:bidi w:val="0"/>
              <w:spacing w:before="0" w:after="0"/>
              <w:ind w:left="0" w:right="0"/>
              <w:rPr>
                <w:rFonts w:hint="default"/>
                <w:lang w:val="en-US" w:eastAsia="zh-CN"/>
              </w:rPr>
            </w:pPr>
            <w:r>
              <w:rPr>
                <w:rFonts w:hint="eastAsia"/>
                <w:lang w:val="en-US" w:eastAsia="zh-CN"/>
              </w:rPr>
              <w:t>7920</w:t>
            </w:r>
          </w:p>
        </w:tc>
        <w:tc>
          <w:tcPr>
            <w:tcW w:w="1068" w:type="pct"/>
          </w:tcPr>
          <w:p>
            <w:pPr>
              <w:pStyle w:val="28"/>
              <w:suppressLineNumbers w:val="0"/>
              <w:bidi w:val="0"/>
              <w:spacing w:before="0" w:after="0"/>
              <w:ind w:left="0" w:right="0"/>
              <w:rPr>
                <w:rFonts w:hint="default"/>
                <w:lang w:val="en-US" w:eastAsia="zh-CN"/>
              </w:rPr>
            </w:pPr>
            <w:r>
              <w:rPr>
                <w:rFonts w:hint="eastAsia"/>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pct"/>
          </w:tcPr>
          <w:p>
            <w:pPr>
              <w:pStyle w:val="28"/>
              <w:suppressLineNumbers w:val="0"/>
              <w:bidi w:val="0"/>
              <w:spacing w:before="0" w:after="0"/>
              <w:ind w:left="0" w:right="0"/>
              <w:rPr>
                <w:rFonts w:hint="eastAsia"/>
                <w:lang w:val="en-US" w:eastAsia="zh-CN"/>
              </w:rPr>
            </w:pPr>
            <w:r>
              <w:rPr>
                <w:rFonts w:hint="eastAsia"/>
                <w:lang w:val="en-US" w:eastAsia="zh-CN"/>
              </w:rPr>
              <w:t>破碎筛分车间</w:t>
            </w:r>
          </w:p>
        </w:tc>
        <w:tc>
          <w:tcPr>
            <w:tcW w:w="713" w:type="pct"/>
          </w:tcPr>
          <w:p>
            <w:pPr>
              <w:pStyle w:val="28"/>
              <w:suppressLineNumbers w:val="0"/>
              <w:bidi w:val="0"/>
              <w:spacing w:before="0" w:after="0"/>
              <w:ind w:left="0" w:right="0"/>
              <w:rPr>
                <w:rFonts w:hint="default"/>
                <w:lang w:val="en-US" w:eastAsia="zh-CN"/>
              </w:rPr>
            </w:pPr>
            <w:r>
              <w:rPr>
                <w:rFonts w:hint="eastAsia"/>
                <w:lang w:val="en-US" w:eastAsia="zh-CN"/>
              </w:rPr>
              <w:t>/</w:t>
            </w:r>
          </w:p>
        </w:tc>
        <w:tc>
          <w:tcPr>
            <w:tcW w:w="743" w:type="pct"/>
          </w:tcPr>
          <w:p>
            <w:pPr>
              <w:pStyle w:val="28"/>
              <w:suppressLineNumbers w:val="0"/>
              <w:bidi w:val="0"/>
              <w:spacing w:before="0" w:after="0"/>
              <w:ind w:left="0" w:right="0"/>
              <w:rPr>
                <w:rFonts w:hint="default"/>
                <w:lang w:val="en-US" w:eastAsia="zh-CN"/>
              </w:rPr>
            </w:pPr>
            <w:r>
              <w:rPr>
                <w:rFonts w:hint="eastAsia"/>
                <w:lang w:val="en-US" w:eastAsia="zh-CN"/>
              </w:rPr>
              <w:t>/</w:t>
            </w:r>
          </w:p>
        </w:tc>
        <w:tc>
          <w:tcPr>
            <w:tcW w:w="755" w:type="pct"/>
          </w:tcPr>
          <w:p>
            <w:pPr>
              <w:pStyle w:val="28"/>
              <w:suppressLineNumbers w:val="0"/>
              <w:bidi w:val="0"/>
              <w:spacing w:before="0" w:after="0"/>
              <w:ind w:left="0" w:right="0"/>
              <w:rPr>
                <w:rFonts w:hint="default"/>
                <w:lang w:val="en-US" w:eastAsia="zh-CN"/>
              </w:rPr>
            </w:pPr>
            <w:r>
              <w:rPr>
                <w:rFonts w:hint="eastAsia"/>
                <w:lang w:val="en-US" w:eastAsia="zh-CN"/>
              </w:rPr>
              <w:t>6278.14</w:t>
            </w:r>
          </w:p>
        </w:tc>
        <w:tc>
          <w:tcPr>
            <w:tcW w:w="888" w:type="pct"/>
          </w:tcPr>
          <w:p>
            <w:pPr>
              <w:pStyle w:val="28"/>
              <w:suppressLineNumbers w:val="0"/>
              <w:bidi w:val="0"/>
              <w:spacing w:before="0" w:after="0"/>
              <w:ind w:left="0" w:right="0"/>
              <w:rPr>
                <w:rFonts w:hint="default"/>
                <w:lang w:val="en-US" w:eastAsia="zh-CN"/>
              </w:rPr>
            </w:pPr>
            <w:r>
              <w:rPr>
                <w:rFonts w:hint="eastAsia"/>
                <w:lang w:val="en-US" w:eastAsia="zh-CN"/>
              </w:rPr>
              <w:t>5280</w:t>
            </w:r>
          </w:p>
        </w:tc>
        <w:tc>
          <w:tcPr>
            <w:tcW w:w="1068" w:type="pct"/>
          </w:tcPr>
          <w:p>
            <w:pPr>
              <w:pStyle w:val="28"/>
              <w:suppressLineNumbers w:val="0"/>
              <w:bidi w:val="0"/>
              <w:spacing w:before="0" w:after="0"/>
              <w:ind w:left="0" w:right="0"/>
              <w:rPr>
                <w:rFonts w:hint="eastAsia"/>
                <w:lang w:val="en-US" w:eastAsia="zh-CN"/>
              </w:rPr>
            </w:pPr>
            <w:r>
              <w:rPr>
                <w:rFonts w:hint="eastAsia"/>
                <w:lang w:val="en-US" w:eastAsia="zh-CN"/>
              </w:rPr>
              <w:t>新建，兼成品仓库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pct"/>
            <w:gridSpan w:val="2"/>
          </w:tcPr>
          <w:p>
            <w:pPr>
              <w:pStyle w:val="28"/>
              <w:suppressLineNumbers w:val="0"/>
              <w:bidi w:val="0"/>
              <w:spacing w:before="0" w:after="0"/>
              <w:ind w:left="0" w:right="0"/>
              <w:rPr>
                <w:rFonts w:hint="default"/>
                <w:lang w:val="en-US" w:eastAsia="zh-CN"/>
              </w:rPr>
            </w:pPr>
            <w:r>
              <w:rPr>
                <w:rFonts w:hint="eastAsia"/>
                <w:lang w:val="en-US" w:eastAsia="zh-CN"/>
              </w:rPr>
              <w:t>合计</w:t>
            </w:r>
          </w:p>
        </w:tc>
        <w:tc>
          <w:tcPr>
            <w:tcW w:w="743" w:type="pct"/>
          </w:tcPr>
          <w:p>
            <w:pPr>
              <w:pStyle w:val="28"/>
              <w:suppressLineNumbers w:val="0"/>
              <w:bidi w:val="0"/>
              <w:spacing w:before="0" w:after="0"/>
              <w:ind w:left="0" w:right="0"/>
              <w:rPr>
                <w:rFonts w:hint="default"/>
                <w:lang w:val="en-US" w:eastAsia="zh-CN"/>
              </w:rPr>
            </w:pPr>
            <w:r>
              <w:rPr>
                <w:rFonts w:hint="eastAsia"/>
                <w:lang w:val="en-US" w:eastAsia="zh-CN"/>
              </w:rPr>
              <w:t>100000</w:t>
            </w:r>
          </w:p>
        </w:tc>
        <w:tc>
          <w:tcPr>
            <w:tcW w:w="755" w:type="pct"/>
          </w:tcPr>
          <w:p>
            <w:pPr>
              <w:pStyle w:val="28"/>
              <w:suppressLineNumbers w:val="0"/>
              <w:bidi w:val="0"/>
              <w:spacing w:before="0" w:after="0"/>
              <w:ind w:left="0" w:right="0"/>
              <w:rPr>
                <w:rFonts w:hint="default"/>
                <w:lang w:val="en-US" w:eastAsia="zh-CN"/>
              </w:rPr>
            </w:pPr>
            <w:r>
              <w:rPr>
                <w:rFonts w:hint="eastAsia"/>
                <w:lang w:val="en-US" w:eastAsia="zh-CN"/>
              </w:rPr>
              <w:t>15894.32</w:t>
            </w:r>
          </w:p>
        </w:tc>
        <w:tc>
          <w:tcPr>
            <w:tcW w:w="888" w:type="pct"/>
          </w:tcPr>
          <w:p>
            <w:pPr>
              <w:pStyle w:val="28"/>
              <w:suppressLineNumbers w:val="0"/>
              <w:bidi w:val="0"/>
              <w:spacing w:before="0" w:after="0"/>
              <w:ind w:left="0" w:right="0"/>
              <w:outlineLvl w:val="9"/>
              <w:rPr>
                <w:rFonts w:hint="default"/>
                <w:lang w:val="en-US" w:eastAsia="zh-CN"/>
              </w:rPr>
            </w:pPr>
          </w:p>
        </w:tc>
        <w:tc>
          <w:tcPr>
            <w:tcW w:w="1068" w:type="pct"/>
          </w:tcPr>
          <w:p>
            <w:pPr>
              <w:pStyle w:val="28"/>
              <w:suppressLineNumbers w:val="0"/>
              <w:bidi w:val="0"/>
              <w:spacing w:before="0" w:after="0"/>
              <w:ind w:left="0" w:right="0"/>
              <w:outlineLvl w:val="9"/>
              <w:rPr>
                <w:rFonts w:hint="default"/>
                <w:lang w:val="en-US" w:eastAsia="zh-CN"/>
              </w:rPr>
            </w:pPr>
          </w:p>
        </w:tc>
      </w:tr>
    </w:tbl>
    <w:p>
      <w:pPr>
        <w:bidi w:val="0"/>
        <w:rPr>
          <w:rFonts w:hint="eastAsia"/>
          <w:lang w:val="en-US" w:eastAsia="zh-CN"/>
        </w:rPr>
      </w:pPr>
    </w:p>
    <w:p>
      <w:pPr>
        <w:pStyle w:val="6"/>
        <w:bidi w:val="0"/>
        <w:rPr>
          <w:rFonts w:hint="default"/>
          <w:lang w:val="en-US" w:eastAsia="zh-CN"/>
        </w:rPr>
      </w:pPr>
      <w:r>
        <w:rPr>
          <w:rFonts w:hint="eastAsia"/>
          <w:lang w:val="en-US" w:eastAsia="zh-CN"/>
        </w:rPr>
        <w:t>3.1.3.2公用及辅助工程</w:t>
      </w:r>
    </w:p>
    <w:p>
      <w:pPr>
        <w:pStyle w:val="27"/>
        <w:bidi w:val="0"/>
        <w:rPr>
          <w:rFonts w:hint="eastAsia" w:eastAsia="宋体"/>
          <w:lang w:eastAsia="zh-CN"/>
        </w:rPr>
      </w:pPr>
      <w:r>
        <w:t>表</w:t>
      </w:r>
      <w:r>
        <w:rPr>
          <w:rFonts w:hint="eastAsia"/>
          <w:lang w:val="en-US" w:eastAsia="zh-CN"/>
        </w:rPr>
        <w:t>3.1.3-2</w:t>
      </w:r>
      <w:r>
        <w:rPr>
          <w:rFonts w:hint="eastAsia"/>
          <w:lang w:eastAsia="zh-CN"/>
        </w:rPr>
        <w:t>项目组成情况表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2389"/>
        <w:gridCol w:w="1889"/>
        <w:gridCol w:w="2109"/>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类别</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建设</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名称</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设计能力</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主体工程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车间一</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t>建筑面积</w:t>
            </w:r>
            <w:r>
              <w:rPr>
                <w:rFonts w:hint="eastAsia" w:ascii="Times New Roman" w:hAnsi="Times New Roman" w:eastAsia="宋体"/>
                <w:color w:val="auto"/>
                <w:sz w:val="21"/>
                <w:lang w:val="en-US" w:eastAsia="zh-CN"/>
              </w:rPr>
              <w:t>4112.9m</w:t>
            </w:r>
            <w:r>
              <w:rPr>
                <w:rFonts w:hint="eastAsia" w:ascii="Times New Roman" w:hAnsi="Times New Roman" w:eastAsia="宋体"/>
                <w:color w:val="auto"/>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生产车间内置</w:t>
            </w:r>
            <w:r>
              <w:rPr>
                <w:rFonts w:hint="eastAsia" w:ascii="Times New Roman" w:hAnsi="Times New Roman" w:eastAsia="宋体"/>
                <w:sz w:val="21"/>
                <w:lang w:val="en-US" w:eastAsia="zh-CN"/>
              </w:rPr>
              <w:t>12台埋弧式电煅炉，车间内设置12台25000KVA变压器和装料航吊</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车间二</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建筑面积</w:t>
            </w:r>
            <w:r>
              <w:rPr>
                <w:rFonts w:hint="eastAsia" w:ascii="Times New Roman" w:hAnsi="Times New Roman"/>
                <w:color w:val="auto"/>
                <w:sz w:val="21"/>
                <w:lang w:val="en-US" w:eastAsia="zh-CN"/>
              </w:rPr>
              <w:t>5503.28</w:t>
            </w:r>
            <w:r>
              <w:rPr>
                <w:rFonts w:hint="eastAsia" w:ascii="Times New Roman" w:hAnsi="Times New Roman" w:eastAsia="宋体"/>
                <w:sz w:val="21"/>
                <w:lang w:val="en-US" w:eastAsia="zh-CN"/>
              </w:rPr>
              <w:t>m</w:t>
            </w:r>
            <w:r>
              <w:rPr>
                <w:rFonts w:hint="eastAsia" w:ascii="Times New Roman" w:hAnsi="Times New Roman" w:eastAsia="宋体"/>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生产车间内置</w:t>
            </w:r>
            <w:r>
              <w:rPr>
                <w:rFonts w:hint="eastAsia" w:ascii="Times New Roman" w:hAnsi="Times New Roman" w:eastAsia="宋体"/>
                <w:sz w:val="21"/>
                <w:lang w:val="en-US" w:eastAsia="zh-CN"/>
              </w:rPr>
              <w:t>12台埋弧式电煅炉，车间内设置12台25000KVA变压器和装料航吊</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破碎、筛分车间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建筑面积</w:t>
            </w:r>
            <w:r>
              <w:rPr>
                <w:rFonts w:hint="eastAsia" w:ascii="Times New Roman" w:hAnsi="Times New Roman" w:eastAsia="宋体"/>
                <w:color w:val="auto"/>
                <w:sz w:val="21"/>
                <w:lang w:val="en-US" w:eastAsia="zh-CN"/>
              </w:rPr>
              <w:t>6278.14</w:t>
            </w:r>
            <w:r>
              <w:rPr>
                <w:rFonts w:hint="eastAsia" w:ascii="Times New Roman" w:hAnsi="Times New Roman" w:eastAsia="宋体"/>
                <w:sz w:val="21"/>
                <w:lang w:val="en-US" w:eastAsia="zh-CN"/>
              </w:rPr>
              <w:t>m</w:t>
            </w:r>
            <w:r>
              <w:rPr>
                <w:rFonts w:hint="eastAsia" w:ascii="Times New Roman" w:hAnsi="Times New Roman" w:eastAsia="宋体"/>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对冶炼后的半成品增碳剂进行破碎筛分、包装和成品储存，内设破碎机、筛分机、包装机等</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辅助工程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综合楼</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olor w:val="0000FF"/>
                <w:sz w:val="21"/>
                <w:lang w:val="en-US" w:eastAsia="zh-CN"/>
              </w:rPr>
            </w:pPr>
            <w:r>
              <w:rPr>
                <w:rFonts w:hint="eastAsia" w:ascii="Times New Roman" w:hAnsi="Times New Roman" w:eastAsia="宋体"/>
                <w:color w:val="auto"/>
                <w:sz w:val="21"/>
                <w:lang w:eastAsia="zh-CN"/>
              </w:rPr>
              <w:t>占地面积</w:t>
            </w:r>
            <w:r>
              <w:rPr>
                <w:rFonts w:hint="eastAsia" w:ascii="Times New Roman" w:hAnsi="Times New Roman" w:eastAsia="宋体"/>
                <w:color w:val="auto"/>
                <w:sz w:val="21"/>
                <w:lang w:val="en-US" w:eastAsia="zh-CN"/>
              </w:rPr>
              <w:t>573.26m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建筑面积</w:t>
            </w:r>
            <w:r>
              <w:rPr>
                <w:rFonts w:hint="eastAsia" w:ascii="Times New Roman" w:hAnsi="Times New Roman" w:eastAsia="宋体"/>
                <w:color w:val="auto"/>
                <w:sz w:val="21"/>
                <w:lang w:val="en-US" w:eastAsia="zh-CN"/>
              </w:rPr>
              <w:t>1672.63m</w:t>
            </w:r>
            <w:r>
              <w:rPr>
                <w:rFonts w:hint="eastAsia" w:ascii="Times New Roman" w:hAnsi="Times New Roman" w:eastAsia="宋体"/>
                <w:color w:val="auto"/>
                <w:sz w:val="21"/>
                <w:vertAlign w:val="superscript"/>
                <w:lang w:val="en-US" w:eastAsia="zh-CN"/>
              </w:rPr>
              <w:t>2</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内含食堂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配电房</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t>新建</w:t>
            </w:r>
            <w:r>
              <w:rPr>
                <w:rFonts w:hint="eastAsia" w:ascii="Times New Roman" w:hAnsi="Times New Roman" w:eastAsia="宋体"/>
                <w:sz w:val="21"/>
                <w:lang w:val="en-US" w:eastAsia="zh-CN"/>
              </w:rPr>
              <w:t>1座配电室，</w:t>
            </w:r>
            <w:r>
              <w:rPr>
                <w:rFonts w:hint="eastAsia" w:ascii="Times New Roman" w:hAnsi="Times New Roman" w:eastAsia="宋体"/>
                <w:color w:val="auto"/>
                <w:sz w:val="21"/>
                <w:lang w:eastAsia="zh-CN"/>
              </w:rPr>
              <w:t>占地面积</w:t>
            </w:r>
            <w:r>
              <w:rPr>
                <w:rFonts w:hint="eastAsia" w:ascii="Times New Roman" w:hAnsi="Times New Roman"/>
                <w:color w:val="auto"/>
                <w:sz w:val="21"/>
                <w:lang w:val="en-US" w:eastAsia="zh-CN"/>
              </w:rPr>
              <w:t>180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建筑面积</w:t>
            </w:r>
            <w:r>
              <w:rPr>
                <w:rFonts w:hint="eastAsia" w:ascii="Times New Roman" w:hAnsi="Times New Roman"/>
                <w:color w:val="auto"/>
                <w:sz w:val="21"/>
                <w:lang w:val="en-US" w:eastAsia="zh-CN"/>
              </w:rPr>
              <w:t>180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配置</w:t>
            </w:r>
            <w:r>
              <w:rPr>
                <w:rFonts w:hint="eastAsia" w:ascii="Times New Roman" w:hAnsi="Times New Roman" w:eastAsia="宋体"/>
                <w:color w:val="auto"/>
                <w:sz w:val="21"/>
                <w:lang w:val="en-US" w:eastAsia="zh-CN"/>
              </w:rPr>
              <w:t>2台25000KVA电阻炉变压器，配套设置高低压配电柜</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公</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用</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工</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供水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1 \* GB2 \* MERGEFORMAT </w:instrText>
            </w:r>
            <w:r>
              <w:rPr>
                <w:rFonts w:hint="eastAsia" w:ascii="Times New Roman" w:hAnsi="Times New Roman" w:eastAsia="宋体"/>
                <w:sz w:val="21"/>
                <w:lang w:eastAsia="zh-CN"/>
              </w:rPr>
              <w:fldChar w:fldCharType="separate"/>
            </w:r>
            <w:r>
              <w:t>⑴</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供水：</w:t>
            </w:r>
            <w:r>
              <w:rPr>
                <w:rFonts w:hint="eastAsia" w:ascii="Times New Roman" w:hAnsi="Times New Roman"/>
                <w:sz w:val="21"/>
                <w:lang w:val="en-US" w:eastAsia="zh-CN"/>
              </w:rPr>
              <w:t>148533</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其中一期项目新鲜水用量为</w:t>
            </w:r>
            <w:r>
              <w:rPr>
                <w:rFonts w:hint="eastAsia" w:ascii="Times New Roman" w:hAnsi="Times New Roman"/>
                <w:sz w:val="21"/>
                <w:lang w:val="en-US" w:eastAsia="zh-CN"/>
              </w:rPr>
              <w:t>74589.9</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，二期项目新鲜水用量为</w:t>
            </w:r>
            <w:r>
              <w:rPr>
                <w:rFonts w:hint="eastAsia" w:ascii="Times New Roman" w:hAnsi="Times New Roman"/>
                <w:sz w:val="21"/>
                <w:lang w:val="en-US" w:eastAsia="zh-CN"/>
              </w:rPr>
              <w:t>73943.1</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/a，由区域供水管网供给。</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rPr>
            </w:pPr>
            <w:r>
              <w:rPr>
                <w:rFonts w:ascii="Times New Roman" w:hAnsi="Times New Roman" w:eastAsia="宋体"/>
                <w:sz w:val="21"/>
              </w:rPr>
              <w:fldChar w:fldCharType="begin"/>
            </w:r>
            <w:r>
              <w:rPr>
                <w:rFonts w:ascii="Times New Roman" w:hAnsi="Times New Roman" w:eastAsia="宋体"/>
                <w:sz w:val="21"/>
              </w:rPr>
              <w:instrText xml:space="preserve"> = 2 \* GB2 \* MERGEFORMAT </w:instrText>
            </w:r>
            <w:r>
              <w:rPr>
                <w:rFonts w:ascii="Times New Roman" w:hAnsi="Times New Roman" w:eastAsia="宋体"/>
                <w:sz w:val="21"/>
              </w:rPr>
              <w:fldChar w:fldCharType="separate"/>
            </w:r>
            <w:r>
              <w:t>⑵</w:t>
            </w:r>
            <w:r>
              <w:rPr>
                <w:rFonts w:ascii="Times New Roman" w:hAnsi="Times New Roman" w:eastAsia="宋体"/>
                <w:sz w:val="21"/>
              </w:rPr>
              <w:fldChar w:fldCharType="end"/>
            </w:r>
            <w:r>
              <w:rPr>
                <w:rFonts w:ascii="Times New Roman" w:hAnsi="Times New Roman" w:eastAsia="宋体"/>
                <w:sz w:val="21"/>
              </w:rPr>
              <w:t>建设</w:t>
            </w:r>
            <w:r>
              <w:rPr>
                <w:rFonts w:hint="eastAsia" w:ascii="Times New Roman" w:hAnsi="Times New Roman" w:eastAsia="宋体"/>
                <w:sz w:val="21"/>
                <w:lang w:val="en-US" w:eastAsia="zh-CN"/>
              </w:rPr>
              <w:t>4</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/h</w:t>
            </w:r>
            <w:r>
              <w:rPr>
                <w:rFonts w:hint="eastAsia" w:ascii="Times New Roman" w:hAnsi="Times New Roman" w:eastAsia="宋体"/>
                <w:sz w:val="21"/>
                <w:lang w:eastAsia="zh-CN"/>
              </w:rPr>
              <w:t>树脂</w:t>
            </w:r>
            <w:r>
              <w:rPr>
                <w:rFonts w:ascii="Times New Roman" w:hAnsi="Times New Roman" w:eastAsia="宋体"/>
                <w:sz w:val="21"/>
              </w:rPr>
              <w:t>软化水装置。</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来自园区供水管网</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软化水装置一期建成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排水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1 \* GB2 \* MERGEFORMAT </w:instrText>
            </w:r>
            <w:r>
              <w:rPr>
                <w:rFonts w:hint="eastAsia" w:ascii="Times New Roman" w:hAnsi="Times New Roman" w:eastAsia="宋体"/>
                <w:sz w:val="21"/>
                <w:lang w:eastAsia="zh-CN"/>
              </w:rPr>
              <w:fldChar w:fldCharType="separate"/>
            </w:r>
            <w:r>
              <w:rPr>
                <w:rFonts w:ascii="Times New Roman" w:hAnsi="Times New Roman" w:eastAsia="宋体"/>
                <w:sz w:val="21"/>
              </w:rPr>
              <w:t>⑴</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项目废水排放总量为</w:t>
            </w:r>
            <w:r>
              <w:rPr>
                <w:rFonts w:hint="eastAsia" w:ascii="Times New Roman" w:hAnsi="Times New Roman" w:eastAsia="宋体"/>
                <w:sz w:val="21"/>
                <w:lang w:val="en-US" w:eastAsia="zh-CN"/>
              </w:rPr>
              <w:t>1636.8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一期项目污水量为</w:t>
            </w:r>
            <w:r>
              <w:rPr>
                <w:rFonts w:hint="eastAsia" w:ascii="Times New Roman" w:hAnsi="Times New Roman" w:eastAsia="宋体"/>
                <w:sz w:val="21"/>
                <w:lang w:val="en-US" w:eastAsia="zh-CN"/>
              </w:rPr>
              <w:t>1104.84</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w:t>
            </w:r>
            <w:r>
              <w:rPr>
                <w:rFonts w:ascii="Times New Roman" w:hAnsi="Times New Roman" w:eastAsia="宋体"/>
                <w:sz w:val="21"/>
              </w:rPr>
              <w:t>生活污水</w:t>
            </w:r>
            <w:r>
              <w:rPr>
                <w:rFonts w:hint="eastAsia" w:ascii="Times New Roman" w:hAnsi="Times New Roman" w:eastAsia="宋体"/>
                <w:sz w:val="21"/>
                <w:lang w:eastAsia="zh-CN"/>
              </w:rPr>
              <w:t>量为</w:t>
            </w:r>
            <w:r>
              <w:rPr>
                <w:rFonts w:hint="eastAsia" w:ascii="Times New Roman" w:hAnsi="Times New Roman" w:eastAsia="宋体"/>
                <w:sz w:val="21"/>
                <w:lang w:val="en-US" w:eastAsia="zh-CN"/>
              </w:rPr>
              <w:t>962.28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，食堂废水量为</w:t>
            </w:r>
            <w:r>
              <w:rPr>
                <w:rFonts w:hint="eastAsia" w:ascii="Times New Roman" w:hAnsi="Times New Roman" w:eastAsia="宋体"/>
                <w:sz w:val="21"/>
                <w:lang w:val="en-US" w:eastAsia="zh-CN"/>
              </w:rPr>
              <w:t>142.56</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t>二期项目污水量为</w:t>
            </w:r>
            <w:r>
              <w:rPr>
                <w:rFonts w:hint="eastAsia" w:ascii="Times New Roman" w:hAnsi="Times New Roman" w:eastAsia="宋体"/>
                <w:sz w:val="21"/>
                <w:lang w:val="en-US" w:eastAsia="zh-CN"/>
              </w:rPr>
              <w:t>531.96</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w:t>
            </w:r>
            <w:r>
              <w:rPr>
                <w:rFonts w:ascii="Times New Roman" w:hAnsi="Times New Roman" w:eastAsia="宋体"/>
                <w:sz w:val="21"/>
              </w:rPr>
              <w:t>生活污水</w:t>
            </w:r>
            <w:r>
              <w:rPr>
                <w:rFonts w:hint="eastAsia" w:ascii="Times New Roman" w:hAnsi="Times New Roman" w:eastAsia="宋体"/>
                <w:sz w:val="21"/>
                <w:lang w:eastAsia="zh-CN"/>
              </w:rPr>
              <w:t>量为</w:t>
            </w:r>
            <w:r>
              <w:rPr>
                <w:rFonts w:hint="eastAsia" w:ascii="Times New Roman" w:hAnsi="Times New Roman" w:eastAsia="宋体"/>
                <w:sz w:val="21"/>
                <w:lang w:val="en-US" w:eastAsia="zh-CN"/>
              </w:rPr>
              <w:t>463.32</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，食堂废水量为</w:t>
            </w:r>
            <w:r>
              <w:rPr>
                <w:rFonts w:hint="eastAsia" w:ascii="Times New Roman" w:hAnsi="Times New Roman" w:eastAsia="宋体"/>
                <w:sz w:val="21"/>
                <w:lang w:val="en-US" w:eastAsia="zh-CN"/>
              </w:rPr>
              <w:t>64.68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2 \* GB2 \* MERGEFORMAT </w:instrText>
            </w:r>
            <w:r>
              <w:rPr>
                <w:rFonts w:hint="eastAsia" w:ascii="Times New Roman" w:hAnsi="Times New Roman" w:eastAsia="宋体"/>
                <w:sz w:val="21"/>
                <w:lang w:eastAsia="zh-CN"/>
              </w:rPr>
              <w:fldChar w:fldCharType="separate"/>
            </w:r>
            <w:r>
              <w:rPr>
                <w:rFonts w:ascii="Times New Roman" w:hAnsi="Times New Roman" w:eastAsia="宋体"/>
                <w:sz w:val="21"/>
              </w:rPr>
              <w:t>⑵</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清下水排放量为</w:t>
            </w:r>
            <w:r>
              <w:rPr>
                <w:rFonts w:hint="eastAsia" w:ascii="Times New Roman" w:hAnsi="Times New Roman"/>
                <w:sz w:val="21"/>
                <w:lang w:val="en-US" w:eastAsia="zh-CN"/>
              </w:rPr>
              <w:t>21836.93</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，其中一期清下水量为</w:t>
            </w:r>
            <w:r>
              <w:rPr>
                <w:rFonts w:hint="eastAsia" w:ascii="Times New Roman" w:hAnsi="Times New Roman"/>
                <w:sz w:val="21"/>
                <w:lang w:val="en-US" w:eastAsia="zh-CN"/>
              </w:rPr>
              <w:t>9284.81</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，二期清下水量为</w:t>
            </w:r>
            <w:r>
              <w:rPr>
                <w:rFonts w:hint="eastAsia" w:ascii="Times New Roman" w:hAnsi="Times New Roman"/>
                <w:sz w:val="21"/>
                <w:lang w:val="en-US" w:eastAsia="zh-CN"/>
              </w:rPr>
              <w:t>12552.12</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食堂废水经隔油池处理后与生活污水一起进化粪池处理，</w:t>
            </w:r>
            <w:r>
              <w:rPr>
                <w:rFonts w:hint="eastAsia" w:ascii="Times New Roman" w:hAnsi="Times New Roman" w:eastAsia="宋体"/>
                <w:sz w:val="21"/>
                <w:lang w:val="en-US" w:eastAsia="zh-CN"/>
              </w:rPr>
              <w:t>处理后</w:t>
            </w:r>
            <w:r>
              <w:rPr>
                <w:rFonts w:hint="eastAsia" w:ascii="Times New Roman" w:hAnsi="Times New Roman" w:eastAsia="宋体"/>
                <w:sz w:val="21"/>
                <w:lang w:eastAsia="zh-CN"/>
              </w:rPr>
              <w:t>近期接入青湖镇联村生活污水处理厂，远期接入青湖镇工业集中区污水处理厂处理</w:t>
            </w:r>
            <w:r>
              <w:rPr>
                <w:rFonts w:ascii="Times New Roman" w:hAnsi="Times New Roman" w:eastAsia="宋体"/>
                <w:sz w:val="21"/>
              </w:rPr>
              <w:t>；</w:t>
            </w:r>
            <w:r>
              <w:rPr>
                <w:rFonts w:hint="eastAsia" w:ascii="Times New Roman" w:hAnsi="Times New Roman" w:eastAsia="宋体"/>
                <w:sz w:val="21"/>
                <w:lang w:val="en-US" w:eastAsia="zh-CN"/>
              </w:rPr>
              <w:t>清下水排入雨水排口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供电</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16000</w:t>
            </w:r>
            <w:r>
              <w:rPr>
                <w:rFonts w:ascii="Times New Roman" w:hAnsi="Times New Roman" w:eastAsia="宋体"/>
                <w:sz w:val="21"/>
              </w:rPr>
              <w:t>万kwh/a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由园区</w:t>
            </w:r>
            <w:r>
              <w:rPr>
                <w:rFonts w:hint="eastAsia" w:ascii="Times New Roman" w:hAnsi="Times New Roman" w:eastAsia="宋体"/>
                <w:sz w:val="21"/>
                <w:lang w:eastAsia="zh-CN"/>
              </w:rPr>
              <w:t>供电管网供给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消防</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一次消防最大用水量</w:t>
            </w:r>
            <w:r>
              <w:rPr>
                <w:rFonts w:hint="eastAsia"/>
                <w:color w:val="auto"/>
                <w:sz w:val="21"/>
                <w:lang w:val="en-US" w:eastAsia="zh-CN"/>
              </w:rPr>
              <w:t>252</w:t>
            </w:r>
            <w:r>
              <w:rPr>
                <w:rFonts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olor w:val="auto"/>
                <w:sz w:val="21"/>
                <w:lang w:eastAsia="zh-CN"/>
              </w:rPr>
            </w:pPr>
            <w:r>
              <w:rPr>
                <w:rFonts w:hint="eastAsia" w:ascii="Times New Roman" w:hAnsi="Times New Roman"/>
                <w:color w:val="auto"/>
                <w:sz w:val="21"/>
                <w:lang w:eastAsia="zh-CN"/>
              </w:rPr>
              <w:t>循环水池兼消防水池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循环冷却系统</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color w:val="auto"/>
                <w:sz w:val="21"/>
                <w:lang w:eastAsia="zh-CN"/>
              </w:rPr>
              <w:t>循环水池</w:t>
            </w:r>
            <w:r>
              <w:rPr>
                <w:rFonts w:hint="eastAsia" w:ascii="Times New Roman" w:hAnsi="Times New Roman" w:eastAsia="宋体"/>
                <w:color w:val="auto"/>
                <w:sz w:val="21"/>
                <w:lang w:eastAsia="zh-CN"/>
              </w:rPr>
              <w:t>总容积</w:t>
            </w:r>
            <w:r>
              <w:rPr>
                <w:rFonts w:hint="eastAsia"/>
                <w:color w:val="auto"/>
                <w:sz w:val="21"/>
                <w:lang w:val="en-US" w:eastAsia="zh-CN"/>
              </w:rPr>
              <w:t>616</w:t>
            </w:r>
            <w:r>
              <w:rPr>
                <w:rFonts w:ascii="Times New Roman" w:hAnsi="Times New Roman" w:eastAsia="宋体"/>
                <w:color w:val="auto"/>
                <w:sz w:val="21"/>
              </w:rPr>
              <w:t>m</w:t>
            </w:r>
            <w:r>
              <w:rPr>
                <w:rFonts w:ascii="Times New Roman" w:hAnsi="Times New Roman" w:eastAsia="宋体"/>
                <w:color w:val="auto"/>
                <w:sz w:val="21"/>
                <w:vertAlign w:val="superscript"/>
              </w:rPr>
              <w:t>3</w:t>
            </w:r>
            <w:r>
              <w:rPr>
                <w:rFonts w:hint="eastAsia" w:ascii="Times New Roman" w:hAnsi="Times New Roman"/>
                <w:color w:val="auto"/>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color w:val="auto"/>
                <w:sz w:val="21"/>
                <w:lang w:val="en-US"/>
              </w:rPr>
            </w:pPr>
            <w:r>
              <w:rPr>
                <w:rFonts w:hint="eastAsia" w:ascii="Times New Roman" w:hAnsi="Times New Roman" w:eastAsia="宋体"/>
                <w:color w:val="auto"/>
                <w:sz w:val="21"/>
                <w:lang w:eastAsia="zh-CN"/>
              </w:rPr>
              <w:fldChar w:fldCharType="begin"/>
            </w:r>
            <w:r>
              <w:rPr>
                <w:rFonts w:hint="eastAsia" w:ascii="Times New Roman" w:hAnsi="Times New Roman" w:eastAsia="宋体"/>
                <w:color w:val="auto"/>
                <w:sz w:val="21"/>
                <w:lang w:eastAsia="zh-CN"/>
              </w:rPr>
              <w:instrText xml:space="preserve"> = 1 \* GB2 \* MERGEFORMAT </w:instrText>
            </w:r>
            <w:r>
              <w:rPr>
                <w:rFonts w:hint="eastAsia" w:ascii="Times New Roman" w:hAnsi="Times New Roman" w:eastAsia="宋体"/>
                <w:color w:val="auto"/>
                <w:sz w:val="21"/>
                <w:lang w:eastAsia="zh-CN"/>
              </w:rPr>
              <w:fldChar w:fldCharType="separate"/>
            </w:r>
            <w:r>
              <w:rPr>
                <w:rFonts w:ascii="Times New Roman" w:hAnsi="Times New Roman" w:eastAsia="宋体"/>
                <w:color w:val="auto"/>
                <w:sz w:val="21"/>
              </w:rPr>
              <w:t>⑴</w:t>
            </w:r>
            <w:r>
              <w:rPr>
                <w:rFonts w:hint="eastAsia" w:ascii="Times New Roman" w:hAnsi="Times New Roman" w:eastAsia="宋体"/>
                <w:color w:val="auto"/>
                <w:sz w:val="21"/>
                <w:lang w:eastAsia="zh-CN"/>
              </w:rPr>
              <w:fldChar w:fldCharType="end"/>
            </w:r>
            <w:r>
              <w:rPr>
                <w:rFonts w:hint="eastAsia"/>
                <w:color w:val="auto"/>
                <w:sz w:val="21"/>
                <w:lang w:eastAsia="zh-CN"/>
              </w:rPr>
              <w:t>电煅炉</w:t>
            </w:r>
            <w:r>
              <w:rPr>
                <w:rFonts w:hint="eastAsia" w:ascii="Times New Roman" w:hAnsi="Times New Roman" w:eastAsia="宋体"/>
                <w:color w:val="auto"/>
                <w:sz w:val="21"/>
                <w:lang w:eastAsia="zh-CN"/>
              </w:rPr>
              <w:t>冷却水循环量</w:t>
            </w:r>
            <w:r>
              <w:rPr>
                <w:rFonts w:hint="eastAsia" w:ascii="Times New Roman" w:hAnsi="Times New Roman"/>
                <w:color w:val="auto"/>
                <w:sz w:val="21"/>
                <w:lang w:val="en-US" w:eastAsia="zh-CN"/>
              </w:rPr>
              <w:t>3000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 xml:space="preserve"> </w:t>
            </w:r>
            <w:r>
              <w:rPr>
                <w:rFonts w:hint="eastAsia" w:ascii="Times New Roman" w:hAnsi="Times New Roman"/>
                <w:color w:val="auto"/>
                <w:sz w:val="21"/>
                <w:lang w:val="en-US" w:eastAsia="zh-CN"/>
              </w:rPr>
              <w:t>其中</w:t>
            </w:r>
            <w:r>
              <w:rPr>
                <w:rFonts w:hint="eastAsia" w:ascii="Times New Roman" w:hAnsi="Times New Roman" w:eastAsia="宋体"/>
                <w:color w:val="auto"/>
                <w:sz w:val="21"/>
                <w:lang w:val="en-US" w:eastAsia="zh-CN"/>
              </w:rPr>
              <w:t>一期、二期均</w:t>
            </w:r>
            <w:r>
              <w:rPr>
                <w:rFonts w:hint="eastAsia"/>
                <w:color w:val="auto"/>
                <w:sz w:val="21"/>
                <w:lang w:val="en-US" w:eastAsia="zh-CN"/>
              </w:rPr>
              <w:t>为1500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w:t>
            </w:r>
            <w:r>
              <w:rPr>
                <w:rFonts w:hint="eastAsia"/>
                <w:color w:val="auto"/>
                <w:sz w:val="21"/>
                <w:lang w:val="en-US" w:eastAsia="zh-CN"/>
              </w:rPr>
              <w:t>，</w:t>
            </w:r>
            <w:r>
              <w:rPr>
                <w:rFonts w:hint="eastAsia" w:ascii="Times New Roman" w:hAnsi="Times New Roman" w:eastAsia="宋体"/>
                <w:color w:val="auto"/>
                <w:sz w:val="21"/>
                <w:lang w:val="en-US" w:eastAsia="zh-CN"/>
              </w:rPr>
              <w:t>补充新鲜水量</w:t>
            </w:r>
            <w:r>
              <w:rPr>
                <w:rFonts w:hint="eastAsia" w:ascii="Times New Roman" w:hAnsi="Times New Roman"/>
                <w:color w:val="auto"/>
                <w:sz w:val="21"/>
                <w:lang w:val="en-US" w:eastAsia="zh-CN"/>
              </w:rPr>
              <w:t>142560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r>
              <w:rPr>
                <w:rFonts w:hint="eastAsia" w:ascii="Times New Roman" w:hAnsi="Times New Roman" w:eastAsia="宋体"/>
                <w:color w:val="auto"/>
                <w:sz w:val="21"/>
                <w:lang w:val="en-US" w:eastAsia="zh-CN"/>
              </w:rPr>
              <w:t>，其中一期、二期均为</w:t>
            </w:r>
            <w:r>
              <w:rPr>
                <w:rFonts w:hint="eastAsia" w:ascii="Times New Roman" w:hAnsi="Times New Roman"/>
                <w:color w:val="auto"/>
                <w:sz w:val="21"/>
                <w:lang w:val="en-US" w:eastAsia="zh-CN"/>
              </w:rPr>
              <w:t>71280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fldChar w:fldCharType="begin"/>
            </w:r>
            <w:r>
              <w:rPr>
                <w:rFonts w:hint="eastAsia" w:ascii="Times New Roman" w:hAnsi="Times New Roman" w:eastAsia="宋体"/>
                <w:color w:val="auto"/>
                <w:sz w:val="21"/>
                <w:lang w:eastAsia="zh-CN"/>
              </w:rPr>
              <w:instrText xml:space="preserve"> = 2 \* GB2 \* MERGEFORMAT </w:instrText>
            </w:r>
            <w:r>
              <w:rPr>
                <w:rFonts w:hint="eastAsia" w:ascii="Times New Roman" w:hAnsi="Times New Roman" w:eastAsia="宋体"/>
                <w:color w:val="auto"/>
                <w:sz w:val="21"/>
                <w:lang w:eastAsia="zh-CN"/>
              </w:rPr>
              <w:fldChar w:fldCharType="separate"/>
            </w:r>
            <w:r>
              <w:rPr>
                <w:rFonts w:ascii="Times New Roman" w:hAnsi="Times New Roman" w:eastAsia="宋体"/>
                <w:color w:val="auto"/>
                <w:sz w:val="21"/>
              </w:rPr>
              <w:t>⑵</w:t>
            </w:r>
            <w:r>
              <w:rPr>
                <w:rFonts w:hint="eastAsia" w:ascii="Times New Roman" w:hAnsi="Times New Roman" w:eastAsia="宋体"/>
                <w:color w:val="auto"/>
                <w:sz w:val="21"/>
                <w:lang w:eastAsia="zh-CN"/>
              </w:rPr>
              <w:fldChar w:fldCharType="end"/>
            </w:r>
            <w:r>
              <w:rPr>
                <w:rFonts w:hint="eastAsia" w:ascii="Times New Roman" w:hAnsi="Times New Roman" w:eastAsia="宋体"/>
                <w:color w:val="auto"/>
                <w:sz w:val="21"/>
                <w:lang w:eastAsia="zh-CN"/>
              </w:rPr>
              <w:t>变压器冷却水循环量</w:t>
            </w:r>
            <w:r>
              <w:rPr>
                <w:rFonts w:hint="eastAsia" w:ascii="Times New Roman" w:hAnsi="Times New Roman" w:eastAsia="宋体"/>
                <w:color w:val="auto"/>
                <w:sz w:val="21"/>
                <w:lang w:val="en-US" w:eastAsia="zh-CN"/>
              </w:rPr>
              <w:t>480m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/h，用于</w:t>
            </w:r>
            <w:r>
              <w:rPr>
                <w:rFonts w:hint="eastAsia" w:ascii="Times New Roman" w:hAnsi="Times New Roman" w:eastAsia="宋体"/>
                <w:color w:val="auto"/>
                <w:sz w:val="21"/>
                <w:lang w:eastAsia="zh-CN"/>
              </w:rPr>
              <w:t>变压器冷却使用。补充软</w:t>
            </w:r>
            <w:r>
              <w:rPr>
                <w:rFonts w:hint="eastAsia" w:ascii="Times New Roman" w:hAnsi="Times New Roman" w:eastAsia="宋体"/>
                <w:color w:val="auto"/>
                <w:sz w:val="21"/>
                <w:lang w:val="en-US" w:eastAsia="zh-CN"/>
              </w:rPr>
              <w:t>水330</w:t>
            </w:r>
            <w:r>
              <w:rPr>
                <w:rFonts w:ascii="Times New Roman" w:hAnsi="Times New Roman" w:eastAsia="宋体"/>
                <w:color w:val="auto"/>
                <w:sz w:val="21"/>
              </w:rPr>
              <w:t>0m</w:t>
            </w:r>
            <w:r>
              <w:rPr>
                <w:rFonts w:ascii="Times New Roman" w:hAnsi="Times New Roman" w:eastAsia="宋体"/>
                <w:color w:val="auto"/>
                <w:sz w:val="21"/>
                <w:vertAlign w:val="superscript"/>
              </w:rPr>
              <w:t>3</w:t>
            </w:r>
            <w:r>
              <w:rPr>
                <w:rFonts w:ascii="Times New Roman" w:hAnsi="Times New Roman" w:eastAsia="宋体"/>
                <w:color w:val="auto"/>
                <w:sz w:val="21"/>
              </w:rPr>
              <w:t>/</w:t>
            </w:r>
            <w:r>
              <w:rPr>
                <w:rFonts w:hint="eastAsia" w:ascii="Times New Roman" w:hAnsi="Times New Roman" w:eastAsia="宋体"/>
                <w:color w:val="auto"/>
                <w:sz w:val="21"/>
                <w:lang w:val="en-US" w:eastAsia="zh-CN"/>
              </w:rPr>
              <w:t>a，其中一期、二期均为1650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储运工程</w:t>
            </w:r>
          </w:p>
        </w:tc>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2389"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名称</w:t>
            </w:r>
          </w:p>
        </w:tc>
        <w:tc>
          <w:tcPr>
            <w:tcW w:w="3998" w:type="dxa"/>
            <w:gridSpan w:val="2"/>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建设期</w:t>
            </w:r>
          </w:p>
        </w:tc>
        <w:tc>
          <w:tcPr>
            <w:tcW w:w="2513"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其中运入</w:t>
            </w:r>
            <w:r>
              <w:rPr>
                <w:rFonts w:hint="eastAsia" w:ascii="Times New Roman" w:hAnsi="Times New Roman" w:eastAsia="宋体"/>
                <w:sz w:val="21"/>
                <w:lang w:val="en-US" w:eastAsia="zh-CN"/>
              </w:rPr>
              <w:t>101612.58</w:t>
            </w:r>
            <w:r>
              <w:rPr>
                <w:rFonts w:hint="eastAsia" w:ascii="Times New Roman" w:hAnsi="Times New Roman" w:eastAsia="宋体"/>
                <w:sz w:val="21"/>
                <w:lang w:eastAsia="zh-CN"/>
              </w:rPr>
              <w:t>t/a，运出</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101039.922</w:t>
            </w:r>
            <w:r>
              <w:rPr>
                <w:rFonts w:hint="eastAsia" w:ascii="Times New Roman" w:hAnsi="Times New Roman" w:eastAsia="宋体"/>
                <w:sz w:val="21"/>
                <w:lang w:eastAsia="zh-CN"/>
              </w:rPr>
              <w:t>t/a，委托专业运输公司运输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2389"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val="en-US" w:eastAsia="zh-CN"/>
              </w:rPr>
            </w:pP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一期</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二期</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运输</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总运输量为202652.502t/a</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储存</w:t>
            </w: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ascii="Times New Roman" w:hAnsi="Times New Roman" w:eastAsia="宋体"/>
                <w:sz w:val="21"/>
              </w:rPr>
              <w:t>原料仓库</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车间一内</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车间二内</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破碎、筛分车间</w:t>
            </w:r>
          </w:p>
        </w:tc>
        <w:tc>
          <w:tcPr>
            <w:tcW w:w="3998" w:type="dxa"/>
            <w:gridSpan w:val="2"/>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color w:val="auto"/>
                <w:sz w:val="21"/>
                <w:lang w:val="en-US" w:eastAsia="zh-CN"/>
              </w:rPr>
              <w:t>6278</w:t>
            </w:r>
            <w:r>
              <w:rPr>
                <w:rFonts w:hint="eastAsia" w:ascii="Times New Roman" w:hAnsi="Times New Roman"/>
                <w:color w:val="auto"/>
                <w:sz w:val="21"/>
                <w:lang w:val="en-US" w:eastAsia="zh-CN"/>
              </w:rPr>
              <w:t>.14</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 xml:space="preserve">2 </w:t>
            </w:r>
            <w:r>
              <w:rPr>
                <w:rFonts w:hint="eastAsia" w:ascii="Times New Roman" w:hAnsi="Times New Roman" w:eastAsia="宋体"/>
                <w:color w:val="auto"/>
                <w:sz w:val="21"/>
                <w:lang w:val="en-US" w:eastAsia="zh-CN"/>
              </w:rPr>
              <w:t>1</w:t>
            </w:r>
            <w:r>
              <w:rPr>
                <w:rFonts w:hint="eastAsia" w:ascii="Times New Roman" w:hAnsi="Times New Roman" w:eastAsia="宋体"/>
                <w:color w:val="auto"/>
                <w:sz w:val="21"/>
                <w:lang w:eastAsia="zh-CN"/>
              </w:rPr>
              <w:t>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t>半</w:t>
            </w:r>
            <w:r>
              <w:rPr>
                <w:rFonts w:ascii="Times New Roman" w:hAnsi="Times New Roman" w:eastAsia="宋体"/>
                <w:sz w:val="21"/>
              </w:rPr>
              <w:t>成品</w:t>
            </w:r>
            <w:r>
              <w:rPr>
                <w:rFonts w:hint="eastAsia" w:ascii="Times New Roman" w:hAnsi="Times New Roman" w:eastAsia="宋体"/>
                <w:sz w:val="21"/>
                <w:lang w:eastAsia="zh-CN"/>
              </w:rPr>
              <w:t>仓</w:t>
            </w:r>
            <w:r>
              <w:rPr>
                <w:rFonts w:hint="eastAsia" w:ascii="Times New Roman" w:hAnsi="Times New Roman" w:eastAsia="宋体"/>
                <w:sz w:val="21"/>
                <w:lang w:val="en-US" w:eastAsia="zh-CN"/>
              </w:rPr>
              <w:t>1</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ascii="Times New Roman" w:hAnsi="Times New Roman" w:eastAsia="宋体"/>
                <w:sz w:val="21"/>
              </w:rPr>
              <w:t>Φ</w:t>
            </w:r>
            <w:r>
              <w:rPr>
                <w:rFonts w:hint="eastAsia" w:ascii="Times New Roman" w:hAnsi="Times New Roman" w:eastAsia="宋体"/>
                <w:sz w:val="21"/>
                <w:lang w:val="en-US" w:eastAsia="zh-CN"/>
              </w:rPr>
              <w:t>3.25</w:t>
            </w:r>
            <w:r>
              <w:rPr>
                <w:rFonts w:ascii="Times New Roman" w:hAnsi="Times New Roman" w:eastAsia="宋体"/>
                <w:sz w:val="21"/>
              </w:rPr>
              <w:t>×</w:t>
            </w:r>
            <w:r>
              <w:rPr>
                <w:rFonts w:hint="eastAsia" w:ascii="Times New Roman" w:hAnsi="Times New Roman" w:eastAsia="宋体"/>
                <w:sz w:val="21"/>
                <w:lang w:val="en-US" w:eastAsia="zh-CN"/>
              </w:rPr>
              <w:t>4  2个</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ascii="Times New Roman" w:hAnsi="Times New Roman" w:eastAsia="宋体"/>
                <w:sz w:val="21"/>
              </w:rPr>
              <w:t>Φ</w:t>
            </w:r>
            <w:r>
              <w:rPr>
                <w:rFonts w:hint="eastAsia" w:ascii="Times New Roman" w:hAnsi="Times New Roman" w:eastAsia="宋体"/>
                <w:sz w:val="21"/>
                <w:lang w:val="en-US" w:eastAsia="zh-CN"/>
              </w:rPr>
              <w:t>3.25</w:t>
            </w:r>
            <w:r>
              <w:rPr>
                <w:rFonts w:ascii="Times New Roman" w:hAnsi="Times New Roman" w:eastAsia="宋体"/>
                <w:sz w:val="21"/>
              </w:rPr>
              <w:t>×</w:t>
            </w:r>
            <w:r>
              <w:rPr>
                <w:rFonts w:hint="eastAsia" w:ascii="Times New Roman" w:hAnsi="Times New Roman" w:eastAsia="宋体"/>
                <w:sz w:val="21"/>
                <w:lang w:val="en-US" w:eastAsia="zh-CN"/>
              </w:rPr>
              <w:t>4  2个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eastAsia="zh-CN"/>
              </w:rPr>
              <w:t>半</w:t>
            </w:r>
            <w:r>
              <w:rPr>
                <w:rFonts w:ascii="Times New Roman" w:hAnsi="Times New Roman" w:eastAsia="宋体"/>
                <w:sz w:val="21"/>
              </w:rPr>
              <w:t>成品</w:t>
            </w:r>
            <w:r>
              <w:rPr>
                <w:rFonts w:hint="eastAsia" w:ascii="Times New Roman" w:hAnsi="Times New Roman" w:eastAsia="宋体"/>
                <w:sz w:val="21"/>
                <w:lang w:eastAsia="zh-CN"/>
              </w:rPr>
              <w:t>仓</w:t>
            </w:r>
            <w:r>
              <w:rPr>
                <w:rFonts w:hint="eastAsia" w:ascii="Times New Roman" w:hAnsi="Times New Roman" w:eastAsia="宋体"/>
                <w:sz w:val="21"/>
                <w:lang w:val="en-US" w:eastAsia="zh-CN"/>
              </w:rPr>
              <w:t>2</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Φ</w:t>
            </w:r>
            <w:r>
              <w:rPr>
                <w:rFonts w:hint="eastAsia" w:ascii="Times New Roman" w:hAnsi="Times New Roman" w:eastAsia="宋体"/>
                <w:sz w:val="21"/>
                <w:lang w:val="en-US" w:eastAsia="zh-CN"/>
              </w:rPr>
              <w:t>3</w:t>
            </w:r>
            <w:r>
              <w:rPr>
                <w:rFonts w:ascii="Times New Roman" w:hAnsi="Times New Roman" w:eastAsia="宋体"/>
                <w:sz w:val="21"/>
              </w:rPr>
              <w:t>×</w:t>
            </w:r>
            <w:r>
              <w:rPr>
                <w:rFonts w:hint="eastAsia" w:ascii="Times New Roman" w:hAnsi="Times New Roman" w:eastAsia="宋体"/>
                <w:sz w:val="21"/>
                <w:lang w:val="en-US" w:eastAsia="zh-CN"/>
              </w:rPr>
              <w:t>1.5  1个</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Φ</w:t>
            </w:r>
            <w:r>
              <w:rPr>
                <w:rFonts w:hint="eastAsia" w:ascii="Times New Roman" w:hAnsi="Times New Roman" w:eastAsia="宋体"/>
                <w:sz w:val="21"/>
                <w:lang w:val="en-US" w:eastAsia="zh-CN"/>
              </w:rPr>
              <w:t>3</w:t>
            </w:r>
            <w:r>
              <w:rPr>
                <w:rFonts w:ascii="Times New Roman" w:hAnsi="Times New Roman" w:eastAsia="宋体"/>
                <w:sz w:val="21"/>
              </w:rPr>
              <w:t>×</w:t>
            </w:r>
            <w:r>
              <w:rPr>
                <w:rFonts w:hint="eastAsia" w:ascii="Times New Roman" w:hAnsi="Times New Roman" w:eastAsia="宋体"/>
                <w:sz w:val="21"/>
                <w:lang w:val="en-US" w:eastAsia="zh-CN"/>
              </w:rPr>
              <w:t>1.5  1个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环</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保</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工</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废气处理</w:t>
            </w:r>
          </w:p>
        </w:tc>
        <w:tc>
          <w:tcPr>
            <w:tcW w:w="6387" w:type="dxa"/>
            <w:gridSpan w:val="3"/>
            <w:noWrap w:val="0"/>
            <w:vAlign w:val="center"/>
          </w:tcPr>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进料粉尘废气在料仓两侧设置</w:t>
            </w:r>
            <w:r>
              <w:rPr>
                <w:rFonts w:hint="eastAsia" w:ascii="Times New Roman" w:hAnsi="Times New Roman"/>
                <w:sz w:val="21"/>
                <w:lang w:val="en-US" w:eastAsia="zh-CN"/>
              </w:rPr>
              <w:t>集尘罩</w:t>
            </w:r>
            <w:r>
              <w:rPr>
                <w:rFonts w:hint="eastAsia" w:ascii="Times New Roman" w:hAnsi="Times New Roman" w:eastAsia="宋体"/>
                <w:sz w:val="21"/>
                <w:lang w:val="en-US" w:eastAsia="zh-CN"/>
              </w:rPr>
              <w:t>，袋式除尘器处理后排放；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2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⑵</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电煅废气密闭收集，</w:t>
            </w:r>
            <w:r>
              <w:rPr>
                <w:rFonts w:ascii="Times New Roman" w:hAnsi="Times New Roman" w:eastAsia="宋体"/>
                <w:sz w:val="21"/>
              </w:rPr>
              <w:t>布袋除尘+氧化钙脱硫（</w:t>
            </w:r>
            <w:r>
              <w:rPr>
                <w:rFonts w:hint="eastAsia" w:ascii="Times New Roman" w:hAnsi="Times New Roman" w:eastAsia="宋体"/>
                <w:sz w:val="21"/>
                <w:lang w:eastAsia="zh-CN"/>
              </w:rPr>
              <w:t>二</w:t>
            </w:r>
            <w:r>
              <w:rPr>
                <w:rFonts w:ascii="Times New Roman" w:hAnsi="Times New Roman" w:eastAsia="宋体"/>
                <w:sz w:val="21"/>
              </w:rPr>
              <w:t>级</w:t>
            </w:r>
            <w:r>
              <w:rPr>
                <w:rFonts w:hint="eastAsia" w:ascii="Times New Roman" w:hAnsi="Times New Roman" w:eastAsia="宋体"/>
                <w:sz w:val="21"/>
                <w:lang w:eastAsia="zh-CN"/>
              </w:rPr>
              <w:t>）</w:t>
            </w:r>
            <w:r>
              <w:rPr>
                <w:rFonts w:hint="eastAsia" w:ascii="Times New Roman" w:hAnsi="Times New Roman" w:eastAsia="宋体"/>
                <w:sz w:val="21"/>
                <w:lang w:val="en-US" w:eastAsia="zh-CN"/>
              </w:rPr>
              <w:t>脱硫除尘后排放；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3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⑶</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排料废气密闭收集，</w:t>
            </w:r>
            <w:r>
              <w:rPr>
                <w:rFonts w:ascii="Times New Roman" w:hAnsi="Times New Roman" w:eastAsia="宋体"/>
                <w:sz w:val="21"/>
              </w:rPr>
              <w:t>布袋除尘</w:t>
            </w:r>
            <w:r>
              <w:rPr>
                <w:rFonts w:hint="eastAsia" w:ascii="Times New Roman" w:hAnsi="Times New Roman" w:eastAsia="宋体"/>
                <w:sz w:val="21"/>
                <w:lang w:val="en-US" w:eastAsia="zh-CN"/>
              </w:rPr>
              <w:t>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4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⑷</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中间包装、仓成品仓2、包装废气集尘罩收集，袋式除尘器处理后排放；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ascii="Times New Roman" w:hAnsi="Times New Roman" w:eastAsia="宋体"/>
                <w:sz w:val="21"/>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5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⑸</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破碎、筛分废气密闭收集，袋式除尘器处理后排放；</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一期、二期共用处理措施单独配置，共用一个排气筒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废水处理</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eastAsia="zh-CN"/>
              </w:rPr>
              <w:t>经隔油池处理后的食堂废水与生活污水一起进</w:t>
            </w:r>
            <w:r>
              <w:rPr>
                <w:rFonts w:ascii="Times New Roman" w:hAnsi="Times New Roman" w:eastAsia="宋体"/>
                <w:sz w:val="21"/>
              </w:rPr>
              <w:t>经化粪池</w:t>
            </w:r>
            <w:r>
              <w:rPr>
                <w:rFonts w:hint="eastAsia" w:ascii="Times New Roman" w:hAnsi="Times New Roman" w:eastAsia="宋体"/>
                <w:sz w:val="21"/>
                <w:lang w:eastAsia="zh-CN"/>
              </w:rPr>
              <w:t>进行处理，</w:t>
            </w:r>
            <w:r>
              <w:rPr>
                <w:rFonts w:ascii="Times New Roman" w:hAnsi="Times New Roman" w:eastAsia="宋体"/>
                <w:sz w:val="21"/>
              </w:rPr>
              <w:t>处理后可满足</w:t>
            </w:r>
            <w:r>
              <w:rPr>
                <w:rFonts w:hint="eastAsia" w:ascii="Times New Roman" w:hAnsi="Times New Roman" w:eastAsia="宋体"/>
                <w:sz w:val="21"/>
                <w:lang w:eastAsia="zh-CN"/>
              </w:rPr>
              <w:t>青湖镇联村生活污水处理厂的</w:t>
            </w:r>
            <w:r>
              <w:rPr>
                <w:rFonts w:ascii="Times New Roman" w:hAnsi="Times New Roman" w:eastAsia="宋体"/>
                <w:sz w:val="21"/>
              </w:rPr>
              <w:t>接管标准，直接接</w:t>
            </w:r>
            <w:r>
              <w:rPr>
                <w:rFonts w:hint="eastAsia" w:ascii="Times New Roman" w:hAnsi="Times New Roman" w:eastAsia="宋体"/>
                <w:sz w:val="21"/>
                <w:lang w:eastAsia="zh-CN"/>
              </w:rPr>
              <w:t>青湖镇联村生活污水处理厂</w:t>
            </w:r>
            <w:r>
              <w:rPr>
                <w:rFonts w:hint="eastAsia" w:ascii="Times New Roman" w:hAnsi="Times New Roman" w:eastAsia="宋体"/>
                <w:sz w:val="21"/>
                <w:lang w:val="en-US"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2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⑵</w:t>
            </w:r>
            <w:r>
              <w:rPr>
                <w:rFonts w:hint="eastAsia" w:ascii="Times New Roman" w:hAnsi="Times New Roman" w:eastAsia="宋体"/>
                <w:sz w:val="21"/>
                <w:lang w:val="en-US" w:eastAsia="zh-CN"/>
              </w:rPr>
              <w:fldChar w:fldCharType="end"/>
            </w:r>
            <w:r>
              <w:rPr>
                <w:rFonts w:ascii="Times New Roman" w:hAnsi="Times New Roman" w:eastAsia="宋体"/>
                <w:sz w:val="21"/>
              </w:rPr>
              <w:t>循环冷却系统排水水质比较简单，污染物含量较少，可作为清下水排放</w:t>
            </w:r>
            <w:r>
              <w:rPr>
                <w:rFonts w:hint="eastAsia" w:ascii="Times New Roman" w:hAnsi="Times New Roman" w:eastAsia="宋体"/>
                <w:sz w:val="21"/>
                <w:lang w:eastAsia="zh-CN"/>
              </w:rPr>
              <w:t>，部分用于厂区绿化</w:t>
            </w:r>
            <w:r>
              <w:rPr>
                <w:rFonts w:hint="eastAsia" w:ascii="Times New Roman" w:hAnsi="Times New Roman" w:eastAsia="宋体"/>
                <w:sz w:val="21"/>
                <w:lang w:val="en-US"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3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⑶</w:t>
            </w:r>
            <w:r>
              <w:rPr>
                <w:rFonts w:hint="eastAsia" w:ascii="Times New Roman" w:hAnsi="Times New Roman" w:eastAsia="宋体"/>
                <w:sz w:val="21"/>
                <w:lang w:val="en-US" w:eastAsia="zh-CN"/>
              </w:rPr>
              <w:fldChar w:fldCharType="end"/>
            </w:r>
            <w:r>
              <w:rPr>
                <w:rFonts w:ascii="Times New Roman" w:hAnsi="Times New Roman" w:eastAsia="宋体"/>
                <w:sz w:val="21"/>
              </w:rPr>
              <w:t>项目软水制备系统排水水质比较简单，主要为盐分，</w:t>
            </w:r>
            <w:r>
              <w:rPr>
                <w:rFonts w:hint="eastAsia" w:ascii="Times New Roman" w:hAnsi="Times New Roman" w:eastAsia="宋体"/>
                <w:sz w:val="21"/>
                <w:lang w:eastAsia="zh-CN"/>
              </w:rPr>
              <w:t>部分</w:t>
            </w:r>
            <w:r>
              <w:rPr>
                <w:rFonts w:ascii="Times New Roman" w:hAnsi="Times New Roman" w:eastAsia="宋体"/>
                <w:sz w:val="21"/>
              </w:rPr>
              <w:t>通过清下水排口排放</w:t>
            </w:r>
            <w:r>
              <w:rPr>
                <w:rFonts w:hint="eastAsia" w:ascii="Times New Roman" w:hAnsi="Times New Roman" w:eastAsia="宋体"/>
                <w:sz w:val="21"/>
                <w:lang w:eastAsia="zh-CN"/>
              </w:rPr>
              <w:t>，部分用于厂区绿化</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噪声治理</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eastAsia="zh-CN"/>
              </w:rPr>
            </w:pPr>
            <w:r>
              <w:rPr>
                <w:rFonts w:ascii="Times New Roman" w:hAnsi="Times New Roman" w:eastAsia="宋体"/>
                <w:sz w:val="21"/>
              </w:rPr>
              <w:t>选取低噪设备、合理布局；局部消声、隔音；厂房隔音等</w:t>
            </w:r>
            <w:r>
              <w:rPr>
                <w:rFonts w:hint="eastAsia" w:ascii="Times New Roman" w:hAnsi="Times New Roman" w:eastAsia="宋体"/>
                <w:sz w:val="21"/>
                <w:lang w:eastAsia="zh-CN"/>
              </w:rPr>
              <w:t>，确保厂界达标</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风险</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color w:val="auto"/>
                <w:sz w:val="21"/>
              </w:rPr>
            </w:pPr>
            <w:r>
              <w:rPr>
                <w:rFonts w:ascii="Times New Roman" w:hAnsi="Times New Roman" w:eastAsia="宋体"/>
                <w:color w:val="auto"/>
                <w:sz w:val="21"/>
              </w:rPr>
              <w:t>设置</w:t>
            </w:r>
            <w:r>
              <w:rPr>
                <w:rFonts w:hint="eastAsia" w:ascii="Times New Roman" w:hAnsi="Times New Roman" w:eastAsia="宋体"/>
                <w:color w:val="auto"/>
                <w:sz w:val="21"/>
                <w:lang w:eastAsia="zh-CN"/>
              </w:rPr>
              <w:t>循环冷却水池兼</w:t>
            </w:r>
            <w:r>
              <w:rPr>
                <w:rFonts w:ascii="Times New Roman" w:hAnsi="Times New Roman" w:eastAsia="宋体"/>
                <w:color w:val="auto"/>
                <w:sz w:val="21"/>
              </w:rPr>
              <w:t>消防水池</w:t>
            </w:r>
            <w:r>
              <w:rPr>
                <w:rFonts w:hint="eastAsia" w:ascii="Times New Roman" w:hAnsi="Times New Roman" w:eastAsia="宋体"/>
                <w:color w:val="auto"/>
                <w:sz w:val="21"/>
                <w:lang w:val="en-US" w:eastAsia="zh-CN"/>
              </w:rPr>
              <w:t>1</w:t>
            </w:r>
            <w:r>
              <w:rPr>
                <w:rFonts w:ascii="Times New Roman" w:hAnsi="Times New Roman" w:eastAsia="宋体"/>
                <w:color w:val="auto"/>
                <w:sz w:val="21"/>
              </w:rPr>
              <w:t>座，有效容积</w:t>
            </w:r>
            <w:r>
              <w:rPr>
                <w:rFonts w:hint="eastAsia"/>
                <w:color w:val="auto"/>
                <w:sz w:val="21"/>
                <w:lang w:val="en-US" w:eastAsia="zh-CN"/>
              </w:rPr>
              <w:t>616</w:t>
            </w:r>
            <w:r>
              <w:rPr>
                <w:rFonts w:ascii="Times New Roman" w:hAnsi="Times New Roman" w:eastAsia="宋体"/>
                <w:color w:val="auto"/>
                <w:sz w:val="21"/>
              </w:rPr>
              <w:t>m</w:t>
            </w:r>
            <w:r>
              <w:rPr>
                <w:rFonts w:ascii="Times New Roman" w:hAnsi="Times New Roman" w:eastAsia="宋体"/>
                <w:color w:val="auto"/>
                <w:sz w:val="21"/>
                <w:vertAlign w:val="superscript"/>
              </w:rPr>
              <w:t>3</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lang w:val="en-US" w:eastAsia="zh-CN"/>
              </w:rPr>
            </w:pPr>
            <w:r>
              <w:rPr>
                <w:rFonts w:ascii="Times New Roman" w:hAnsi="Times New Roman" w:eastAsia="宋体"/>
                <w:color w:val="auto"/>
                <w:sz w:val="21"/>
              </w:rPr>
              <w:t>设置消防尾水池</w:t>
            </w:r>
            <w:r>
              <w:rPr>
                <w:rFonts w:hint="eastAsia" w:ascii="Times New Roman" w:hAnsi="Times New Roman"/>
                <w:color w:val="auto"/>
                <w:sz w:val="21"/>
                <w:lang w:val="en-US" w:eastAsia="zh-CN"/>
              </w:rPr>
              <w:t>1</w:t>
            </w:r>
            <w:r>
              <w:rPr>
                <w:rFonts w:ascii="Times New Roman" w:hAnsi="Times New Roman" w:eastAsia="宋体"/>
                <w:color w:val="auto"/>
                <w:sz w:val="21"/>
              </w:rPr>
              <w:t>座，有效容积</w:t>
            </w:r>
            <w:r>
              <w:rPr>
                <w:rFonts w:hint="eastAsia"/>
                <w:color w:val="auto"/>
                <w:sz w:val="21"/>
                <w:lang w:val="en-US" w:eastAsia="zh-CN"/>
              </w:rPr>
              <w:t>242</w:t>
            </w:r>
            <w:r>
              <w:rPr>
                <w:rFonts w:ascii="Times New Roman" w:hAnsi="Times New Roman" w:eastAsia="宋体"/>
                <w:color w:val="auto"/>
                <w:sz w:val="21"/>
              </w:rPr>
              <w:t>m</w:t>
            </w:r>
            <w:r>
              <w:rPr>
                <w:rFonts w:ascii="Times New Roman" w:hAnsi="Times New Roman" w:eastAsia="宋体"/>
                <w:color w:val="auto"/>
                <w:sz w:val="21"/>
                <w:vertAlign w:val="superscript"/>
              </w:rPr>
              <w:t>3</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eastAsia="zh-CN"/>
              </w:rPr>
              <w:t>固废</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color w:val="auto"/>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eastAsia="zh-CN"/>
              </w:rPr>
              <w:t>一般固废：一般固废暂存</w:t>
            </w:r>
            <w:r>
              <w:rPr>
                <w:rFonts w:hint="eastAsia" w:ascii="Times New Roman" w:hAnsi="Times New Roman" w:eastAsia="宋体"/>
                <w:color w:val="auto"/>
                <w:sz w:val="21"/>
                <w:lang w:eastAsia="zh-CN"/>
              </w:rPr>
              <w:t>间</w:t>
            </w:r>
            <w:r>
              <w:rPr>
                <w:rFonts w:hint="eastAsia" w:ascii="Times New Roman" w:hAnsi="Times New Roman"/>
                <w:color w:val="auto"/>
                <w:sz w:val="21"/>
                <w:lang w:val="en-US" w:eastAsia="zh-CN"/>
              </w:rPr>
              <w:t>100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电煅炉布袋除尘器除尘下灰、脱硫石膏外售作建材，废原料包装袋外售综合利用，</w:t>
            </w:r>
            <w:r>
              <w:rPr>
                <w:rFonts w:hint="eastAsia" w:ascii="Times New Roman" w:hAnsi="Times New Roman" w:eastAsia="宋体"/>
                <w:color w:val="auto"/>
                <w:sz w:val="21"/>
              </w:rPr>
              <w:t>隔油池废油</w:t>
            </w:r>
            <w:r>
              <w:rPr>
                <w:rFonts w:hint="eastAsia" w:ascii="Times New Roman" w:hAnsi="Times New Roman" w:eastAsia="宋体"/>
                <w:color w:val="auto"/>
                <w:sz w:val="21"/>
                <w:lang w:eastAsia="zh-CN"/>
              </w:rPr>
              <w:t>委托处理，</w:t>
            </w:r>
            <w:r>
              <w:rPr>
                <w:rFonts w:hint="eastAsia" w:ascii="Times New Roman" w:hAnsi="Times New Roman" w:eastAsia="宋体"/>
                <w:color w:val="auto"/>
                <w:sz w:val="21"/>
              </w:rPr>
              <w:t>生活垃圾</w:t>
            </w:r>
            <w:r>
              <w:rPr>
                <w:rFonts w:hint="eastAsia" w:ascii="Times New Roman" w:hAnsi="Times New Roman" w:eastAsia="宋体"/>
                <w:color w:val="auto"/>
                <w:sz w:val="21"/>
                <w:lang w:val="en-US" w:eastAsia="zh-CN"/>
              </w:rPr>
              <w:t>环卫托运，</w:t>
            </w:r>
            <w:r>
              <w:rPr>
                <w:rFonts w:hint="eastAsia" w:ascii="Times New Roman" w:hAnsi="Times New Roman" w:eastAsia="宋体"/>
                <w:color w:val="auto"/>
                <w:sz w:val="21"/>
              </w:rPr>
              <w:t>餐厨垃圾由专门公司进行收集处理</w:t>
            </w:r>
            <w:r>
              <w:rPr>
                <w:rFonts w:hint="eastAsia" w:ascii="Times New Roman" w:hAnsi="Times New Roman" w:eastAsia="宋体"/>
                <w:color w:val="auto"/>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fldChar w:fldCharType="begin"/>
            </w:r>
            <w:r>
              <w:rPr>
                <w:rFonts w:hint="eastAsia" w:ascii="Times New Roman" w:hAnsi="Times New Roman" w:eastAsia="宋体"/>
                <w:color w:val="auto"/>
                <w:sz w:val="21"/>
                <w:lang w:val="en-US" w:eastAsia="zh-CN"/>
              </w:rPr>
              <w:instrText xml:space="preserve"> = 2 \* GB2 \* MERGEFORMAT </w:instrText>
            </w:r>
            <w:r>
              <w:rPr>
                <w:rFonts w:hint="eastAsia" w:ascii="Times New Roman" w:hAnsi="Times New Roman" w:eastAsia="宋体"/>
                <w:color w:val="auto"/>
                <w:sz w:val="21"/>
                <w:lang w:val="en-US" w:eastAsia="zh-CN"/>
              </w:rPr>
              <w:fldChar w:fldCharType="separate"/>
            </w:r>
            <w:r>
              <w:rPr>
                <w:rFonts w:ascii="Times New Roman" w:hAnsi="Times New Roman" w:eastAsia="宋体"/>
                <w:color w:val="auto"/>
                <w:sz w:val="21"/>
              </w:rPr>
              <w:t>⑵</w:t>
            </w:r>
            <w:r>
              <w:rPr>
                <w:rFonts w:hint="eastAsia" w:ascii="Times New Roman" w:hAnsi="Times New Roman" w:eastAsia="宋体"/>
                <w:color w:val="auto"/>
                <w:sz w:val="21"/>
                <w:lang w:val="en-US" w:eastAsia="zh-CN"/>
              </w:rPr>
              <w:fldChar w:fldCharType="end"/>
            </w:r>
            <w:r>
              <w:rPr>
                <w:rFonts w:hint="eastAsia" w:ascii="Times New Roman" w:hAnsi="Times New Roman" w:eastAsia="宋体"/>
                <w:color w:val="auto"/>
                <w:sz w:val="21"/>
                <w:lang w:val="en-US" w:eastAsia="zh-CN"/>
              </w:rPr>
              <w:t>危险废物：危险废物暂存间</w:t>
            </w:r>
            <w:r>
              <w:rPr>
                <w:rFonts w:hint="eastAsia" w:ascii="Times New Roman" w:hAnsi="Times New Roman"/>
                <w:color w:val="auto"/>
                <w:sz w:val="21"/>
                <w:lang w:val="en-US" w:eastAsia="zh-CN"/>
              </w:rPr>
              <w:t>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ascii="Times New Roman" w:hAnsi="Times New Roman" w:eastAsia="宋体"/>
                <w:color w:val="auto"/>
                <w:sz w:val="21"/>
              </w:rPr>
              <w:t>项目</w:t>
            </w:r>
            <w:r>
              <w:rPr>
                <w:rFonts w:hint="eastAsia" w:ascii="Times New Roman" w:hAnsi="Times New Roman" w:eastAsia="宋体"/>
                <w:color w:val="auto"/>
                <w:sz w:val="21"/>
                <w:lang w:eastAsia="zh-CN"/>
              </w:rPr>
              <w:t>运营</w:t>
            </w:r>
            <w:r>
              <w:rPr>
                <w:rFonts w:ascii="Times New Roman" w:hAnsi="Times New Roman" w:eastAsia="宋体"/>
                <w:color w:val="auto"/>
                <w:sz w:val="21"/>
              </w:rPr>
              <w:t>过程中产生的</w:t>
            </w:r>
            <w:r>
              <w:rPr>
                <w:rFonts w:hint="eastAsia" w:ascii="Times New Roman" w:hAnsi="Times New Roman" w:eastAsia="宋体"/>
                <w:color w:val="auto"/>
                <w:sz w:val="21"/>
                <w:lang w:eastAsia="zh-CN"/>
              </w:rPr>
              <w:t>危险废物为废树脂、化验室废液和废试剂瓶，委托资质单位进行处理。</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生活垃圾由环卫部门统一收集清运。</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防渗</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危险废物暂存间、石膏池采取防渗措施，渗透系数低于1.0×10</w:t>
            </w:r>
            <w:r>
              <w:rPr>
                <w:rFonts w:hint="eastAsia" w:ascii="Times New Roman" w:hAnsi="Times New Roman" w:eastAsia="宋体"/>
                <w:sz w:val="21"/>
                <w:vertAlign w:val="superscript"/>
                <w:lang w:val="en-US" w:eastAsia="zh-CN"/>
              </w:rPr>
              <w:t>-7</w:t>
            </w:r>
            <w:r>
              <w:rPr>
                <w:rFonts w:hint="eastAsia" w:ascii="Times New Roman" w:hAnsi="Times New Roman" w:eastAsia="宋体"/>
                <w:sz w:val="21"/>
                <w:lang w:val="en-US" w:eastAsia="zh-CN"/>
              </w:rPr>
              <w:t>cm/s</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其他一般地面硬化</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w:t>
            </w:r>
          </w:p>
        </w:tc>
      </w:tr>
    </w:tbl>
    <w:p>
      <w:pPr>
        <w:pStyle w:val="5"/>
        <w:bidi w:val="0"/>
        <w:rPr>
          <w:rFonts w:hint="eastAsia"/>
          <w:lang w:val="en-US" w:eastAsia="zh-CN"/>
        </w:rPr>
      </w:pPr>
      <w:r>
        <w:rPr>
          <w:rFonts w:hint="eastAsia"/>
          <w:lang w:val="en-US" w:eastAsia="zh-CN"/>
        </w:rPr>
        <w:t>3.1.4原辅材料</w:t>
      </w:r>
    </w:p>
    <w:p>
      <w:pPr>
        <w:pStyle w:val="27"/>
        <w:bidi w:val="0"/>
        <w:rPr>
          <w:rFonts w:hint="eastAsia" w:eastAsia="宋体"/>
          <w:lang w:eastAsia="zh-CN"/>
        </w:rPr>
      </w:pPr>
      <w:r>
        <w:t>表</w:t>
      </w:r>
      <w:r>
        <w:rPr>
          <w:rFonts w:hint="eastAsia"/>
          <w:lang w:val="en-US" w:eastAsia="zh-CN"/>
        </w:rPr>
        <w:t>3.1.4-1</w:t>
      </w:r>
      <w:r>
        <w:t>主要原辅材料情况</w:t>
      </w:r>
      <w:r>
        <w:rPr>
          <w:rFonts w:hint="eastAsia"/>
          <w:lang w:eastAsia="zh-CN"/>
        </w:rPr>
        <w:t>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380"/>
        <w:gridCol w:w="1094"/>
        <w:gridCol w:w="1094"/>
        <w:gridCol w:w="1100"/>
        <w:gridCol w:w="1380"/>
        <w:gridCol w:w="3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8" w:type="pct"/>
            <w:vMerge w:val="restart"/>
            <w:noWrap w:val="0"/>
            <w:vAlign w:val="center"/>
          </w:tcPr>
          <w:p>
            <w:pPr>
              <w:pStyle w:val="28"/>
              <w:suppressLineNumbers w:val="0"/>
              <w:bidi w:val="0"/>
              <w:spacing w:before="0" w:after="0"/>
              <w:ind w:left="0" w:right="0"/>
            </w:pPr>
            <w:r>
              <w:t>序号</w:t>
            </w:r>
          </w:p>
        </w:tc>
        <w:tc>
          <w:tcPr>
            <w:tcW w:w="693" w:type="pct"/>
            <w:vMerge w:val="restart"/>
            <w:noWrap w:val="0"/>
            <w:vAlign w:val="center"/>
          </w:tcPr>
          <w:p>
            <w:pPr>
              <w:pStyle w:val="28"/>
              <w:suppressLineNumbers w:val="0"/>
              <w:bidi w:val="0"/>
              <w:spacing w:before="0" w:after="0"/>
              <w:ind w:left="0" w:right="0"/>
            </w:pPr>
            <w:r>
              <w:t>名称及规格</w:t>
            </w:r>
          </w:p>
        </w:tc>
        <w:tc>
          <w:tcPr>
            <w:tcW w:w="1650" w:type="pct"/>
            <w:gridSpan w:val="3"/>
            <w:noWrap w:val="0"/>
            <w:vAlign w:val="center"/>
          </w:tcPr>
          <w:p>
            <w:pPr>
              <w:pStyle w:val="28"/>
              <w:suppressLineNumbers w:val="0"/>
              <w:bidi w:val="0"/>
              <w:spacing w:before="0" w:after="0"/>
              <w:ind w:left="0" w:right="0"/>
            </w:pPr>
            <w:r>
              <w:t>年消耗/生产量（t/a）</w:t>
            </w:r>
          </w:p>
        </w:tc>
        <w:tc>
          <w:tcPr>
            <w:tcW w:w="693" w:type="pct"/>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包装方式</w:t>
            </w:r>
          </w:p>
        </w:tc>
        <w:tc>
          <w:tcPr>
            <w:tcW w:w="1614" w:type="pct"/>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348" w:type="pct"/>
            <w:vMerge w:val="continue"/>
            <w:noWrap w:val="0"/>
            <w:vAlign w:val="center"/>
          </w:tcPr>
          <w:p>
            <w:pPr>
              <w:pStyle w:val="28"/>
              <w:suppressLineNumbers w:val="0"/>
              <w:bidi w:val="0"/>
              <w:spacing w:before="0" w:after="0"/>
              <w:ind w:left="0" w:right="0"/>
              <w:outlineLvl w:val="9"/>
            </w:pPr>
          </w:p>
        </w:tc>
        <w:tc>
          <w:tcPr>
            <w:tcW w:w="693" w:type="pct"/>
            <w:vMerge w:val="continue"/>
            <w:noWrap w:val="0"/>
            <w:vAlign w:val="center"/>
          </w:tcPr>
          <w:p>
            <w:pPr>
              <w:pStyle w:val="28"/>
              <w:suppressLineNumbers w:val="0"/>
              <w:bidi w:val="0"/>
              <w:spacing w:before="0" w:after="0"/>
              <w:ind w:left="0" w:right="0"/>
              <w:outlineLvl w:val="9"/>
            </w:pPr>
          </w:p>
        </w:tc>
        <w:tc>
          <w:tcPr>
            <w:tcW w:w="549"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一期</w:t>
            </w:r>
          </w:p>
        </w:tc>
        <w:tc>
          <w:tcPr>
            <w:tcW w:w="549" w:type="pct"/>
            <w:noWrap w:val="0"/>
            <w:vAlign w:val="center"/>
          </w:tcPr>
          <w:p>
            <w:pPr>
              <w:pStyle w:val="28"/>
              <w:suppressLineNumbers w:val="0"/>
              <w:bidi w:val="0"/>
              <w:spacing w:before="0" w:after="0"/>
              <w:ind w:left="0" w:right="0"/>
              <w:rPr>
                <w:rFonts w:hint="eastAsia"/>
                <w:lang w:eastAsia="zh-CN"/>
              </w:rPr>
            </w:pPr>
            <w:r>
              <w:rPr>
                <w:rFonts w:hint="eastAsia"/>
                <w:lang w:eastAsia="zh-CN"/>
              </w:rPr>
              <w:t>二期</w:t>
            </w:r>
          </w:p>
        </w:tc>
        <w:tc>
          <w:tcPr>
            <w:tcW w:w="550" w:type="pct"/>
            <w:noWrap w:val="0"/>
            <w:vAlign w:val="center"/>
          </w:tcPr>
          <w:p>
            <w:pPr>
              <w:pStyle w:val="28"/>
              <w:suppressLineNumbers w:val="0"/>
              <w:bidi w:val="0"/>
              <w:spacing w:before="0" w:after="0"/>
              <w:ind w:left="0" w:right="0"/>
              <w:rPr>
                <w:rFonts w:hint="eastAsia"/>
                <w:lang w:eastAsia="zh-CN"/>
              </w:rPr>
            </w:pPr>
            <w:r>
              <w:rPr>
                <w:rFonts w:hint="eastAsia"/>
                <w:lang w:eastAsia="zh-CN"/>
              </w:rPr>
              <w:t>全厂</w:t>
            </w:r>
          </w:p>
        </w:tc>
        <w:tc>
          <w:tcPr>
            <w:tcW w:w="693" w:type="pct"/>
            <w:vMerge w:val="continue"/>
            <w:noWrap w:val="0"/>
            <w:vAlign w:val="center"/>
          </w:tcPr>
          <w:p>
            <w:pPr>
              <w:pStyle w:val="28"/>
              <w:suppressLineNumbers w:val="0"/>
              <w:bidi w:val="0"/>
              <w:spacing w:before="0" w:after="0"/>
              <w:ind w:left="0" w:right="0"/>
              <w:outlineLvl w:val="9"/>
              <w:rPr>
                <w:rFonts w:hint="eastAsia"/>
                <w:lang w:eastAsia="zh-CN"/>
              </w:rPr>
            </w:pPr>
          </w:p>
        </w:tc>
        <w:tc>
          <w:tcPr>
            <w:tcW w:w="1614" w:type="pct"/>
            <w:vMerge w:val="continue"/>
            <w:noWrap w:val="0"/>
            <w:vAlign w:val="center"/>
          </w:tcPr>
          <w:p>
            <w:pPr>
              <w:pStyle w:val="28"/>
              <w:suppressLineNumbers w:val="0"/>
              <w:bidi w:val="0"/>
              <w:spacing w:before="0" w:after="0"/>
              <w:ind w:left="0" w:right="0"/>
              <w:outlineLvl w:val="9"/>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3" w:type="pct"/>
            <w:noWrap w:val="0"/>
            <w:vAlign w:val="center"/>
          </w:tcPr>
          <w:p>
            <w:pPr>
              <w:pStyle w:val="28"/>
              <w:suppressLineNumbers w:val="0"/>
              <w:bidi w:val="0"/>
              <w:spacing w:before="0" w:after="0"/>
              <w:ind w:left="0" w:right="0"/>
              <w:rPr>
                <w:rFonts w:hint="eastAsia"/>
                <w:lang w:eastAsia="zh-CN"/>
              </w:rPr>
            </w:pPr>
            <w:r>
              <w:rPr>
                <w:rFonts w:hint="eastAsia"/>
                <w:lang w:eastAsia="zh-CN"/>
              </w:rPr>
              <w:t>新鲜水</w:t>
            </w:r>
          </w:p>
        </w:tc>
        <w:tc>
          <w:tcPr>
            <w:tcW w:w="549"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74589.9</w:t>
            </w:r>
          </w:p>
        </w:tc>
        <w:tc>
          <w:tcPr>
            <w:tcW w:w="549" w:type="pct"/>
            <w:noWrap w:val="0"/>
            <w:vAlign w:val="center"/>
          </w:tcPr>
          <w:p>
            <w:pPr>
              <w:pStyle w:val="28"/>
              <w:suppressLineNumbers w:val="0"/>
              <w:bidi w:val="0"/>
              <w:spacing w:before="0" w:after="0"/>
              <w:ind w:left="0" w:right="0"/>
            </w:pPr>
            <w:r>
              <w:rPr>
                <w:rFonts w:hint="eastAsia"/>
                <w:lang w:val="en-US" w:eastAsia="zh-CN"/>
              </w:rPr>
              <w:t>73943.1</w:t>
            </w:r>
          </w:p>
        </w:tc>
        <w:tc>
          <w:tcPr>
            <w:tcW w:w="550" w:type="pct"/>
            <w:noWrap w:val="0"/>
            <w:vAlign w:val="center"/>
          </w:tcPr>
          <w:p>
            <w:pPr>
              <w:pStyle w:val="28"/>
              <w:suppressLineNumbers w:val="0"/>
              <w:bidi w:val="0"/>
              <w:spacing w:before="0" w:after="0"/>
              <w:ind w:left="0" w:right="0"/>
            </w:pPr>
            <w:r>
              <w:rPr>
                <w:rFonts w:hint="eastAsia"/>
                <w:lang w:val="en-US" w:eastAsia="zh-CN"/>
              </w:rPr>
              <w:t>148533</w:t>
            </w:r>
          </w:p>
        </w:tc>
        <w:tc>
          <w:tcPr>
            <w:tcW w:w="693"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614"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园区供水设施提供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pPr>
              <w:pStyle w:val="28"/>
              <w:suppressLineNumbers w:val="0"/>
              <w:bidi w:val="0"/>
              <w:spacing w:before="0" w:after="0"/>
              <w:ind w:left="0" w:right="0"/>
            </w:pPr>
            <w:r>
              <w:t>1</w:t>
            </w:r>
          </w:p>
        </w:tc>
        <w:tc>
          <w:tcPr>
            <w:tcW w:w="693" w:type="pct"/>
            <w:noWrap w:val="0"/>
            <w:vAlign w:val="center"/>
          </w:tcPr>
          <w:p>
            <w:pPr>
              <w:pStyle w:val="28"/>
              <w:suppressLineNumbers w:val="0"/>
              <w:bidi w:val="0"/>
              <w:spacing w:before="0" w:after="0"/>
              <w:ind w:left="0" w:right="0"/>
            </w:pPr>
            <w:r>
              <w:t>煅后焦</w:t>
            </w:r>
          </w:p>
        </w:tc>
        <w:tc>
          <w:tcPr>
            <w:tcW w:w="549"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50589.95</w:t>
            </w:r>
          </w:p>
        </w:tc>
        <w:tc>
          <w:tcPr>
            <w:tcW w:w="549"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50589.95</w:t>
            </w:r>
          </w:p>
        </w:tc>
        <w:tc>
          <w:tcPr>
            <w:tcW w:w="55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101179.9</w:t>
            </w:r>
          </w:p>
        </w:tc>
        <w:tc>
          <w:tcPr>
            <w:tcW w:w="693"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吨袋</w:t>
            </w:r>
          </w:p>
        </w:tc>
        <w:tc>
          <w:tcPr>
            <w:tcW w:w="1614"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pPr>
              <w:pStyle w:val="28"/>
              <w:suppressLineNumbers w:val="0"/>
              <w:bidi w:val="0"/>
              <w:spacing w:before="0" w:after="0"/>
              <w:ind w:left="0" w:right="0"/>
            </w:pPr>
            <w:r>
              <w:t>2</w:t>
            </w:r>
          </w:p>
        </w:tc>
        <w:tc>
          <w:tcPr>
            <w:tcW w:w="693" w:type="pct"/>
            <w:noWrap w:val="0"/>
            <w:vAlign w:val="center"/>
          </w:tcPr>
          <w:p>
            <w:pPr>
              <w:pStyle w:val="28"/>
              <w:suppressLineNumbers w:val="0"/>
              <w:bidi w:val="0"/>
              <w:spacing w:before="0" w:after="0"/>
              <w:ind w:left="0" w:right="0"/>
            </w:pPr>
            <w:r>
              <w:t>石墨电极</w:t>
            </w:r>
          </w:p>
        </w:tc>
        <w:tc>
          <w:tcPr>
            <w:tcW w:w="549"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w:t>
            </w:r>
            <w:r>
              <w:t>t/</w:t>
            </w:r>
            <w:r>
              <w:rPr>
                <w:rFonts w:hint="eastAsia"/>
                <w:lang w:val="en-US" w:eastAsia="zh-CN"/>
              </w:rPr>
              <w:t>2</w:t>
            </w:r>
            <w:r>
              <w:t>a</w:t>
            </w:r>
          </w:p>
        </w:tc>
        <w:tc>
          <w:tcPr>
            <w:tcW w:w="549"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1.8</w:t>
            </w:r>
            <w:r>
              <w:t>t/</w:t>
            </w:r>
            <w:r>
              <w:rPr>
                <w:rFonts w:hint="eastAsia"/>
                <w:lang w:val="en-US" w:eastAsia="zh-CN"/>
              </w:rPr>
              <w:t>2</w:t>
            </w:r>
            <w:r>
              <w:t>a</w:t>
            </w:r>
          </w:p>
        </w:tc>
        <w:tc>
          <w:tcPr>
            <w:tcW w:w="550"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3.6</w:t>
            </w:r>
            <w:r>
              <w:t>t/</w:t>
            </w:r>
            <w:r>
              <w:rPr>
                <w:rFonts w:hint="eastAsia"/>
                <w:lang w:val="en-US" w:eastAsia="zh-CN"/>
              </w:rPr>
              <w:t>2</w:t>
            </w:r>
            <w:r>
              <w:t>a</w:t>
            </w:r>
          </w:p>
        </w:tc>
        <w:tc>
          <w:tcPr>
            <w:tcW w:w="69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614" w:type="pct"/>
            <w:noWrap w:val="0"/>
            <w:vAlign w:val="center"/>
          </w:tcPr>
          <w:p>
            <w:pPr>
              <w:pStyle w:val="28"/>
              <w:suppressLineNumbers w:val="0"/>
              <w:bidi w:val="0"/>
              <w:spacing w:before="0" w:after="0"/>
              <w:ind w:left="0" w:right="0"/>
              <w:rPr>
                <w:rFonts w:hint="eastAsia"/>
                <w:lang w:eastAsia="zh-CN"/>
              </w:rPr>
            </w:pPr>
            <w:r>
              <w:rPr>
                <w:rFonts w:hint="eastAsia"/>
                <w:lang w:eastAsia="zh-CN"/>
              </w:rPr>
              <w:t>一次性投入，每两年进行更换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noWrap w:val="0"/>
            <w:vAlign w:val="center"/>
          </w:tcPr>
          <w:p>
            <w:pPr>
              <w:pStyle w:val="28"/>
              <w:suppressLineNumbers w:val="0"/>
              <w:bidi w:val="0"/>
              <w:spacing w:before="0" w:after="0"/>
              <w:ind w:left="0" w:right="0"/>
            </w:pPr>
            <w:r>
              <w:t>3</w:t>
            </w:r>
          </w:p>
        </w:tc>
        <w:tc>
          <w:tcPr>
            <w:tcW w:w="693" w:type="pct"/>
            <w:noWrap w:val="0"/>
            <w:vAlign w:val="center"/>
          </w:tcPr>
          <w:p>
            <w:pPr>
              <w:pStyle w:val="28"/>
              <w:suppressLineNumbers w:val="0"/>
              <w:bidi w:val="0"/>
              <w:spacing w:before="0" w:after="0"/>
              <w:ind w:left="0" w:right="0"/>
              <w:rPr>
                <w:rFonts w:hint="eastAsia"/>
                <w:lang w:eastAsia="zh-CN"/>
              </w:rPr>
            </w:pPr>
            <w:r>
              <w:rPr>
                <w:rFonts w:hint="eastAsia"/>
                <w:lang w:eastAsia="zh-CN"/>
              </w:rPr>
              <w:t>氧化钙</w:t>
            </w:r>
          </w:p>
        </w:tc>
        <w:tc>
          <w:tcPr>
            <w:tcW w:w="549"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211.14</w:t>
            </w:r>
          </w:p>
        </w:tc>
        <w:tc>
          <w:tcPr>
            <w:tcW w:w="549"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211.14</w:t>
            </w:r>
          </w:p>
        </w:tc>
        <w:tc>
          <w:tcPr>
            <w:tcW w:w="55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422.28</w:t>
            </w:r>
          </w:p>
        </w:tc>
        <w:tc>
          <w:tcPr>
            <w:tcW w:w="693" w:type="pct"/>
            <w:noWrap w:val="0"/>
            <w:vAlign w:val="center"/>
          </w:tcPr>
          <w:p>
            <w:pPr>
              <w:pStyle w:val="28"/>
              <w:suppressLineNumbers w:val="0"/>
              <w:bidi w:val="0"/>
              <w:spacing w:before="0" w:after="0"/>
              <w:ind w:left="0" w:right="0"/>
              <w:rPr>
                <w:rFonts w:hint="eastAsia"/>
                <w:lang w:eastAsia="zh-CN"/>
              </w:rPr>
            </w:pPr>
            <w:r>
              <w:rPr>
                <w:rFonts w:hint="eastAsia"/>
                <w:lang w:eastAsia="zh-CN"/>
              </w:rPr>
              <w:t>脱硫石粉罐</w:t>
            </w:r>
          </w:p>
        </w:tc>
        <w:tc>
          <w:tcPr>
            <w:tcW w:w="1614"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r>
    </w:tbl>
    <w:p>
      <w:pPr>
        <w:bidi w:val="0"/>
      </w:pPr>
      <w:r>
        <w:t>主要原辅料理化性质及其危险特性见表</w:t>
      </w:r>
      <w:r>
        <w:rPr>
          <w:rFonts w:hint="eastAsia"/>
          <w:lang w:val="en-US" w:eastAsia="zh-CN"/>
        </w:rPr>
        <w:t>3.1.4-2</w:t>
      </w:r>
      <w:r>
        <w:t>。</w:t>
      </w:r>
    </w:p>
    <w:p>
      <w:pPr>
        <w:pStyle w:val="27"/>
        <w:bidi w:val="0"/>
      </w:pPr>
      <w:r>
        <w:t>表</w:t>
      </w:r>
      <w:r>
        <w:rPr>
          <w:rFonts w:hint="eastAsia"/>
          <w:lang w:val="en-US" w:eastAsia="zh-CN"/>
        </w:rPr>
        <w:t>3.1.4-2</w:t>
      </w:r>
      <w:r>
        <w:t>主要原辅料、副产物及产品理化性质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91"/>
        <w:gridCol w:w="5588"/>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noWrap w:val="0"/>
            <w:vAlign w:val="center"/>
          </w:tcPr>
          <w:p>
            <w:pPr>
              <w:pStyle w:val="28"/>
              <w:suppressLineNumbers w:val="0"/>
              <w:bidi w:val="0"/>
              <w:spacing w:before="0" w:after="0"/>
              <w:ind w:left="0" w:right="0"/>
            </w:pPr>
            <w:r>
              <w:t>序号</w:t>
            </w:r>
          </w:p>
        </w:tc>
        <w:tc>
          <w:tcPr>
            <w:tcW w:w="1391" w:type="dxa"/>
            <w:noWrap w:val="0"/>
            <w:vAlign w:val="center"/>
          </w:tcPr>
          <w:p>
            <w:pPr>
              <w:pStyle w:val="28"/>
              <w:suppressLineNumbers w:val="0"/>
              <w:bidi w:val="0"/>
              <w:spacing w:before="0" w:after="0"/>
              <w:ind w:left="0" w:right="0"/>
            </w:pPr>
            <w:r>
              <w:t>名称</w:t>
            </w:r>
          </w:p>
        </w:tc>
        <w:tc>
          <w:tcPr>
            <w:tcW w:w="5588" w:type="dxa"/>
            <w:noWrap w:val="0"/>
            <w:vAlign w:val="center"/>
          </w:tcPr>
          <w:p>
            <w:pPr>
              <w:pStyle w:val="28"/>
              <w:suppressLineNumbers w:val="0"/>
              <w:bidi w:val="0"/>
              <w:spacing w:before="0" w:after="0"/>
              <w:ind w:left="0" w:right="0"/>
            </w:pPr>
            <w:r>
              <w:t>理化性质</w:t>
            </w:r>
          </w:p>
        </w:tc>
        <w:tc>
          <w:tcPr>
            <w:tcW w:w="2075" w:type="dxa"/>
            <w:noWrap w:val="0"/>
            <w:vAlign w:val="center"/>
          </w:tcPr>
          <w:p>
            <w:pPr>
              <w:pStyle w:val="28"/>
              <w:suppressLineNumbers w:val="0"/>
              <w:bidi w:val="0"/>
              <w:spacing w:before="0" w:after="0"/>
              <w:ind w:left="0" w:right="0"/>
            </w:pPr>
            <w: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noWrap w:val="0"/>
            <w:vAlign w:val="center"/>
          </w:tcPr>
          <w:p>
            <w:pPr>
              <w:pStyle w:val="28"/>
              <w:suppressLineNumbers w:val="0"/>
              <w:bidi w:val="0"/>
              <w:spacing w:before="0" w:after="0"/>
              <w:ind w:left="0" w:right="0"/>
            </w:pPr>
            <w:r>
              <w:t>1</w:t>
            </w:r>
          </w:p>
        </w:tc>
        <w:tc>
          <w:tcPr>
            <w:tcW w:w="1391" w:type="dxa"/>
            <w:noWrap w:val="0"/>
            <w:vAlign w:val="center"/>
          </w:tcPr>
          <w:p>
            <w:pPr>
              <w:pStyle w:val="28"/>
              <w:suppressLineNumbers w:val="0"/>
              <w:bidi w:val="0"/>
              <w:spacing w:before="0" w:after="0"/>
              <w:ind w:left="0" w:right="0"/>
            </w:pPr>
            <w:r>
              <w:t>煅后焦、</w:t>
            </w:r>
            <w:r>
              <w:rPr>
                <w:rFonts w:hint="eastAsia"/>
                <w:lang w:eastAsia="zh-CN"/>
              </w:rPr>
              <w:t>新型</w:t>
            </w:r>
            <w:r>
              <w:t>增碳剂、石墨电极</w:t>
            </w:r>
          </w:p>
        </w:tc>
        <w:tc>
          <w:tcPr>
            <w:tcW w:w="5588" w:type="dxa"/>
            <w:noWrap w:val="0"/>
            <w:vAlign w:val="center"/>
          </w:tcPr>
          <w:p>
            <w:pPr>
              <w:pStyle w:val="28"/>
              <w:suppressLineNumbers w:val="0"/>
              <w:bidi w:val="0"/>
              <w:spacing w:before="0" w:after="0"/>
              <w:ind w:left="0" w:right="0"/>
              <w:rPr>
                <w:rFonts w:hint="eastAsia" w:eastAsia="宋体"/>
                <w:lang w:eastAsia="zh-CN"/>
              </w:rPr>
            </w:pPr>
            <w:r>
              <w:t>煅后焦、</w:t>
            </w:r>
            <w:r>
              <w:rPr>
                <w:rFonts w:hint="eastAsia"/>
                <w:lang w:eastAsia="zh-CN"/>
              </w:rPr>
              <w:t>新型</w:t>
            </w:r>
            <w:r>
              <w:t>增碳剂、石墨电极主要成分均为碳，黑色块状（或颗粒），有金属光泽。</w:t>
            </w:r>
            <w:r>
              <w:rPr>
                <w:rFonts w:hint="eastAsia"/>
                <w:lang w:eastAsia="zh-CN"/>
              </w:rPr>
              <w:t>不易燃。</w:t>
            </w:r>
          </w:p>
        </w:tc>
        <w:tc>
          <w:tcPr>
            <w:tcW w:w="2075" w:type="dxa"/>
            <w:noWrap w:val="0"/>
            <w:vAlign w:val="center"/>
          </w:tcPr>
          <w:p>
            <w:pPr>
              <w:pStyle w:val="28"/>
              <w:suppressLineNumbers w:val="0"/>
              <w:bidi w:val="0"/>
              <w:spacing w:before="0" w:after="0"/>
              <w:ind w:left="0" w:right="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noWrap w:val="0"/>
            <w:vAlign w:val="center"/>
          </w:tcPr>
          <w:p>
            <w:pPr>
              <w:pStyle w:val="28"/>
              <w:suppressLineNumbers w:val="0"/>
              <w:bidi w:val="0"/>
              <w:spacing w:before="0" w:after="0"/>
              <w:ind w:left="0" w:right="0"/>
            </w:pPr>
            <w:r>
              <w:t>2</w:t>
            </w:r>
          </w:p>
        </w:tc>
        <w:tc>
          <w:tcPr>
            <w:tcW w:w="1391" w:type="dxa"/>
            <w:noWrap w:val="0"/>
            <w:vAlign w:val="center"/>
          </w:tcPr>
          <w:p>
            <w:pPr>
              <w:pStyle w:val="28"/>
              <w:suppressLineNumbers w:val="0"/>
              <w:bidi w:val="0"/>
              <w:spacing w:before="0" w:after="0"/>
              <w:ind w:left="0" w:right="0"/>
            </w:pPr>
            <w:r>
              <w:rPr>
                <w:rFonts w:hint="eastAsia"/>
                <w:lang w:eastAsia="zh-CN"/>
              </w:rPr>
              <w:t>氧化钙</w:t>
            </w:r>
          </w:p>
        </w:tc>
        <w:tc>
          <w:tcPr>
            <w:tcW w:w="5588" w:type="dxa"/>
            <w:noWrap w:val="0"/>
            <w:vAlign w:val="center"/>
          </w:tcPr>
          <w:p>
            <w:pPr>
              <w:pStyle w:val="28"/>
              <w:suppressLineNumbers w:val="0"/>
              <w:bidi w:val="0"/>
              <w:spacing w:before="0" w:after="0"/>
              <w:ind w:left="0" w:right="0"/>
            </w:pPr>
            <w:r>
              <w:rPr>
                <w:rFonts w:hint="eastAsia" w:ascii="Arial" w:hAnsi="Arial" w:eastAsia="宋体" w:cs="Arial"/>
                <w:i w:val="0"/>
                <w:caps w:val="0"/>
                <w:color w:val="333333"/>
                <w:spacing w:val="0"/>
                <w:sz w:val="21"/>
                <w:szCs w:val="21"/>
                <w:shd w:val="clear" w:fill="FFFFFF"/>
              </w:rPr>
              <w:t>白色或带灰色块状或颗粒。溶于酸类、</w:t>
            </w:r>
            <w:r>
              <w:rPr>
                <w:rFonts w:hint="default" w:ascii="Arial" w:hAnsi="Arial" w:eastAsia="宋体" w:cs="Arial"/>
                <w:i w:val="0"/>
                <w:caps w:val="0"/>
                <w:color w:val="136EC2"/>
                <w:spacing w:val="0"/>
                <w:sz w:val="21"/>
                <w:szCs w:val="21"/>
                <w:u w:val="none"/>
                <w:shd w:val="clear" w:fill="FFFFFF"/>
              </w:rPr>
              <w:fldChar w:fldCharType="begin"/>
            </w:r>
            <w:r>
              <w:rPr>
                <w:rFonts w:hint="default" w:ascii="Arial" w:hAnsi="Arial" w:eastAsia="宋体" w:cs="Arial"/>
                <w:i w:val="0"/>
                <w:caps w:val="0"/>
                <w:color w:val="136EC2"/>
                <w:spacing w:val="0"/>
                <w:sz w:val="21"/>
                <w:szCs w:val="21"/>
                <w:u w:val="none"/>
                <w:shd w:val="clear" w:fill="FFFFFF"/>
              </w:rPr>
              <w:instrText xml:space="preserve"> HYPERLINK "https://baike.baidu.com/item/%E7%94%98%E6%B2%B9" \t "https://baike.baidu.com/item/%E6%B0%A7%E5%8C%96%E9%92%99/_blank" </w:instrText>
            </w:r>
            <w:r>
              <w:rPr>
                <w:rFonts w:hint="default" w:ascii="Arial" w:hAnsi="Arial" w:eastAsia="宋体" w:cs="Arial"/>
                <w:i w:val="0"/>
                <w:caps w:val="0"/>
                <w:color w:val="136EC2"/>
                <w:spacing w:val="0"/>
                <w:sz w:val="21"/>
                <w:szCs w:val="21"/>
                <w:u w:val="none"/>
                <w:shd w:val="clear" w:fill="FFFFFF"/>
              </w:rPr>
              <w:fldChar w:fldCharType="separate"/>
            </w:r>
            <w:r>
              <w:rPr>
                <w:rStyle w:val="25"/>
                <w:rFonts w:hint="default" w:ascii="Arial" w:hAnsi="Arial" w:eastAsia="宋体" w:cs="Arial"/>
                <w:i w:val="0"/>
                <w:caps w:val="0"/>
                <w:color w:val="136EC2"/>
                <w:spacing w:val="0"/>
                <w:sz w:val="21"/>
                <w:szCs w:val="21"/>
                <w:u w:val="none"/>
                <w:shd w:val="clear" w:fill="FFFFFF"/>
              </w:rPr>
              <w:t>甘油</w:t>
            </w:r>
            <w:r>
              <w:rPr>
                <w:rFonts w:hint="default" w:ascii="Arial" w:hAnsi="Arial" w:eastAsia="宋体" w:cs="Arial"/>
                <w:i w:val="0"/>
                <w:caps w:val="0"/>
                <w:color w:val="136EC2"/>
                <w:spacing w:val="0"/>
                <w:sz w:val="21"/>
                <w:szCs w:val="21"/>
                <w:u w:val="none"/>
                <w:shd w:val="clear" w:fill="FFFFFF"/>
              </w:rPr>
              <w:fldChar w:fldCharType="end"/>
            </w:r>
            <w:r>
              <w:rPr>
                <w:rFonts w:hint="default" w:ascii="Arial" w:hAnsi="Arial" w:eastAsia="宋体" w:cs="Arial"/>
                <w:i w:val="0"/>
                <w:caps w:val="0"/>
                <w:color w:val="333333"/>
                <w:spacing w:val="0"/>
                <w:sz w:val="21"/>
                <w:szCs w:val="21"/>
                <w:shd w:val="clear" w:fill="FFFFFF"/>
              </w:rPr>
              <w:t>和蔗糖溶液，几乎不溶于</w:t>
            </w:r>
            <w:r>
              <w:rPr>
                <w:rFonts w:hint="default" w:ascii="Arial" w:hAnsi="Arial" w:eastAsia="宋体" w:cs="Arial"/>
                <w:i w:val="0"/>
                <w:caps w:val="0"/>
                <w:color w:val="136EC2"/>
                <w:spacing w:val="0"/>
                <w:sz w:val="21"/>
                <w:szCs w:val="21"/>
                <w:u w:val="none"/>
                <w:shd w:val="clear" w:fill="FFFFFF"/>
              </w:rPr>
              <w:fldChar w:fldCharType="begin"/>
            </w:r>
            <w:r>
              <w:rPr>
                <w:rFonts w:hint="default" w:ascii="Arial" w:hAnsi="Arial" w:eastAsia="宋体" w:cs="Arial"/>
                <w:i w:val="0"/>
                <w:caps w:val="0"/>
                <w:color w:val="136EC2"/>
                <w:spacing w:val="0"/>
                <w:sz w:val="21"/>
                <w:szCs w:val="21"/>
                <w:u w:val="none"/>
                <w:shd w:val="clear" w:fill="FFFFFF"/>
              </w:rPr>
              <w:instrText xml:space="preserve"> HYPERLINK "https://baike.baidu.com/item/%E4%B9%99%E9%86%87/135334" \t "https://baike.baidu.com/item/%E6%B0%A7%E5%8C%96%E9%92%99/_blank" </w:instrText>
            </w:r>
            <w:r>
              <w:rPr>
                <w:rFonts w:hint="default" w:ascii="Arial" w:hAnsi="Arial" w:eastAsia="宋体" w:cs="Arial"/>
                <w:i w:val="0"/>
                <w:caps w:val="0"/>
                <w:color w:val="136EC2"/>
                <w:spacing w:val="0"/>
                <w:sz w:val="21"/>
                <w:szCs w:val="21"/>
                <w:u w:val="none"/>
                <w:shd w:val="clear" w:fill="FFFFFF"/>
              </w:rPr>
              <w:fldChar w:fldCharType="separate"/>
            </w:r>
            <w:r>
              <w:rPr>
                <w:rStyle w:val="25"/>
                <w:rFonts w:hint="default" w:ascii="Arial" w:hAnsi="Arial" w:eastAsia="宋体" w:cs="Arial"/>
                <w:i w:val="0"/>
                <w:caps w:val="0"/>
                <w:color w:val="136EC2"/>
                <w:spacing w:val="0"/>
                <w:sz w:val="21"/>
                <w:szCs w:val="21"/>
                <w:u w:val="none"/>
                <w:shd w:val="clear" w:fill="FFFFFF"/>
              </w:rPr>
              <w:t>乙醇</w:t>
            </w:r>
            <w:r>
              <w:rPr>
                <w:rFonts w:hint="default" w:ascii="Arial" w:hAnsi="Arial" w:eastAsia="宋体" w:cs="Arial"/>
                <w:i w:val="0"/>
                <w:caps w:val="0"/>
                <w:color w:val="136EC2"/>
                <w:spacing w:val="0"/>
                <w:sz w:val="21"/>
                <w:szCs w:val="21"/>
                <w:u w:val="none"/>
                <w:shd w:val="clear" w:fill="FFFFFF"/>
              </w:rPr>
              <w:fldChar w:fldCharType="end"/>
            </w:r>
            <w:r>
              <w:t>，熔点</w:t>
            </w:r>
            <w:r>
              <w:rPr>
                <w:rFonts w:hint="eastAsia"/>
                <w:lang w:val="en-US" w:eastAsia="zh-CN"/>
              </w:rPr>
              <w:t>2572</w:t>
            </w:r>
            <w:r>
              <w:rPr>
                <w:rFonts w:hint="eastAsia"/>
              </w:rPr>
              <w:t>℃</w:t>
            </w:r>
            <w:r>
              <w:t>，</w:t>
            </w:r>
            <w:r>
              <w:rPr>
                <w:rFonts w:hint="eastAsia"/>
                <w:lang w:eastAsia="zh-CN"/>
              </w:rPr>
              <w:t>沸点</w:t>
            </w:r>
            <w:r>
              <w:rPr>
                <w:rFonts w:hint="eastAsia"/>
                <w:lang w:val="en-US" w:eastAsia="zh-CN"/>
              </w:rPr>
              <w:t>2850</w:t>
            </w:r>
            <w:r>
              <w:rPr>
                <w:rFonts w:hint="eastAsia"/>
              </w:rPr>
              <w:t>℃</w:t>
            </w:r>
            <w:r>
              <w:t>，相对密度</w:t>
            </w:r>
            <w:r>
              <w:rPr>
                <w:rFonts w:hint="eastAsia"/>
                <w:lang w:val="en-US" w:eastAsia="zh-CN"/>
              </w:rPr>
              <w:t>3.35</w:t>
            </w:r>
            <w:r>
              <w:t>（水），分子量</w:t>
            </w:r>
            <w:r>
              <w:rPr>
                <w:rFonts w:hint="eastAsia"/>
                <w:lang w:val="en-US" w:eastAsia="zh-CN"/>
              </w:rPr>
              <w:t>56.077</w:t>
            </w:r>
          </w:p>
        </w:tc>
        <w:tc>
          <w:tcPr>
            <w:tcW w:w="2075"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5" w:type="dxa"/>
            <w:noWrap w:val="0"/>
            <w:vAlign w:val="center"/>
          </w:tcPr>
          <w:p>
            <w:pPr>
              <w:pStyle w:val="28"/>
              <w:suppressLineNumbers w:val="0"/>
              <w:bidi w:val="0"/>
              <w:spacing w:before="0" w:after="0"/>
              <w:ind w:left="0" w:right="0"/>
            </w:pPr>
            <w:r>
              <w:t>3</w:t>
            </w:r>
          </w:p>
        </w:tc>
        <w:tc>
          <w:tcPr>
            <w:tcW w:w="1391" w:type="dxa"/>
            <w:noWrap w:val="0"/>
            <w:vAlign w:val="center"/>
          </w:tcPr>
          <w:p>
            <w:pPr>
              <w:pStyle w:val="28"/>
              <w:suppressLineNumbers w:val="0"/>
              <w:bidi w:val="0"/>
              <w:spacing w:before="0" w:after="0"/>
              <w:ind w:left="0" w:right="0"/>
            </w:pPr>
            <w:r>
              <w:t>硫酸钙</w:t>
            </w:r>
          </w:p>
        </w:tc>
        <w:tc>
          <w:tcPr>
            <w:tcW w:w="5588" w:type="dxa"/>
            <w:noWrap w:val="0"/>
            <w:vAlign w:val="center"/>
          </w:tcPr>
          <w:p>
            <w:pPr>
              <w:pStyle w:val="28"/>
              <w:suppressLineNumbers w:val="0"/>
              <w:bidi w:val="0"/>
              <w:spacing w:before="0" w:after="0"/>
              <w:ind w:left="0" w:right="0"/>
            </w:pPr>
            <w:r>
              <w:t>白色单斜结晶或结晶性粉末。无气味。有吸湿性。128</w:t>
            </w:r>
            <w:r>
              <w:rPr>
                <w:rFonts w:hint="eastAsia"/>
              </w:rPr>
              <w:t>℃</w:t>
            </w:r>
            <w:r>
              <w:t>失去1分子结晶水，163</w:t>
            </w:r>
            <w:r>
              <w:rPr>
                <w:rFonts w:hint="eastAsia"/>
              </w:rPr>
              <w:t>℃</w:t>
            </w:r>
            <w:r>
              <w:t>全部失水。溶于酸、</w:t>
            </w:r>
            <w:r>
              <w:fldChar w:fldCharType="begin"/>
            </w:r>
            <w:r>
              <w:instrText xml:space="preserve"> HYPERLINK "https://baike.baidu.com/item/%E7%A1%AB%E4%BB%A3%E7%A1%AB%E9%85%B8%E9%92%A0/715367" \t "_blank" </w:instrText>
            </w:r>
            <w:r>
              <w:fldChar w:fldCharType="separate"/>
            </w:r>
            <w:r>
              <w:t>硫代硫酸钠</w:t>
            </w:r>
            <w:r>
              <w:fldChar w:fldCharType="end"/>
            </w:r>
            <w:r>
              <w:t>和</w:t>
            </w:r>
            <w:r>
              <w:fldChar w:fldCharType="begin"/>
            </w:r>
            <w:r>
              <w:instrText xml:space="preserve"> HYPERLINK "https://baike.baidu.com/item/%E9%93%B5%E7%9B%90/4402040" \t "_blank" </w:instrText>
            </w:r>
            <w:r>
              <w:fldChar w:fldCharType="separate"/>
            </w:r>
            <w:r>
              <w:t>铵盐</w:t>
            </w:r>
            <w:r>
              <w:fldChar w:fldCharType="end"/>
            </w:r>
            <w:r>
              <w:t>溶液，溶于400份水，在热水中溶解较少，极慢溶于</w:t>
            </w:r>
            <w:r>
              <w:fldChar w:fldCharType="begin"/>
            </w:r>
            <w:r>
              <w:instrText xml:space="preserve"> HYPERLINK "https://baike.baidu.com/item/%E7%94%98%E6%B2%B9/99429" \t "_blank" </w:instrText>
            </w:r>
            <w:r>
              <w:fldChar w:fldCharType="separate"/>
            </w:r>
            <w:r>
              <w:t>甘油</w:t>
            </w:r>
            <w:r>
              <w:fldChar w:fldCharType="end"/>
            </w:r>
            <w:r>
              <w:t>，不溶于乙醇和多数</w:t>
            </w:r>
            <w:r>
              <w:fldChar w:fldCharType="begin"/>
            </w:r>
            <w:r>
              <w:instrText xml:space="preserve"> HYPERLINK "https://baike.baidu.com/item/%E6%9C%89%E6%9C%BA%E6%BA%B6%E5%89%82/7921016" \t "_blank" </w:instrText>
            </w:r>
            <w:r>
              <w:fldChar w:fldCharType="separate"/>
            </w:r>
            <w:r>
              <w:t>有机溶剂</w:t>
            </w:r>
            <w:r>
              <w:fldChar w:fldCharType="end"/>
            </w:r>
            <w:r>
              <w:t>。相对密度2.32。有刺激性。通常含有2个</w:t>
            </w:r>
            <w:r>
              <w:fldChar w:fldCharType="begin"/>
            </w:r>
            <w:r>
              <w:instrText xml:space="preserve"> HYPERLINK "https://baike.baidu.com/item/%E7%BB%93%E6%99%B6%E6%B0%B4/7617959" \t "_blank" </w:instrText>
            </w:r>
            <w:r>
              <w:fldChar w:fldCharType="separate"/>
            </w:r>
            <w:r>
              <w:t>结晶水</w:t>
            </w:r>
            <w:r>
              <w:fldChar w:fldCharType="end"/>
            </w:r>
            <w:r>
              <w:t>，自然界中以石膏矿形式存在。</w:t>
            </w:r>
          </w:p>
        </w:tc>
        <w:tc>
          <w:tcPr>
            <w:tcW w:w="2075" w:type="dxa"/>
            <w:noWrap w:val="0"/>
            <w:vAlign w:val="center"/>
          </w:tcPr>
          <w:p>
            <w:pPr>
              <w:pStyle w:val="28"/>
              <w:suppressLineNumbers w:val="0"/>
              <w:bidi w:val="0"/>
              <w:spacing w:before="0" w:after="0"/>
              <w:ind w:left="0" w:right="0"/>
            </w:pPr>
            <w:r>
              <w:t>不燃，受热高温条件下可能产生硫化物。</w:t>
            </w:r>
          </w:p>
        </w:tc>
      </w:tr>
    </w:tbl>
    <w:p>
      <w:pPr>
        <w:bidi w:val="0"/>
      </w:pPr>
      <w:r>
        <w:rPr>
          <w:rFonts w:hint="eastAsia"/>
          <w:lang w:eastAsia="zh-CN"/>
        </w:rPr>
        <w:t>新型增碳剂的生产原料为煅后焦，根据企业提供资料及参考《商都县丰彦骄新材料有限公司年产</w:t>
      </w:r>
      <w:r>
        <w:rPr>
          <w:rFonts w:hint="eastAsia"/>
          <w:lang w:val="en-US" w:eastAsia="zh-CN"/>
        </w:rPr>
        <w:t>11万吨石墨新材料石墨增碳剂和1万吨锂电池负极材料加工项目</w:t>
      </w:r>
      <w:r>
        <w:rPr>
          <w:rFonts w:hint="eastAsia"/>
          <w:lang w:eastAsia="zh-CN"/>
        </w:rPr>
        <w:t>》，煅后焦控制指标见下表</w:t>
      </w:r>
      <w:r>
        <w:t>。</w:t>
      </w:r>
    </w:p>
    <w:p>
      <w:pPr>
        <w:pStyle w:val="27"/>
        <w:bidi w:val="0"/>
        <w:rPr>
          <w:rFonts w:hint="default"/>
          <w:lang w:val="en-US" w:eastAsia="zh-CN"/>
        </w:rPr>
      </w:pPr>
      <w:r>
        <w:t>表</w:t>
      </w:r>
      <w:r>
        <w:rPr>
          <w:rFonts w:hint="eastAsia"/>
          <w:lang w:val="en-US" w:eastAsia="zh-CN"/>
        </w:rPr>
        <w:t>3.1.4-3</w:t>
      </w:r>
      <w:r>
        <w:rPr>
          <w:rFonts w:hint="eastAsia"/>
          <w:lang w:eastAsia="zh-CN"/>
        </w:rPr>
        <w:t>煅后焦控制指标</w:t>
      </w:r>
      <w:r>
        <w:rPr>
          <w:rFonts w:hint="eastAsia"/>
          <w:lang w:val="en-US" w:eastAsia="zh-CN"/>
        </w:rPr>
        <w:t xml:space="preserve"> 单位：%</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1535"/>
        <w:gridCol w:w="1535"/>
        <w:gridCol w:w="1931"/>
        <w:gridCol w:w="1535"/>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3" w:type="pct"/>
            <w:noWrap w:val="0"/>
            <w:vAlign w:val="center"/>
          </w:tcPr>
          <w:p>
            <w:pPr>
              <w:pStyle w:val="28"/>
              <w:suppressLineNumbers w:val="0"/>
              <w:bidi w:val="0"/>
              <w:spacing w:before="0" w:after="0"/>
              <w:ind w:left="0" w:right="0"/>
              <w:rPr>
                <w:rFonts w:hint="eastAsia"/>
                <w:lang w:eastAsia="zh-CN"/>
              </w:rPr>
            </w:pPr>
            <w:r>
              <w:rPr>
                <w:rFonts w:hint="eastAsia"/>
                <w:lang w:eastAsia="zh-CN"/>
              </w:rPr>
              <w:t>指标</w:t>
            </w:r>
          </w:p>
        </w:tc>
        <w:tc>
          <w:tcPr>
            <w:tcW w:w="770" w:type="pct"/>
            <w:noWrap w:val="0"/>
            <w:vAlign w:val="center"/>
          </w:tcPr>
          <w:p>
            <w:pPr>
              <w:pStyle w:val="28"/>
              <w:suppressLineNumbers w:val="0"/>
              <w:bidi w:val="0"/>
              <w:spacing w:before="0" w:after="0"/>
              <w:ind w:left="0" w:right="0"/>
            </w:pPr>
            <w:r>
              <w:rPr>
                <w:rFonts w:hint="eastAsia"/>
                <w:lang w:eastAsia="zh-CN"/>
              </w:rPr>
              <w:t>水分</w:t>
            </w:r>
            <w:r>
              <w:t>%≤</w:t>
            </w:r>
          </w:p>
        </w:tc>
        <w:tc>
          <w:tcPr>
            <w:tcW w:w="770" w:type="pct"/>
            <w:noWrap w:val="0"/>
            <w:vAlign w:val="center"/>
          </w:tcPr>
          <w:p>
            <w:pPr>
              <w:pStyle w:val="28"/>
              <w:suppressLineNumbers w:val="0"/>
              <w:bidi w:val="0"/>
              <w:spacing w:before="0" w:after="0"/>
              <w:ind w:left="0" w:right="0"/>
            </w:pPr>
            <w:r>
              <w:rPr>
                <w:rFonts w:hint="eastAsia"/>
                <w:lang w:eastAsia="zh-CN"/>
              </w:rPr>
              <w:t>灰分</w:t>
            </w:r>
            <w:r>
              <w:t>%≤</w:t>
            </w:r>
          </w:p>
        </w:tc>
        <w:tc>
          <w:tcPr>
            <w:tcW w:w="969" w:type="pct"/>
            <w:noWrap w:val="0"/>
            <w:vAlign w:val="center"/>
          </w:tcPr>
          <w:p>
            <w:pPr>
              <w:pStyle w:val="28"/>
              <w:suppressLineNumbers w:val="0"/>
              <w:bidi w:val="0"/>
              <w:spacing w:before="0" w:after="0"/>
              <w:ind w:left="0" w:right="0"/>
            </w:pPr>
            <w:r>
              <w:t>挥发分%≤</w:t>
            </w:r>
          </w:p>
        </w:tc>
        <w:tc>
          <w:tcPr>
            <w:tcW w:w="770" w:type="pct"/>
            <w:noWrap w:val="0"/>
            <w:vAlign w:val="center"/>
          </w:tcPr>
          <w:p>
            <w:pPr>
              <w:pStyle w:val="28"/>
              <w:suppressLineNumbers w:val="0"/>
              <w:bidi w:val="0"/>
              <w:spacing w:before="0" w:after="0"/>
              <w:ind w:left="0" w:right="0"/>
            </w:pPr>
            <w:r>
              <w:t>硫分%≤</w:t>
            </w:r>
          </w:p>
        </w:tc>
        <w:tc>
          <w:tcPr>
            <w:tcW w:w="914" w:type="pct"/>
            <w:noWrap w:val="0"/>
            <w:vAlign w:val="center"/>
          </w:tcPr>
          <w:p>
            <w:pPr>
              <w:pStyle w:val="28"/>
              <w:suppressLineNumbers w:val="0"/>
              <w:bidi w:val="0"/>
              <w:spacing w:before="0" w:after="0"/>
              <w:ind w:left="0" w:right="0"/>
              <w:rPr>
                <w:rFonts w:hint="eastAsia"/>
                <w:lang w:eastAsia="zh-CN"/>
              </w:rPr>
            </w:pPr>
            <w:r>
              <w:rPr>
                <w:rFonts w:hint="eastAsia"/>
                <w:lang w:eastAsia="zh-CN"/>
              </w:rPr>
              <w:t>固定碳</w:t>
            </w: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pct"/>
            <w:noWrap w:val="0"/>
            <w:vAlign w:val="center"/>
          </w:tcPr>
          <w:p>
            <w:pPr>
              <w:pStyle w:val="28"/>
              <w:suppressLineNumbers w:val="0"/>
              <w:bidi w:val="0"/>
              <w:spacing w:before="0" w:after="0"/>
              <w:ind w:left="0" w:right="0"/>
              <w:rPr>
                <w:rFonts w:hint="eastAsia"/>
                <w:lang w:eastAsia="zh-CN"/>
              </w:rPr>
            </w:pPr>
            <w:r>
              <w:rPr>
                <w:rFonts w:hint="eastAsia"/>
                <w:lang w:eastAsia="zh-CN"/>
              </w:rPr>
              <w:t>煅后焦</w:t>
            </w:r>
          </w:p>
        </w:tc>
        <w:tc>
          <w:tcPr>
            <w:tcW w:w="77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77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0.5</w:t>
            </w:r>
          </w:p>
        </w:tc>
        <w:tc>
          <w:tcPr>
            <w:tcW w:w="969"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0.5</w:t>
            </w:r>
          </w:p>
        </w:tc>
        <w:tc>
          <w:tcPr>
            <w:tcW w:w="77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0.3</w:t>
            </w:r>
          </w:p>
        </w:tc>
        <w:tc>
          <w:tcPr>
            <w:tcW w:w="914"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98.5</w:t>
            </w:r>
          </w:p>
        </w:tc>
      </w:tr>
    </w:tbl>
    <w:p>
      <w:pPr>
        <w:pStyle w:val="5"/>
        <w:bidi w:val="0"/>
        <w:rPr>
          <w:rFonts w:hint="eastAsia"/>
          <w:lang w:val="en-US" w:eastAsia="zh-CN"/>
        </w:rPr>
      </w:pPr>
      <w:r>
        <w:rPr>
          <w:rFonts w:hint="eastAsia"/>
          <w:lang w:val="en-US" w:eastAsia="zh-CN"/>
        </w:rPr>
        <w:t>3.1.5 主要生产设备</w:t>
      </w:r>
    </w:p>
    <w:p>
      <w:pPr>
        <w:pStyle w:val="27"/>
        <w:bidi w:val="0"/>
        <w:rPr>
          <w:rFonts w:hint="default"/>
          <w:lang w:val="en-US" w:eastAsia="zh-CN"/>
        </w:rPr>
      </w:pPr>
      <w:r>
        <w:rPr>
          <w:rFonts w:hint="eastAsia"/>
          <w:lang w:val="en-US" w:eastAsia="zh-CN"/>
        </w:rPr>
        <w:t>表3.1.5-1 主要设备一览表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614"/>
        <w:gridCol w:w="1931"/>
        <w:gridCol w:w="1857"/>
        <w:gridCol w:w="1731"/>
        <w:gridCol w:w="693"/>
        <w:gridCol w:w="695"/>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vMerge w:val="restart"/>
            <w:noWrap w:val="0"/>
            <w:vAlign w:val="center"/>
          </w:tcPr>
          <w:p>
            <w:pPr>
              <w:pStyle w:val="28"/>
              <w:suppressLineNumbers w:val="0"/>
              <w:bidi w:val="0"/>
              <w:spacing w:before="0" w:after="0"/>
              <w:ind w:left="0" w:right="0"/>
            </w:pPr>
            <w:r>
              <w:t>序号</w:t>
            </w:r>
          </w:p>
        </w:tc>
        <w:tc>
          <w:tcPr>
            <w:tcW w:w="1614" w:type="dxa"/>
            <w:vMerge w:val="restart"/>
            <w:noWrap w:val="0"/>
            <w:vAlign w:val="center"/>
          </w:tcPr>
          <w:p>
            <w:pPr>
              <w:pStyle w:val="28"/>
              <w:suppressLineNumbers w:val="0"/>
              <w:bidi w:val="0"/>
              <w:spacing w:before="0" w:after="0"/>
              <w:ind w:left="0" w:right="0"/>
            </w:pPr>
            <w:r>
              <w:t>工序</w:t>
            </w:r>
          </w:p>
        </w:tc>
        <w:tc>
          <w:tcPr>
            <w:tcW w:w="1931" w:type="dxa"/>
            <w:vMerge w:val="restart"/>
            <w:noWrap w:val="0"/>
            <w:vAlign w:val="center"/>
          </w:tcPr>
          <w:p>
            <w:pPr>
              <w:pStyle w:val="28"/>
              <w:suppressLineNumbers w:val="0"/>
              <w:bidi w:val="0"/>
              <w:spacing w:before="0" w:after="0"/>
              <w:ind w:left="0" w:right="0"/>
            </w:pPr>
            <w:r>
              <w:t>设备名称</w:t>
            </w:r>
          </w:p>
        </w:tc>
        <w:tc>
          <w:tcPr>
            <w:tcW w:w="1857" w:type="dxa"/>
            <w:vMerge w:val="restart"/>
            <w:noWrap w:val="0"/>
            <w:vAlign w:val="center"/>
          </w:tcPr>
          <w:p>
            <w:pPr>
              <w:pStyle w:val="28"/>
              <w:suppressLineNumbers w:val="0"/>
              <w:bidi w:val="0"/>
              <w:spacing w:before="0" w:after="0"/>
              <w:ind w:left="0" w:right="0"/>
            </w:pPr>
            <w:r>
              <w:t>型号</w:t>
            </w:r>
          </w:p>
        </w:tc>
        <w:tc>
          <w:tcPr>
            <w:tcW w:w="1731" w:type="dxa"/>
            <w:vMerge w:val="restart"/>
            <w:noWrap w:val="0"/>
            <w:vAlign w:val="center"/>
          </w:tcPr>
          <w:p>
            <w:pPr>
              <w:pStyle w:val="28"/>
              <w:suppressLineNumbers w:val="0"/>
              <w:bidi w:val="0"/>
              <w:spacing w:before="0" w:after="0"/>
              <w:ind w:left="0" w:right="0"/>
            </w:pPr>
            <w:r>
              <w:t>规格</w:t>
            </w:r>
          </w:p>
        </w:tc>
        <w:tc>
          <w:tcPr>
            <w:tcW w:w="2085" w:type="dxa"/>
            <w:gridSpan w:val="3"/>
            <w:noWrap w:val="0"/>
            <w:vAlign w:val="center"/>
          </w:tcPr>
          <w:p>
            <w:pPr>
              <w:pStyle w:val="28"/>
              <w:suppressLineNumbers w:val="0"/>
              <w:bidi w:val="0"/>
              <w:spacing w:before="0" w:after="0"/>
              <w:ind w:left="0" w:right="0"/>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vMerge w:val="continue"/>
            <w:noWrap w:val="0"/>
            <w:vAlign w:val="center"/>
          </w:tcPr>
          <w:p>
            <w:pPr>
              <w:pStyle w:val="28"/>
              <w:suppressLineNumbers w:val="0"/>
              <w:bidi w:val="0"/>
              <w:spacing w:before="0" w:after="0"/>
              <w:ind w:left="0" w:right="0"/>
              <w:outlineLvl w:val="9"/>
            </w:pPr>
          </w:p>
        </w:tc>
        <w:tc>
          <w:tcPr>
            <w:tcW w:w="1614" w:type="dxa"/>
            <w:vMerge w:val="continue"/>
            <w:noWrap w:val="0"/>
            <w:vAlign w:val="center"/>
          </w:tcPr>
          <w:p>
            <w:pPr>
              <w:pStyle w:val="28"/>
              <w:suppressLineNumbers w:val="0"/>
              <w:bidi w:val="0"/>
              <w:spacing w:before="0" w:after="0"/>
              <w:ind w:left="0" w:right="0"/>
              <w:outlineLvl w:val="9"/>
            </w:pPr>
          </w:p>
        </w:tc>
        <w:tc>
          <w:tcPr>
            <w:tcW w:w="1931" w:type="dxa"/>
            <w:vMerge w:val="continue"/>
            <w:noWrap w:val="0"/>
            <w:vAlign w:val="center"/>
          </w:tcPr>
          <w:p>
            <w:pPr>
              <w:pStyle w:val="28"/>
              <w:suppressLineNumbers w:val="0"/>
              <w:bidi w:val="0"/>
              <w:spacing w:before="0" w:after="0"/>
              <w:ind w:left="0" w:right="0"/>
              <w:outlineLvl w:val="9"/>
            </w:pPr>
          </w:p>
        </w:tc>
        <w:tc>
          <w:tcPr>
            <w:tcW w:w="1857" w:type="dxa"/>
            <w:vMerge w:val="continue"/>
            <w:noWrap w:val="0"/>
            <w:vAlign w:val="center"/>
          </w:tcPr>
          <w:p>
            <w:pPr>
              <w:pStyle w:val="28"/>
              <w:suppressLineNumbers w:val="0"/>
              <w:bidi w:val="0"/>
              <w:spacing w:before="0" w:after="0"/>
              <w:ind w:left="0" w:right="0"/>
              <w:outlineLvl w:val="9"/>
            </w:pPr>
          </w:p>
        </w:tc>
        <w:tc>
          <w:tcPr>
            <w:tcW w:w="1731" w:type="dxa"/>
            <w:vMerge w:val="continue"/>
            <w:noWrap w:val="0"/>
            <w:vAlign w:val="center"/>
          </w:tcPr>
          <w:p>
            <w:pPr>
              <w:pStyle w:val="28"/>
              <w:suppressLineNumbers w:val="0"/>
              <w:bidi w:val="0"/>
              <w:spacing w:before="0" w:after="0"/>
              <w:ind w:left="0" w:right="0"/>
              <w:outlineLvl w:val="9"/>
            </w:pPr>
          </w:p>
        </w:tc>
        <w:tc>
          <w:tcPr>
            <w:tcW w:w="693" w:type="dxa"/>
            <w:noWrap w:val="0"/>
            <w:vAlign w:val="center"/>
          </w:tcPr>
          <w:p>
            <w:pPr>
              <w:pStyle w:val="28"/>
              <w:suppressLineNumbers w:val="0"/>
              <w:bidi w:val="0"/>
              <w:spacing w:before="0" w:after="0"/>
              <w:ind w:left="0" w:right="0"/>
            </w:pPr>
            <w:r>
              <w:t>1期</w:t>
            </w:r>
          </w:p>
        </w:tc>
        <w:tc>
          <w:tcPr>
            <w:tcW w:w="695" w:type="dxa"/>
            <w:noWrap w:val="0"/>
            <w:vAlign w:val="center"/>
          </w:tcPr>
          <w:p>
            <w:pPr>
              <w:pStyle w:val="28"/>
              <w:suppressLineNumbers w:val="0"/>
              <w:bidi w:val="0"/>
              <w:spacing w:before="0" w:after="0"/>
              <w:ind w:left="0" w:right="0"/>
            </w:pPr>
            <w:r>
              <w:t>2期</w:t>
            </w:r>
          </w:p>
        </w:tc>
        <w:tc>
          <w:tcPr>
            <w:tcW w:w="697" w:type="dxa"/>
            <w:noWrap w:val="0"/>
            <w:vAlign w:val="center"/>
          </w:tcPr>
          <w:p>
            <w:pPr>
              <w:pStyle w:val="28"/>
              <w:suppressLineNumbers w:val="0"/>
              <w:bidi w:val="0"/>
              <w:spacing w:before="0" w:after="0"/>
              <w:ind w:left="0" w:right="0"/>
            </w:pPr>
            <w: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pPr>
            <w:r>
              <w:t>1</w:t>
            </w:r>
          </w:p>
        </w:tc>
        <w:tc>
          <w:tcPr>
            <w:tcW w:w="1614" w:type="dxa"/>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进料</w:t>
            </w:r>
          </w:p>
        </w:tc>
        <w:tc>
          <w:tcPr>
            <w:tcW w:w="1931" w:type="dxa"/>
            <w:noWrap w:val="0"/>
            <w:vAlign w:val="center"/>
          </w:tcPr>
          <w:p>
            <w:pPr>
              <w:pStyle w:val="28"/>
              <w:suppressLineNumbers w:val="0"/>
              <w:bidi w:val="0"/>
              <w:spacing w:before="0" w:after="0"/>
              <w:ind w:left="0" w:right="0"/>
            </w:pPr>
            <w:r>
              <w:t>地磅</w:t>
            </w:r>
          </w:p>
        </w:tc>
        <w:tc>
          <w:tcPr>
            <w:tcW w:w="1857" w:type="dxa"/>
            <w:noWrap w:val="0"/>
            <w:vAlign w:val="center"/>
          </w:tcPr>
          <w:p>
            <w:pPr>
              <w:pStyle w:val="28"/>
              <w:suppressLineNumbers w:val="0"/>
              <w:bidi w:val="0"/>
              <w:spacing w:before="0" w:after="0"/>
              <w:ind w:left="0" w:right="0"/>
            </w:pPr>
            <w:r>
              <w:rPr>
                <w:rFonts w:hint="eastAsia"/>
                <w:lang w:val="en-US" w:eastAsia="zh-CN"/>
              </w:rPr>
              <w:t>150</w:t>
            </w:r>
            <w:r>
              <w:t>t</w:t>
            </w:r>
          </w:p>
        </w:tc>
        <w:tc>
          <w:tcPr>
            <w:tcW w:w="1731" w:type="dxa"/>
            <w:noWrap w:val="0"/>
            <w:vAlign w:val="center"/>
          </w:tcPr>
          <w:p>
            <w:pPr>
              <w:pStyle w:val="28"/>
              <w:suppressLineNumbers w:val="0"/>
              <w:bidi w:val="0"/>
              <w:spacing w:before="0" w:after="0"/>
              <w:ind w:left="0" w:right="0"/>
            </w:pPr>
            <w:r>
              <w:t>3M*24M</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2</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rPr>
              <w:t>叉车</w:t>
            </w:r>
          </w:p>
        </w:tc>
        <w:tc>
          <w:tcPr>
            <w:tcW w:w="1857"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1731" w:type="dxa"/>
            <w:noWrap w:val="0"/>
            <w:vAlign w:val="center"/>
          </w:tcPr>
          <w:p>
            <w:pPr>
              <w:pStyle w:val="28"/>
              <w:suppressLineNumbers w:val="0"/>
              <w:bidi w:val="0"/>
              <w:spacing w:before="0" w:after="0"/>
              <w:ind w:left="0" w:right="0"/>
            </w:pPr>
            <w:r>
              <w:rPr>
                <w:rFonts w:hint="eastAsia"/>
                <w:lang w:val="en-US" w:eastAsia="zh-CN"/>
              </w:rPr>
              <w:t>CVC30-6</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697" w:type="dxa"/>
            <w:noWrap w:val="0"/>
            <w:vAlign w:val="center"/>
          </w:tcPr>
          <w:p>
            <w:pPr>
              <w:pStyle w:val="28"/>
              <w:suppressLineNumbers w:val="0"/>
              <w:bidi w:val="0"/>
              <w:spacing w:before="0" w:after="0"/>
              <w:ind w:left="0" w:right="0"/>
              <w:rPr>
                <w:rFonts w:hint="eastAsia"/>
                <w:lang w:eastAsia="zh-CN"/>
              </w:rPr>
            </w:pPr>
            <w:r>
              <w:rPr>
                <w:rFonts w:hint="eastAsia"/>
                <w:lang w:eastAsia="zh-CN"/>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3</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default"/>
                <w:lang w:val="en-US" w:eastAsia="zh-CN"/>
              </w:rPr>
            </w:pPr>
            <w:r>
              <w:rPr>
                <w:rFonts w:hint="eastAsia"/>
              </w:rPr>
              <w:t>航吊</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LDA 3t</w:t>
            </w:r>
          </w:p>
        </w:tc>
        <w:tc>
          <w:tcPr>
            <w:tcW w:w="1731" w:type="dxa"/>
            <w:noWrap w:val="0"/>
            <w:vAlign w:val="center"/>
          </w:tcPr>
          <w:p>
            <w:pPr>
              <w:pStyle w:val="28"/>
              <w:suppressLineNumbers w:val="0"/>
              <w:bidi w:val="0"/>
              <w:spacing w:before="0" w:after="0"/>
              <w:ind w:left="0" w:right="0"/>
              <w:rPr>
                <w:rFonts w:hint="eastAsia"/>
                <w:lang w:eastAsia="zh-CN"/>
              </w:rPr>
            </w:pPr>
            <w:r>
              <w:rPr>
                <w:rFonts w:hint="eastAsia"/>
                <w:lang w:val="en-US" w:eastAsia="zh-CN"/>
              </w:rPr>
              <w:t>LDA 3t</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7" w:type="dxa"/>
            <w:noWrap w:val="0"/>
            <w:vAlign w:val="center"/>
          </w:tcPr>
          <w:p>
            <w:pPr>
              <w:pStyle w:val="28"/>
              <w:suppressLineNumbers w:val="0"/>
              <w:bidi w:val="0"/>
              <w:spacing w:before="0" w:after="0"/>
              <w:ind w:left="0" w:right="0"/>
              <w:rPr>
                <w:rFonts w:hint="eastAsia"/>
                <w:lang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4</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rPr>
              <w:t>铲车</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LD928</w:t>
            </w:r>
          </w:p>
        </w:tc>
        <w:tc>
          <w:tcPr>
            <w:tcW w:w="1731" w:type="dxa"/>
            <w:noWrap w:val="0"/>
            <w:vAlign w:val="center"/>
          </w:tcPr>
          <w:p>
            <w:pPr>
              <w:pStyle w:val="28"/>
              <w:suppressLineNumbers w:val="0"/>
              <w:bidi w:val="0"/>
              <w:spacing w:before="0" w:after="0"/>
              <w:ind w:left="0" w:right="0"/>
              <w:rPr>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97" w:type="dxa"/>
            <w:noWrap w:val="0"/>
            <w:vAlign w:val="center"/>
          </w:tcPr>
          <w:p>
            <w:pPr>
              <w:pStyle w:val="28"/>
              <w:suppressLineNumbers w:val="0"/>
              <w:bidi w:val="0"/>
              <w:spacing w:before="0" w:after="0"/>
              <w:ind w:left="0" w:right="0"/>
            </w:pPr>
            <w:r>
              <w:rPr>
                <w:rFonts w:hint="eastAsia"/>
                <w:lang w:eastAsia="zh-CN"/>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5</w:t>
            </w:r>
          </w:p>
        </w:tc>
        <w:tc>
          <w:tcPr>
            <w:tcW w:w="1614" w:type="dxa"/>
            <w:vMerge w:val="restart"/>
            <w:noWrap w:val="0"/>
            <w:vAlign w:val="center"/>
          </w:tcPr>
          <w:p>
            <w:pPr>
              <w:pStyle w:val="28"/>
              <w:suppressLineNumbers w:val="0"/>
              <w:bidi w:val="0"/>
              <w:spacing w:before="0" w:after="0"/>
              <w:ind w:left="0" w:right="0"/>
            </w:pPr>
            <w:r>
              <w:rPr>
                <w:rFonts w:hint="eastAsia"/>
              </w:rPr>
              <w:t>电煅</w:t>
            </w: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rPr>
              <w:t>航吊</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LDA5T</w:t>
            </w:r>
          </w:p>
        </w:tc>
        <w:tc>
          <w:tcPr>
            <w:tcW w:w="1731" w:type="dxa"/>
            <w:noWrap w:val="0"/>
            <w:vAlign w:val="center"/>
          </w:tcPr>
          <w:p>
            <w:pPr>
              <w:pStyle w:val="28"/>
              <w:suppressLineNumbers w:val="0"/>
              <w:bidi w:val="0"/>
              <w:spacing w:before="0" w:after="0"/>
              <w:ind w:left="0" w:right="0"/>
            </w:pPr>
            <w:r>
              <w:rPr>
                <w:rFonts w:hint="eastAsia"/>
                <w:lang w:val="en-US" w:eastAsia="zh-CN"/>
              </w:rPr>
              <w:t>LDA5T</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pPr>
            <w:r>
              <w:rPr>
                <w:rFonts w:hint="eastAsia"/>
                <w:lang w:val="en-US" w:eastAsia="zh-CN"/>
              </w:rPr>
              <w:t>2</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6</w:t>
            </w:r>
          </w:p>
        </w:tc>
        <w:tc>
          <w:tcPr>
            <w:tcW w:w="1614" w:type="dxa"/>
            <w:vMerge w:val="continue"/>
            <w:noWrap w:val="0"/>
            <w:vAlign w:val="center"/>
          </w:tcPr>
          <w:p>
            <w:pPr>
              <w:pStyle w:val="28"/>
              <w:suppressLineNumbers w:val="0"/>
              <w:bidi w:val="0"/>
              <w:spacing w:before="0" w:after="0"/>
              <w:ind w:left="0" w:right="0"/>
              <w:outlineLvl w:val="9"/>
              <w:rPr>
                <w:rFonts w:hint="eastAsia"/>
              </w:rPr>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料仓</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731" w:type="dxa"/>
            <w:noWrap w:val="0"/>
            <w:vAlign w:val="center"/>
          </w:tcPr>
          <w:p>
            <w:pPr>
              <w:pStyle w:val="28"/>
              <w:suppressLineNumbers w:val="0"/>
              <w:bidi w:val="0"/>
              <w:spacing w:before="0" w:after="0"/>
              <w:ind w:left="0" w:right="0"/>
              <w:rPr>
                <w:rFonts w:hint="eastAsia"/>
                <w:lang w:val="en-US" w:eastAsia="zh-CN"/>
              </w:rPr>
            </w:pPr>
            <w:r>
              <w:rPr>
                <w:rFonts w:hint="eastAsia"/>
                <w:lang w:eastAsia="zh-CN"/>
              </w:rPr>
              <w:t>宽</w:t>
            </w:r>
            <w:r>
              <w:rPr>
                <w:rFonts w:hint="eastAsia"/>
                <w:lang w:val="en-US" w:eastAsia="zh-CN"/>
              </w:rPr>
              <w:t>0.85*2.49m</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24</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24</w:t>
            </w:r>
          </w:p>
        </w:tc>
        <w:tc>
          <w:tcPr>
            <w:tcW w:w="697" w:type="dxa"/>
            <w:noWrap w:val="0"/>
            <w:vAlign w:val="center"/>
          </w:tcPr>
          <w:p>
            <w:pPr>
              <w:pStyle w:val="28"/>
              <w:suppressLineNumbers w:val="0"/>
              <w:bidi w:val="0"/>
              <w:spacing w:before="0" w:after="0"/>
              <w:ind w:left="0" w:right="0"/>
            </w:pP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7</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rPr>
                <w:rFonts w:hint="eastAsia"/>
              </w:rPr>
              <w:t>埋弧电煅炉</w:t>
            </w:r>
          </w:p>
        </w:tc>
        <w:tc>
          <w:tcPr>
            <w:tcW w:w="1857" w:type="dxa"/>
            <w:noWrap w:val="0"/>
            <w:vAlign w:val="center"/>
          </w:tcPr>
          <w:p>
            <w:pPr>
              <w:pStyle w:val="28"/>
              <w:suppressLineNumbers w:val="0"/>
              <w:bidi w:val="0"/>
              <w:spacing w:before="0" w:after="0"/>
              <w:ind w:left="0" w:right="0"/>
              <w:rPr>
                <w:rFonts w:hint="eastAsia" w:eastAsia="宋体"/>
                <w:lang w:eastAsia="zh-CN"/>
              </w:rPr>
            </w:pPr>
            <w:r>
              <w:rPr>
                <w:rFonts w:hint="eastAsia"/>
                <w:lang w:val="en-US" w:eastAsia="zh-CN"/>
              </w:rPr>
              <w:t>/</w:t>
            </w:r>
          </w:p>
        </w:tc>
        <w:tc>
          <w:tcPr>
            <w:tcW w:w="1731" w:type="dxa"/>
            <w:noWrap w:val="0"/>
            <w:vAlign w:val="center"/>
          </w:tcPr>
          <w:p>
            <w:pPr>
              <w:pStyle w:val="28"/>
              <w:suppressLineNumbers w:val="0"/>
              <w:bidi w:val="0"/>
              <w:spacing w:before="0" w:after="0"/>
              <w:ind w:left="0" w:right="0"/>
            </w:pPr>
            <w:r>
              <w:t>连续立式炉窑，D=</w:t>
            </w:r>
            <w:r>
              <w:rPr>
                <w:rFonts w:hint="eastAsia"/>
                <w:lang w:val="en-US" w:eastAsia="zh-CN"/>
              </w:rPr>
              <w:t>4</w:t>
            </w:r>
            <w:r>
              <w:t>m，H=</w:t>
            </w:r>
            <w:r>
              <w:rPr>
                <w:rFonts w:hint="eastAsia"/>
                <w:lang w:val="en-US" w:eastAsia="zh-CN"/>
              </w:rPr>
              <w:t>4.3</w:t>
            </w:r>
            <w:r>
              <w:t>m，</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8</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炉前变压器</w:t>
            </w:r>
          </w:p>
        </w:tc>
        <w:tc>
          <w:tcPr>
            <w:tcW w:w="1857" w:type="dxa"/>
            <w:noWrap w:val="0"/>
            <w:vAlign w:val="center"/>
          </w:tcPr>
          <w:p>
            <w:pPr>
              <w:pStyle w:val="28"/>
              <w:suppressLineNumbers w:val="0"/>
              <w:bidi w:val="0"/>
              <w:spacing w:before="0" w:after="0"/>
              <w:ind w:left="0" w:right="0"/>
              <w:rPr>
                <w:rFonts w:hint="default"/>
                <w:lang w:val="en-US" w:eastAsia="zh-CN"/>
              </w:rPr>
            </w:pPr>
            <w:r>
              <w:t>ZHSSPT-</w:t>
            </w:r>
            <w:r>
              <w:rPr>
                <w:rFonts w:hint="eastAsia"/>
                <w:lang w:val="en-US" w:eastAsia="zh-CN"/>
              </w:rPr>
              <w:t>1000/10</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9</w:t>
            </w:r>
          </w:p>
        </w:tc>
        <w:tc>
          <w:tcPr>
            <w:tcW w:w="1614" w:type="dxa"/>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排料</w:t>
            </w:r>
          </w:p>
        </w:tc>
        <w:tc>
          <w:tcPr>
            <w:tcW w:w="1931" w:type="dxa"/>
            <w:noWrap w:val="0"/>
            <w:vAlign w:val="center"/>
          </w:tcPr>
          <w:p>
            <w:pPr>
              <w:pStyle w:val="28"/>
              <w:suppressLineNumbers w:val="0"/>
              <w:bidi w:val="0"/>
              <w:spacing w:before="0" w:after="0"/>
              <w:ind w:left="0" w:right="0"/>
            </w:pPr>
            <w:r>
              <w:rPr>
                <w:rFonts w:hint="eastAsia"/>
                <w:lang w:eastAsia="zh-CN"/>
              </w:rPr>
              <w:t>密闭排料</w:t>
            </w:r>
            <w:r>
              <w:t>器</w:t>
            </w:r>
          </w:p>
        </w:tc>
        <w:tc>
          <w:tcPr>
            <w:tcW w:w="1857"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1731" w:type="dxa"/>
            <w:noWrap w:val="0"/>
            <w:vAlign w:val="center"/>
          </w:tcPr>
          <w:p>
            <w:pPr>
              <w:pStyle w:val="28"/>
              <w:suppressLineNumbers w:val="0"/>
              <w:bidi w:val="0"/>
              <w:spacing w:before="0" w:after="0"/>
              <w:ind w:left="0" w:right="0"/>
            </w:pPr>
            <w:r>
              <w:rPr>
                <w:rFonts w:hint="eastAsia"/>
                <w:lang w:val="en-US" w:eastAsia="zh-CN"/>
              </w:rPr>
              <w:t>0.4</w:t>
            </w:r>
            <w:r>
              <w:t>Kw</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lang w:eastAsia="zh-CN"/>
              </w:rPr>
              <w:t>密闭</w:t>
            </w:r>
            <w:r>
              <w:t>运输机</w:t>
            </w:r>
          </w:p>
        </w:tc>
        <w:tc>
          <w:tcPr>
            <w:tcW w:w="1857" w:type="dxa"/>
            <w:noWrap w:val="0"/>
            <w:vAlign w:val="center"/>
          </w:tcPr>
          <w:p>
            <w:pPr>
              <w:pStyle w:val="28"/>
              <w:suppressLineNumbers w:val="0"/>
              <w:bidi w:val="0"/>
              <w:spacing w:before="0" w:after="0"/>
              <w:ind w:left="0" w:right="0"/>
              <w:rPr>
                <w:lang w:val="en-US" w:eastAsia="zh-CN"/>
              </w:rPr>
            </w:pPr>
            <w:r>
              <w:t>MS410-34M</w:t>
            </w:r>
          </w:p>
        </w:tc>
        <w:tc>
          <w:tcPr>
            <w:tcW w:w="1731" w:type="dxa"/>
            <w:noWrap w:val="0"/>
            <w:vAlign w:val="center"/>
          </w:tcPr>
          <w:p>
            <w:pPr>
              <w:pStyle w:val="28"/>
              <w:suppressLineNumbers w:val="0"/>
              <w:bidi w:val="0"/>
              <w:spacing w:before="0" w:after="0"/>
              <w:ind w:left="0" w:right="0"/>
              <w:rPr>
                <w:rFonts w:hint="eastAsia"/>
                <w:lang w:val="en-US" w:eastAsia="zh-CN"/>
              </w:rPr>
            </w:pPr>
            <w:r>
              <w:t>510*700</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lang w:val="en-US" w:eastAsia="zh-CN"/>
              </w:rPr>
            </w:pPr>
            <w:r>
              <w:rPr>
                <w:rFonts w:hint="eastAsia"/>
                <w:lang w:eastAsia="zh-CN"/>
              </w:rPr>
              <w:t>密闭</w:t>
            </w:r>
            <w:r>
              <w:t>斗提机</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PD250-12</w:t>
            </w:r>
          </w:p>
        </w:tc>
        <w:tc>
          <w:tcPr>
            <w:tcW w:w="1731" w:type="dxa"/>
            <w:noWrap w:val="0"/>
            <w:vAlign w:val="center"/>
          </w:tcPr>
          <w:p>
            <w:pPr>
              <w:pStyle w:val="28"/>
              <w:suppressLineNumbers w:val="0"/>
              <w:bidi w:val="0"/>
              <w:spacing w:before="0" w:after="0"/>
              <w:ind w:left="0" w:right="0"/>
              <w:outlineLvl w:val="9"/>
              <w:rPr>
                <w:lang w:val="en-US" w:eastAsia="zh-CN"/>
              </w:rPr>
            </w:pP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12</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eastAsia" w:eastAsia="宋体"/>
                <w:lang w:val="en-US" w:eastAsia="zh-CN"/>
              </w:rPr>
            </w:pPr>
            <w:r>
              <w:t>半成品</w:t>
            </w:r>
            <w:r>
              <w:rPr>
                <w:rFonts w:hint="eastAsia"/>
                <w:lang w:eastAsia="zh-CN"/>
              </w:rPr>
              <w:t>料</w:t>
            </w:r>
            <w:r>
              <w:t>仓</w:t>
            </w:r>
            <w:r>
              <w:rPr>
                <w:rFonts w:hint="eastAsia"/>
                <w:lang w:val="en-US" w:eastAsia="zh-CN"/>
              </w:rPr>
              <w:t>1</w:t>
            </w:r>
          </w:p>
        </w:tc>
        <w:tc>
          <w:tcPr>
            <w:tcW w:w="1857" w:type="dxa"/>
            <w:noWrap w:val="0"/>
            <w:vAlign w:val="center"/>
          </w:tcPr>
          <w:p>
            <w:pPr>
              <w:pStyle w:val="28"/>
              <w:suppressLineNumbers w:val="0"/>
              <w:bidi w:val="0"/>
              <w:spacing w:before="0" w:after="0"/>
              <w:ind w:left="0" w:right="0"/>
              <w:rPr>
                <w:rFonts w:hint="eastAsia"/>
                <w:lang w:val="en-US" w:eastAsia="zh-CN"/>
              </w:rPr>
            </w:pPr>
            <w:r>
              <w:t>Φ</w:t>
            </w:r>
            <w:r>
              <w:rPr>
                <w:rFonts w:hint="eastAsia"/>
                <w:lang w:val="en-US" w:eastAsia="zh-CN"/>
              </w:rPr>
              <w:t>3.25</w:t>
            </w:r>
            <w:r>
              <w:t>×</w:t>
            </w:r>
            <w:r>
              <w:rPr>
                <w:rFonts w:hint="eastAsia"/>
                <w:lang w:val="en-US" w:eastAsia="zh-CN"/>
              </w:rPr>
              <w:t>4</w:t>
            </w:r>
          </w:p>
        </w:tc>
        <w:tc>
          <w:tcPr>
            <w:tcW w:w="1731" w:type="dxa"/>
            <w:noWrap w:val="0"/>
            <w:vAlign w:val="center"/>
          </w:tcPr>
          <w:p>
            <w:pPr>
              <w:pStyle w:val="28"/>
              <w:suppressLineNumbers w:val="0"/>
              <w:bidi w:val="0"/>
              <w:spacing w:before="0" w:after="0"/>
              <w:ind w:left="0" w:right="0"/>
              <w:rPr>
                <w:lang w:val="en-US" w:eastAsia="zh-CN"/>
              </w:rPr>
            </w:pPr>
            <w:r>
              <w:t>Φ</w:t>
            </w:r>
            <w:r>
              <w:rPr>
                <w:rFonts w:hint="eastAsia"/>
                <w:lang w:val="en-US" w:eastAsia="zh-CN"/>
              </w:rPr>
              <w:t>3.25</w:t>
            </w:r>
            <w:r>
              <w:t>×</w:t>
            </w:r>
            <w:r>
              <w:rPr>
                <w:rFonts w:hint="eastAsia"/>
                <w:lang w:val="en-US" w:eastAsia="zh-CN"/>
              </w:rPr>
              <w:t>4</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7" w:type="dxa"/>
            <w:noWrap w:val="0"/>
            <w:vAlign w:val="center"/>
          </w:tcPr>
          <w:p>
            <w:pPr>
              <w:pStyle w:val="28"/>
              <w:suppressLineNumbers w:val="0"/>
              <w:bidi w:val="0"/>
              <w:spacing w:before="0" w:after="0"/>
              <w:ind w:left="0" w:right="0"/>
              <w:rPr>
                <w:lang w:val="en-US" w:eastAsia="zh-CN"/>
              </w:rPr>
            </w:pP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rFonts w:hint="eastAsia"/>
                <w:lang w:eastAsia="zh-CN"/>
              </w:rPr>
            </w:pPr>
            <w:r>
              <w:rPr>
                <w:rFonts w:hint="eastAsia"/>
                <w:lang w:eastAsia="zh-CN"/>
              </w:rPr>
              <w:t>中间包装</w:t>
            </w:r>
          </w:p>
        </w:tc>
        <w:tc>
          <w:tcPr>
            <w:tcW w:w="1857"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1731" w:type="dxa"/>
            <w:noWrap w:val="0"/>
            <w:vAlign w:val="center"/>
          </w:tcPr>
          <w:p>
            <w:pPr>
              <w:pStyle w:val="28"/>
              <w:suppressLineNumbers w:val="0"/>
              <w:bidi w:val="0"/>
              <w:spacing w:before="0" w:after="0"/>
              <w:ind w:left="0" w:right="0"/>
              <w:rPr>
                <w:rFonts w:hint="eastAsia" w:eastAsia="宋体"/>
                <w:lang w:eastAsia="zh-CN"/>
              </w:rPr>
            </w:pPr>
            <w:r>
              <w:rPr>
                <w:rFonts w:hint="eastAsia"/>
                <w:lang w:eastAsia="zh-CN"/>
              </w:rPr>
              <w:t>吨袋</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697" w:type="dxa"/>
            <w:noWrap w:val="0"/>
            <w:vAlign w:val="center"/>
          </w:tcPr>
          <w:p>
            <w:pPr>
              <w:pStyle w:val="28"/>
              <w:suppressLineNumbers w:val="0"/>
              <w:bidi w:val="0"/>
              <w:spacing w:before="0" w:after="0"/>
              <w:ind w:left="0" w:right="0"/>
            </w:pP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w:t>
            </w:r>
          </w:p>
        </w:tc>
        <w:tc>
          <w:tcPr>
            <w:tcW w:w="1614" w:type="dxa"/>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破碎、筛分、</w:t>
            </w:r>
            <w:r>
              <w:t>包装入库</w:t>
            </w:r>
          </w:p>
        </w:tc>
        <w:tc>
          <w:tcPr>
            <w:tcW w:w="1931"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航吊</w:t>
            </w:r>
          </w:p>
        </w:tc>
        <w:tc>
          <w:tcPr>
            <w:tcW w:w="1857"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LDA3t</w:t>
            </w:r>
          </w:p>
        </w:tc>
        <w:tc>
          <w:tcPr>
            <w:tcW w:w="1731"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693"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695"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697"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1"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15</w:t>
            </w:r>
          </w:p>
        </w:tc>
        <w:tc>
          <w:tcPr>
            <w:tcW w:w="1614" w:type="dxa"/>
            <w:vMerge w:val="continue"/>
            <w:noWrap w:val="0"/>
            <w:vAlign w:val="center"/>
          </w:tcPr>
          <w:p>
            <w:pPr>
              <w:pStyle w:val="28"/>
              <w:suppressLineNumbers w:val="0"/>
              <w:bidi w:val="0"/>
              <w:spacing w:before="0" w:after="0"/>
              <w:ind w:left="0" w:right="0"/>
              <w:outlineLvl w:val="9"/>
              <w:rPr>
                <w:rFonts w:hint="eastAsia"/>
                <w:lang w:eastAsia="zh-CN"/>
              </w:rPr>
            </w:pPr>
          </w:p>
        </w:tc>
        <w:tc>
          <w:tcPr>
            <w:tcW w:w="1931"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t>半成品</w:t>
            </w:r>
            <w:r>
              <w:rPr>
                <w:rFonts w:hint="eastAsia"/>
                <w:lang w:eastAsia="zh-CN"/>
              </w:rPr>
              <w:t>料</w:t>
            </w:r>
            <w:r>
              <w:t>仓</w:t>
            </w:r>
            <w:r>
              <w:rPr>
                <w:rFonts w:hint="eastAsia"/>
                <w:lang w:val="en-US" w:eastAsia="zh-CN"/>
              </w:rPr>
              <w:t>2</w:t>
            </w:r>
          </w:p>
        </w:tc>
        <w:tc>
          <w:tcPr>
            <w:tcW w:w="1857"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t>Φ</w:t>
            </w:r>
            <w:r>
              <w:rPr>
                <w:rFonts w:hint="eastAsia"/>
                <w:lang w:val="en-US" w:eastAsia="zh-CN"/>
              </w:rPr>
              <w:t>3</w:t>
            </w:r>
            <w:r>
              <w:t>×</w:t>
            </w:r>
            <w:r>
              <w:rPr>
                <w:rFonts w:hint="eastAsia"/>
                <w:lang w:val="en-US" w:eastAsia="zh-CN"/>
              </w:rPr>
              <w:t>1.5</w:t>
            </w:r>
          </w:p>
        </w:tc>
        <w:tc>
          <w:tcPr>
            <w:tcW w:w="1731"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Φ</w:t>
            </w:r>
            <w:r>
              <w:rPr>
                <w:rFonts w:hint="eastAsia"/>
                <w:lang w:val="en-US" w:eastAsia="zh-CN"/>
              </w:rPr>
              <w:t>3</w:t>
            </w:r>
            <w:r>
              <w:t>×</w:t>
            </w:r>
            <w:r>
              <w:rPr>
                <w:rFonts w:hint="eastAsia"/>
                <w:lang w:val="en-US" w:eastAsia="zh-CN"/>
              </w:rPr>
              <w:t>1.5</w:t>
            </w:r>
          </w:p>
        </w:tc>
        <w:tc>
          <w:tcPr>
            <w:tcW w:w="693"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695"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69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1"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w:t>
            </w:r>
          </w:p>
        </w:tc>
        <w:tc>
          <w:tcPr>
            <w:tcW w:w="1614" w:type="dxa"/>
            <w:vMerge w:val="continue"/>
            <w:noWrap w:val="0"/>
            <w:vAlign w:val="center"/>
          </w:tcPr>
          <w:p>
            <w:pPr>
              <w:pStyle w:val="28"/>
              <w:suppressLineNumbers w:val="0"/>
              <w:bidi w:val="0"/>
              <w:spacing w:before="0" w:after="0"/>
              <w:ind w:left="0" w:right="0"/>
              <w:outlineLvl w:val="9"/>
              <w:rPr>
                <w:rFonts w:hint="eastAsia"/>
                <w:lang w:eastAsia="zh-CN"/>
              </w:rPr>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对辊破碎机</w:t>
            </w:r>
          </w:p>
        </w:tc>
        <w:tc>
          <w:tcPr>
            <w:tcW w:w="1857" w:type="dxa"/>
            <w:noWrap w:val="0"/>
            <w:vAlign w:val="center"/>
          </w:tcPr>
          <w:p>
            <w:pPr>
              <w:pStyle w:val="28"/>
              <w:suppressLineNumbers w:val="0"/>
              <w:bidi w:val="0"/>
              <w:spacing w:before="0" w:after="0"/>
              <w:ind w:left="0" w:right="0"/>
              <w:rPr>
                <w:rFonts w:hint="default"/>
                <w:lang w:val="en-US" w:eastAsia="zh-CN"/>
              </w:rPr>
            </w:pPr>
            <w:r>
              <w:t>Φ</w:t>
            </w:r>
            <w:r>
              <w:rPr>
                <w:rFonts w:hint="eastAsia"/>
                <w:lang w:val="en-US" w:eastAsia="zh-CN"/>
              </w:rPr>
              <w:t>60</w:t>
            </w:r>
            <w:r>
              <w:t>×</w:t>
            </w:r>
            <w:r>
              <w:rPr>
                <w:rFonts w:hint="eastAsia"/>
                <w:lang w:val="en-US" w:eastAsia="zh-CN"/>
              </w:rPr>
              <w:t>400</w:t>
            </w:r>
          </w:p>
        </w:tc>
        <w:tc>
          <w:tcPr>
            <w:tcW w:w="1731"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1"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17</w:t>
            </w:r>
          </w:p>
        </w:tc>
        <w:tc>
          <w:tcPr>
            <w:tcW w:w="1614" w:type="dxa"/>
            <w:vMerge w:val="continue"/>
            <w:noWrap w:val="0"/>
            <w:vAlign w:val="center"/>
          </w:tcPr>
          <w:p>
            <w:pPr>
              <w:pStyle w:val="28"/>
              <w:suppressLineNumbers w:val="0"/>
              <w:bidi w:val="0"/>
              <w:spacing w:before="0" w:after="0"/>
              <w:ind w:left="0" w:right="0"/>
              <w:outlineLvl w:val="9"/>
              <w:rPr>
                <w:rFonts w:hint="eastAsia"/>
                <w:lang w:eastAsia="zh-CN"/>
              </w:rPr>
            </w:pPr>
          </w:p>
        </w:tc>
        <w:tc>
          <w:tcPr>
            <w:tcW w:w="1931" w:type="dxa"/>
            <w:noWrap w:val="0"/>
            <w:vAlign w:val="center"/>
          </w:tcPr>
          <w:p>
            <w:pPr>
              <w:pStyle w:val="28"/>
              <w:suppressLineNumbers w:val="0"/>
              <w:bidi w:val="0"/>
              <w:spacing w:before="0" w:after="0"/>
              <w:ind w:left="0" w:right="0"/>
              <w:rPr>
                <w:rFonts w:hint="eastAsia"/>
                <w:lang w:val="en-US" w:eastAsia="zh-CN"/>
              </w:rPr>
            </w:pPr>
            <w:r>
              <w:t>斗提机</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Pd250-18</w:t>
            </w:r>
          </w:p>
        </w:tc>
        <w:tc>
          <w:tcPr>
            <w:tcW w:w="1731" w:type="dxa"/>
            <w:noWrap w:val="0"/>
            <w:vAlign w:val="center"/>
          </w:tcPr>
          <w:p>
            <w:pPr>
              <w:pStyle w:val="28"/>
              <w:suppressLineNumbers w:val="0"/>
              <w:bidi w:val="0"/>
              <w:spacing w:before="0" w:after="0"/>
              <w:ind w:left="0" w:right="0"/>
              <w:rPr>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695"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1"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w:t>
            </w:r>
          </w:p>
        </w:tc>
        <w:tc>
          <w:tcPr>
            <w:tcW w:w="1614" w:type="dxa"/>
            <w:vMerge w:val="continue"/>
            <w:noWrap w:val="0"/>
            <w:vAlign w:val="center"/>
          </w:tcPr>
          <w:p>
            <w:pPr>
              <w:pStyle w:val="28"/>
              <w:suppressLineNumbers w:val="0"/>
              <w:bidi w:val="0"/>
              <w:spacing w:before="0" w:after="0"/>
              <w:ind w:left="0" w:right="0"/>
              <w:outlineLvl w:val="9"/>
              <w:rPr>
                <w:rFonts w:hint="eastAsia"/>
                <w:lang w:eastAsia="zh-CN"/>
              </w:rPr>
            </w:pPr>
          </w:p>
        </w:tc>
        <w:tc>
          <w:tcPr>
            <w:tcW w:w="1931" w:type="dxa"/>
            <w:noWrap w:val="0"/>
            <w:vAlign w:val="center"/>
          </w:tcPr>
          <w:p>
            <w:pPr>
              <w:pStyle w:val="28"/>
              <w:suppressLineNumbers w:val="0"/>
              <w:bidi w:val="0"/>
              <w:spacing w:before="0" w:after="0"/>
              <w:ind w:left="0" w:right="0"/>
              <w:rPr>
                <w:rFonts w:hint="eastAsia"/>
                <w:lang w:val="en-US" w:eastAsia="zh-CN"/>
              </w:rPr>
            </w:pPr>
            <w:r>
              <w:rPr>
                <w:rFonts w:hint="eastAsia"/>
              </w:rPr>
              <w:t>振动筛分机</w:t>
            </w:r>
          </w:p>
        </w:tc>
        <w:tc>
          <w:tcPr>
            <w:tcW w:w="1857" w:type="dxa"/>
            <w:noWrap w:val="0"/>
            <w:vAlign w:val="center"/>
          </w:tcPr>
          <w:p>
            <w:pPr>
              <w:pStyle w:val="28"/>
              <w:suppressLineNumbers w:val="0"/>
              <w:bidi w:val="0"/>
              <w:spacing w:before="0" w:after="0"/>
              <w:ind w:left="0" w:right="0"/>
              <w:rPr>
                <w:rFonts w:hint="eastAsia"/>
                <w:lang w:val="en-US" w:eastAsia="zh-CN"/>
              </w:rPr>
            </w:pPr>
            <w:r>
              <w:rPr>
                <w:rFonts w:hint="eastAsia"/>
              </w:rPr>
              <w:t>3kw</w:t>
            </w:r>
          </w:p>
        </w:tc>
        <w:tc>
          <w:tcPr>
            <w:tcW w:w="1731" w:type="dxa"/>
            <w:noWrap w:val="0"/>
            <w:vAlign w:val="center"/>
          </w:tcPr>
          <w:p>
            <w:pPr>
              <w:pStyle w:val="28"/>
              <w:suppressLineNumbers w:val="0"/>
              <w:bidi w:val="0"/>
              <w:spacing w:before="0" w:after="0"/>
              <w:ind w:left="0" w:right="0"/>
              <w:rPr>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51" w:type="dxa"/>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19</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rPr>
                <w:lang w:val="en-US" w:eastAsia="zh-CN"/>
              </w:rPr>
            </w:pPr>
            <w:r>
              <w:t>小包包装机</w:t>
            </w:r>
          </w:p>
        </w:tc>
        <w:tc>
          <w:tcPr>
            <w:tcW w:w="1857" w:type="dxa"/>
            <w:noWrap w:val="0"/>
            <w:vAlign w:val="center"/>
          </w:tcPr>
          <w:p>
            <w:pPr>
              <w:pStyle w:val="28"/>
              <w:suppressLineNumbers w:val="0"/>
              <w:bidi w:val="0"/>
              <w:spacing w:before="0" w:after="0"/>
              <w:ind w:left="0" w:right="0"/>
              <w:rPr>
                <w:lang w:val="en-US" w:eastAsia="zh-CN"/>
              </w:rPr>
            </w:pPr>
            <w:r>
              <w:rPr>
                <w:rFonts w:hint="eastAsia"/>
                <w:lang w:val="en-US" w:eastAsia="zh-CN"/>
              </w:rPr>
              <w:t>25kg、1t</w:t>
            </w:r>
            <w:r>
              <w:t>　</w:t>
            </w:r>
          </w:p>
        </w:tc>
        <w:tc>
          <w:tcPr>
            <w:tcW w:w="1731" w:type="dxa"/>
            <w:noWrap w:val="0"/>
            <w:vAlign w:val="center"/>
          </w:tcPr>
          <w:p>
            <w:pPr>
              <w:pStyle w:val="28"/>
              <w:suppressLineNumbers w:val="0"/>
              <w:bidi w:val="0"/>
              <w:spacing w:before="0" w:after="0"/>
              <w:ind w:left="0" w:right="0"/>
              <w:rPr>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lang w:val="en-US" w:eastAsia="zh-CN"/>
              </w:rPr>
            </w:pPr>
            <w:r>
              <w:t>1</w:t>
            </w:r>
          </w:p>
        </w:tc>
        <w:tc>
          <w:tcPr>
            <w:tcW w:w="697" w:type="dxa"/>
            <w:noWrap w:val="0"/>
            <w:vAlign w:val="center"/>
          </w:tcPr>
          <w:p>
            <w:pPr>
              <w:pStyle w:val="28"/>
              <w:suppressLineNumbers w:val="0"/>
              <w:bidi w:val="0"/>
              <w:spacing w:before="0" w:after="0"/>
              <w:ind w:left="0" w:right="0"/>
              <w:rPr>
                <w:lang w:val="en-US" w:eastAsia="zh-CN"/>
              </w:rPr>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w:t>
            </w:r>
          </w:p>
        </w:tc>
        <w:tc>
          <w:tcPr>
            <w:tcW w:w="1614" w:type="dxa"/>
            <w:vMerge w:val="restart"/>
            <w:noWrap w:val="0"/>
            <w:vAlign w:val="center"/>
          </w:tcPr>
          <w:p>
            <w:pPr>
              <w:pStyle w:val="28"/>
              <w:suppressLineNumbers w:val="0"/>
              <w:bidi w:val="0"/>
              <w:spacing w:before="0" w:after="0"/>
              <w:ind w:left="0" w:right="0"/>
              <w:rPr>
                <w:rFonts w:hint="eastAsia" w:eastAsia="宋体"/>
                <w:lang w:eastAsia="zh-CN"/>
              </w:rPr>
            </w:pPr>
            <w:r>
              <w:t>炉前变压器循环</w:t>
            </w:r>
            <w:r>
              <w:rPr>
                <w:rFonts w:hint="eastAsia"/>
                <w:lang w:eastAsia="zh-CN"/>
              </w:rPr>
              <w:t>冷却</w:t>
            </w:r>
            <w:r>
              <w:t>水</w:t>
            </w:r>
            <w:r>
              <w:rPr>
                <w:rFonts w:hint="eastAsia"/>
                <w:lang w:eastAsia="zh-CN"/>
              </w:rPr>
              <w:t>系统</w:t>
            </w:r>
          </w:p>
        </w:tc>
        <w:tc>
          <w:tcPr>
            <w:tcW w:w="1931" w:type="dxa"/>
            <w:noWrap w:val="0"/>
            <w:vAlign w:val="center"/>
          </w:tcPr>
          <w:p>
            <w:pPr>
              <w:pStyle w:val="28"/>
              <w:suppressLineNumbers w:val="0"/>
              <w:bidi w:val="0"/>
              <w:spacing w:before="0" w:after="0"/>
              <w:ind w:left="0" w:right="0"/>
              <w:rPr>
                <w:rFonts w:hint="eastAsia"/>
                <w:lang w:eastAsia="zh-CN"/>
              </w:rPr>
            </w:pPr>
            <w:r>
              <w:rPr>
                <w:rFonts w:hint="eastAsia"/>
                <w:lang w:eastAsia="zh-CN"/>
              </w:rPr>
              <w:t>油水冷却器</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LYS-200X1</w:t>
            </w:r>
          </w:p>
        </w:tc>
        <w:tc>
          <w:tcPr>
            <w:tcW w:w="1731" w:type="dxa"/>
            <w:noWrap w:val="0"/>
            <w:vAlign w:val="center"/>
          </w:tcPr>
          <w:p>
            <w:pPr>
              <w:pStyle w:val="28"/>
              <w:suppressLineNumbers w:val="0"/>
              <w:bidi w:val="0"/>
              <w:spacing w:before="0" w:after="0"/>
              <w:ind w:left="0" w:right="0"/>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24</w:t>
            </w:r>
          </w:p>
        </w:tc>
        <w:tc>
          <w:tcPr>
            <w:tcW w:w="695"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24</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21</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储水罐</w:t>
            </w:r>
          </w:p>
        </w:tc>
        <w:tc>
          <w:tcPr>
            <w:tcW w:w="1857"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731" w:type="dxa"/>
            <w:noWrap w:val="0"/>
            <w:vAlign w:val="center"/>
          </w:tcPr>
          <w:p>
            <w:pPr>
              <w:pStyle w:val="28"/>
              <w:suppressLineNumbers w:val="0"/>
              <w:bidi w:val="0"/>
              <w:spacing w:before="0" w:after="0"/>
              <w:ind w:left="0" w:right="0"/>
            </w:pPr>
            <w:r>
              <w:rPr>
                <w:rFonts w:hint="eastAsia"/>
                <w:lang w:val="en-US" w:eastAsia="zh-CN"/>
              </w:rPr>
              <w:t>4</w:t>
            </w:r>
            <w:r>
              <w:t>m³</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t>1</w:t>
            </w:r>
          </w:p>
        </w:tc>
        <w:tc>
          <w:tcPr>
            <w:tcW w:w="697" w:type="dxa"/>
            <w:noWrap w:val="0"/>
            <w:vAlign w:val="center"/>
          </w:tcPr>
          <w:p>
            <w:pPr>
              <w:pStyle w:val="28"/>
              <w:suppressLineNumbers w:val="0"/>
              <w:bidi w:val="0"/>
              <w:spacing w:before="0" w:after="0"/>
              <w:ind w:left="0" w:right="0"/>
            </w:pPr>
            <w: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rPr>
                <w:rFonts w:hint="eastAsia"/>
                <w:lang w:eastAsia="zh-CN"/>
              </w:rPr>
              <w:t>循环</w:t>
            </w:r>
            <w:r>
              <w:t>泵</w:t>
            </w:r>
          </w:p>
        </w:tc>
        <w:tc>
          <w:tcPr>
            <w:tcW w:w="185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731" w:type="dxa"/>
            <w:noWrap w:val="0"/>
            <w:vAlign w:val="center"/>
          </w:tcPr>
          <w:p>
            <w:pPr>
              <w:pStyle w:val="28"/>
              <w:suppressLineNumbers w:val="0"/>
              <w:bidi w:val="0"/>
              <w:spacing w:before="0" w:after="0"/>
              <w:ind w:left="0" w:right="0"/>
            </w:pPr>
            <w:r>
              <w:rPr>
                <w:rFonts w:hint="eastAsia"/>
                <w:lang w:val="en-US" w:eastAsia="zh-CN"/>
              </w:rPr>
              <w:t>7.5kw 240m</w:t>
            </w:r>
            <w:r>
              <w:rPr>
                <w:rFonts w:hint="eastAsia"/>
                <w:vertAlign w:val="superscript"/>
                <w:lang w:val="en-US" w:eastAsia="zh-CN"/>
              </w:rPr>
              <w:t>3</w:t>
            </w:r>
            <w:r>
              <w:rPr>
                <w:rFonts w:hint="eastAsia"/>
                <w:lang w:val="en-US" w:eastAsia="zh-CN"/>
              </w:rPr>
              <w:t>/h</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w:t>
            </w:r>
          </w:p>
        </w:tc>
        <w:tc>
          <w:tcPr>
            <w:tcW w:w="1614" w:type="dxa"/>
            <w:noWrap w:val="0"/>
            <w:vAlign w:val="center"/>
          </w:tcPr>
          <w:p>
            <w:pPr>
              <w:pStyle w:val="28"/>
              <w:suppressLineNumbers w:val="0"/>
              <w:bidi w:val="0"/>
              <w:spacing w:before="0" w:after="0"/>
              <w:ind w:left="0" w:right="0"/>
            </w:pPr>
            <w:r>
              <w:t>纯水制备设备</w:t>
            </w:r>
          </w:p>
        </w:tc>
        <w:tc>
          <w:tcPr>
            <w:tcW w:w="1931" w:type="dxa"/>
            <w:noWrap w:val="0"/>
            <w:vAlign w:val="center"/>
          </w:tcPr>
          <w:p>
            <w:pPr>
              <w:pStyle w:val="28"/>
              <w:suppressLineNumbers w:val="0"/>
              <w:bidi w:val="0"/>
              <w:spacing w:before="0" w:after="0"/>
              <w:ind w:left="0" w:right="0"/>
              <w:rPr>
                <w:rFonts w:hint="eastAsia" w:eastAsia="宋体"/>
                <w:lang w:eastAsia="zh-CN"/>
              </w:rPr>
            </w:pPr>
            <w:r>
              <w:rPr>
                <w:rFonts w:hint="eastAsia"/>
                <w:lang w:eastAsia="zh-CN"/>
              </w:rPr>
              <w:t>离子交换树脂纯水净化装置</w:t>
            </w:r>
          </w:p>
        </w:tc>
        <w:tc>
          <w:tcPr>
            <w:tcW w:w="1857" w:type="dxa"/>
            <w:noWrap w:val="0"/>
            <w:vAlign w:val="center"/>
          </w:tcPr>
          <w:p>
            <w:pPr>
              <w:pStyle w:val="28"/>
              <w:suppressLineNumbers w:val="0"/>
              <w:bidi w:val="0"/>
              <w:spacing w:before="0" w:after="0"/>
              <w:ind w:left="0" w:right="0"/>
            </w:pPr>
            <w:r>
              <w:t>FSJ43R-4XB-2</w:t>
            </w:r>
          </w:p>
        </w:tc>
        <w:tc>
          <w:tcPr>
            <w:tcW w:w="1731" w:type="dxa"/>
            <w:noWrap w:val="0"/>
            <w:vAlign w:val="center"/>
          </w:tcPr>
          <w:p>
            <w:pPr>
              <w:pStyle w:val="28"/>
              <w:suppressLineNumbers w:val="0"/>
              <w:bidi w:val="0"/>
              <w:spacing w:before="0" w:after="0"/>
              <w:ind w:left="0" w:right="0"/>
            </w:pPr>
            <w:r>
              <w:t>4m</w:t>
            </w:r>
            <w:r>
              <w:rPr>
                <w:vertAlign w:val="superscript"/>
              </w:rPr>
              <w:t>3</w:t>
            </w:r>
            <w:r>
              <w:t>/h</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rPr>
                <w:rFonts w:hint="eastAsia"/>
                <w:lang w:eastAsia="zh-CN"/>
              </w:rPr>
              <w:t>（？？）</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24</w:t>
            </w:r>
          </w:p>
        </w:tc>
        <w:tc>
          <w:tcPr>
            <w:tcW w:w="1614" w:type="dxa"/>
            <w:noWrap w:val="0"/>
            <w:vAlign w:val="center"/>
          </w:tcPr>
          <w:p>
            <w:pPr>
              <w:pStyle w:val="28"/>
              <w:suppressLineNumbers w:val="0"/>
              <w:bidi w:val="0"/>
              <w:spacing w:before="0" w:after="0"/>
              <w:ind w:left="0" w:right="0"/>
            </w:pPr>
            <w:r>
              <w:t>电源</w:t>
            </w:r>
          </w:p>
        </w:tc>
        <w:tc>
          <w:tcPr>
            <w:tcW w:w="1931" w:type="dxa"/>
            <w:noWrap w:val="0"/>
            <w:vAlign w:val="center"/>
          </w:tcPr>
          <w:p>
            <w:pPr>
              <w:pStyle w:val="28"/>
              <w:suppressLineNumbers w:val="0"/>
              <w:bidi w:val="0"/>
              <w:spacing w:before="0" w:after="0"/>
              <w:ind w:left="0" w:right="0"/>
            </w:pPr>
            <w:r>
              <w:t>动力变压器</w:t>
            </w:r>
          </w:p>
        </w:tc>
        <w:tc>
          <w:tcPr>
            <w:tcW w:w="1857" w:type="dxa"/>
            <w:noWrap w:val="0"/>
            <w:vAlign w:val="center"/>
          </w:tcPr>
          <w:p>
            <w:pPr>
              <w:pStyle w:val="28"/>
              <w:suppressLineNumbers w:val="0"/>
              <w:bidi w:val="0"/>
              <w:spacing w:before="0" w:after="0"/>
              <w:ind w:left="0" w:right="0"/>
            </w:pPr>
            <w:r>
              <w:t>S11-2000/10/0.4</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rPr>
                <w:rFonts w:hint="eastAsia"/>
                <w:lang w:eastAsia="zh-CN"/>
              </w:rPr>
              <w:t>（？？）</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w:t>
            </w:r>
          </w:p>
        </w:tc>
        <w:tc>
          <w:tcPr>
            <w:tcW w:w="1614" w:type="dxa"/>
            <w:vMerge w:val="restart"/>
            <w:noWrap w:val="0"/>
            <w:vAlign w:val="center"/>
          </w:tcPr>
          <w:p>
            <w:pPr>
              <w:pStyle w:val="28"/>
              <w:suppressLineNumbers w:val="0"/>
              <w:bidi w:val="0"/>
              <w:spacing w:before="0" w:after="0"/>
              <w:ind w:left="0" w:right="0"/>
            </w:pPr>
            <w:r>
              <w:t>炉前变压器配电</w:t>
            </w:r>
          </w:p>
        </w:tc>
        <w:tc>
          <w:tcPr>
            <w:tcW w:w="1931" w:type="dxa"/>
            <w:noWrap w:val="0"/>
            <w:vAlign w:val="center"/>
          </w:tcPr>
          <w:p>
            <w:pPr>
              <w:pStyle w:val="28"/>
              <w:suppressLineNumbers w:val="0"/>
              <w:bidi w:val="0"/>
              <w:spacing w:before="0" w:after="0"/>
              <w:ind w:left="0" w:right="0"/>
            </w:pPr>
            <w:r>
              <w:t>高压进线柜</w:t>
            </w:r>
          </w:p>
        </w:tc>
        <w:tc>
          <w:tcPr>
            <w:tcW w:w="1857" w:type="dxa"/>
            <w:noWrap w:val="0"/>
            <w:vAlign w:val="center"/>
          </w:tcPr>
          <w:p>
            <w:pPr>
              <w:pStyle w:val="28"/>
              <w:suppressLineNumbers w:val="0"/>
              <w:bidi w:val="0"/>
              <w:spacing w:before="0" w:after="0"/>
              <w:ind w:left="0" w:right="0"/>
            </w:pPr>
            <w:r>
              <w:t>KYN28A-12/AH1</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t>1</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高压计量柜</w:t>
            </w:r>
          </w:p>
        </w:tc>
        <w:tc>
          <w:tcPr>
            <w:tcW w:w="1857" w:type="dxa"/>
            <w:noWrap w:val="0"/>
            <w:vAlign w:val="center"/>
          </w:tcPr>
          <w:p>
            <w:pPr>
              <w:pStyle w:val="28"/>
              <w:suppressLineNumbers w:val="0"/>
              <w:bidi w:val="0"/>
              <w:spacing w:before="0" w:after="0"/>
              <w:ind w:left="0" w:right="0"/>
            </w:pPr>
            <w:r>
              <w:t>KYN28A-12/AH2</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t>1</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27</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高压PT柜</w:t>
            </w:r>
          </w:p>
        </w:tc>
        <w:tc>
          <w:tcPr>
            <w:tcW w:w="1857" w:type="dxa"/>
            <w:noWrap w:val="0"/>
            <w:vAlign w:val="center"/>
          </w:tcPr>
          <w:p>
            <w:pPr>
              <w:pStyle w:val="28"/>
              <w:suppressLineNumbers w:val="0"/>
              <w:bidi w:val="0"/>
              <w:spacing w:before="0" w:after="0"/>
              <w:ind w:left="0" w:right="0"/>
            </w:pPr>
            <w:r>
              <w:t>KYN28A-12/AH3</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t>1</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28</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高压出线柜</w:t>
            </w:r>
          </w:p>
        </w:tc>
        <w:tc>
          <w:tcPr>
            <w:tcW w:w="1857" w:type="dxa"/>
            <w:noWrap w:val="0"/>
            <w:vAlign w:val="center"/>
          </w:tcPr>
          <w:p>
            <w:pPr>
              <w:pStyle w:val="28"/>
              <w:suppressLineNumbers w:val="0"/>
              <w:bidi w:val="0"/>
              <w:spacing w:before="0" w:after="0"/>
              <w:ind w:left="0" w:right="0"/>
            </w:pPr>
            <w:r>
              <w:t>KYN28A-12/AH4~15</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12</w:t>
            </w:r>
          </w:p>
        </w:tc>
        <w:tc>
          <w:tcPr>
            <w:tcW w:w="695" w:type="dxa"/>
            <w:noWrap w:val="0"/>
            <w:vAlign w:val="center"/>
          </w:tcPr>
          <w:p>
            <w:pPr>
              <w:pStyle w:val="28"/>
              <w:suppressLineNumbers w:val="0"/>
              <w:bidi w:val="0"/>
              <w:spacing w:before="0" w:after="0"/>
              <w:ind w:left="0" w:right="0"/>
            </w:pPr>
            <w:r>
              <w:t>12</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w:t>
            </w:r>
          </w:p>
        </w:tc>
        <w:tc>
          <w:tcPr>
            <w:tcW w:w="1614" w:type="dxa"/>
            <w:vMerge w:val="continue"/>
            <w:noWrap w:val="0"/>
            <w:vAlign w:val="center"/>
          </w:tcPr>
          <w:p>
            <w:pPr>
              <w:pStyle w:val="28"/>
              <w:suppressLineNumbers w:val="0"/>
              <w:bidi w:val="0"/>
              <w:spacing w:before="0" w:after="0"/>
              <w:ind w:left="0" w:right="0"/>
              <w:outlineLvl w:val="9"/>
            </w:pPr>
          </w:p>
        </w:tc>
        <w:tc>
          <w:tcPr>
            <w:tcW w:w="1931" w:type="dxa"/>
            <w:noWrap w:val="0"/>
            <w:vAlign w:val="center"/>
          </w:tcPr>
          <w:p>
            <w:pPr>
              <w:pStyle w:val="28"/>
              <w:suppressLineNumbers w:val="0"/>
              <w:bidi w:val="0"/>
              <w:spacing w:before="0" w:after="0"/>
              <w:ind w:left="0" w:right="0"/>
            </w:pPr>
            <w:r>
              <w:t>直流屏</w:t>
            </w:r>
          </w:p>
        </w:tc>
        <w:tc>
          <w:tcPr>
            <w:tcW w:w="1857" w:type="dxa"/>
            <w:noWrap w:val="0"/>
            <w:vAlign w:val="center"/>
          </w:tcPr>
          <w:p>
            <w:pPr>
              <w:pStyle w:val="28"/>
              <w:suppressLineNumbers w:val="0"/>
              <w:bidi w:val="0"/>
              <w:spacing w:before="0" w:after="0"/>
              <w:ind w:left="0" w:right="0"/>
            </w:pPr>
            <w:r>
              <w:t>GZDW-100AH</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pPr>
            <w:r>
              <w:t>1</w:t>
            </w:r>
          </w:p>
        </w:tc>
        <w:tc>
          <w:tcPr>
            <w:tcW w:w="695" w:type="dxa"/>
            <w:noWrap w:val="0"/>
            <w:vAlign w:val="center"/>
          </w:tcPr>
          <w:p>
            <w:pPr>
              <w:pStyle w:val="28"/>
              <w:suppressLineNumbers w:val="0"/>
              <w:bidi w:val="0"/>
              <w:spacing w:before="0" w:after="0"/>
              <w:ind w:left="0" w:right="0"/>
            </w:pPr>
            <w:r>
              <w:t>1</w:t>
            </w:r>
          </w:p>
        </w:tc>
        <w:tc>
          <w:tcPr>
            <w:tcW w:w="697" w:type="dxa"/>
            <w:noWrap w:val="0"/>
            <w:vAlign w:val="center"/>
          </w:tcPr>
          <w:p>
            <w:pPr>
              <w:pStyle w:val="28"/>
              <w:suppressLineNumbers w:val="0"/>
              <w:bidi w:val="0"/>
              <w:spacing w:before="0" w:after="0"/>
              <w:ind w:left="0" w:right="0"/>
            </w:pPr>
            <w: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w:t>
            </w:r>
          </w:p>
        </w:tc>
        <w:tc>
          <w:tcPr>
            <w:tcW w:w="1614" w:type="dxa"/>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废气处理</w:t>
            </w:r>
          </w:p>
        </w:tc>
        <w:tc>
          <w:tcPr>
            <w:tcW w:w="1931" w:type="dxa"/>
            <w:noWrap w:val="0"/>
            <w:vAlign w:val="center"/>
          </w:tcPr>
          <w:p>
            <w:pPr>
              <w:pStyle w:val="28"/>
              <w:suppressLineNumbers w:val="0"/>
              <w:bidi w:val="0"/>
              <w:spacing w:before="0" w:after="0"/>
              <w:ind w:left="0" w:right="0"/>
            </w:pPr>
            <w:r>
              <w:rPr>
                <w:rFonts w:hint="eastAsia"/>
              </w:rPr>
              <w:t>脱硫石粉罐</w:t>
            </w:r>
          </w:p>
        </w:tc>
        <w:tc>
          <w:tcPr>
            <w:tcW w:w="1857" w:type="dxa"/>
            <w:noWrap w:val="0"/>
            <w:vAlign w:val="center"/>
          </w:tcPr>
          <w:p>
            <w:pPr>
              <w:pStyle w:val="28"/>
              <w:suppressLineNumbers w:val="0"/>
              <w:bidi w:val="0"/>
              <w:spacing w:before="0" w:after="0"/>
              <w:ind w:left="0" w:right="0"/>
            </w:pPr>
            <w:r>
              <w:rPr>
                <w:rFonts w:hint="eastAsia"/>
                <w:lang w:val="en-US" w:eastAsia="zh-CN"/>
              </w:rPr>
              <w:t>45</w:t>
            </w:r>
            <w:r>
              <w:rPr>
                <w:rFonts w:hint="eastAsia"/>
              </w:rPr>
              <w:t xml:space="preserve">立方 </w:t>
            </w:r>
          </w:p>
        </w:tc>
        <w:tc>
          <w:tcPr>
            <w:tcW w:w="1731"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693"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695"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97" w:type="dxa"/>
            <w:noWrap w:val="0"/>
            <w:vAlign w:val="center"/>
          </w:tcPr>
          <w:p>
            <w:pPr>
              <w:pStyle w:val="28"/>
              <w:suppressLineNumbers w:val="0"/>
              <w:bidi w:val="0"/>
              <w:spacing w:before="0" w:after="0"/>
              <w:ind w:left="0" w:right="0"/>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1"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w:t>
            </w:r>
          </w:p>
        </w:tc>
        <w:tc>
          <w:tcPr>
            <w:tcW w:w="1614" w:type="dxa"/>
            <w:vMerge w:val="continue"/>
            <w:noWrap w:val="0"/>
            <w:vAlign w:val="center"/>
          </w:tcPr>
          <w:p>
            <w:pPr>
              <w:pStyle w:val="28"/>
              <w:suppressLineNumbers w:val="0"/>
              <w:bidi w:val="0"/>
              <w:spacing w:before="0" w:after="0"/>
              <w:ind w:left="0" w:right="0"/>
              <w:outlineLvl w:val="9"/>
              <w:rPr>
                <w:rFonts w:hint="eastAsia"/>
                <w:lang w:eastAsia="zh-CN"/>
              </w:rPr>
            </w:pPr>
          </w:p>
        </w:tc>
        <w:tc>
          <w:tcPr>
            <w:tcW w:w="1931"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混合罐</w:t>
            </w:r>
          </w:p>
        </w:tc>
        <w:tc>
          <w:tcPr>
            <w:tcW w:w="185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45</w:t>
            </w:r>
            <w:r>
              <w:rPr>
                <w:rFonts w:hint="eastAsia"/>
              </w:rPr>
              <w:t xml:space="preserve">立方 </w:t>
            </w:r>
          </w:p>
        </w:tc>
        <w:tc>
          <w:tcPr>
            <w:tcW w:w="1731"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93"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695"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97" w:type="dxa"/>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个</w:t>
            </w:r>
          </w:p>
        </w:tc>
      </w:tr>
    </w:tbl>
    <w:p>
      <w:pPr>
        <w:pStyle w:val="5"/>
        <w:bidi w:val="0"/>
        <w:rPr>
          <w:rFonts w:hint="eastAsia"/>
          <w:lang w:val="en-US" w:eastAsia="zh-CN"/>
        </w:rPr>
      </w:pPr>
      <w:r>
        <w:rPr>
          <w:rFonts w:hint="eastAsia"/>
          <w:lang w:val="en-US" w:eastAsia="zh-CN"/>
        </w:rPr>
        <w:t>3.1.6 选址及平面布置</w:t>
      </w:r>
    </w:p>
    <w:p>
      <w:pPr>
        <w:pStyle w:val="6"/>
        <w:bidi w:val="0"/>
        <w:rPr>
          <w:rFonts w:hint="default"/>
          <w:lang w:val="en-US" w:eastAsia="zh-CN"/>
        </w:rPr>
      </w:pPr>
      <w:r>
        <w:rPr>
          <w:rFonts w:hint="eastAsia"/>
          <w:lang w:val="en-US" w:eastAsia="zh-CN"/>
        </w:rPr>
        <w:t>3.1.6.1 厂址及周边环境</w:t>
      </w:r>
    </w:p>
    <w:p>
      <w:pPr>
        <w:rPr>
          <w:rFonts w:hint="eastAsia"/>
          <w:lang w:val="en-US" w:eastAsia="zh-CN"/>
        </w:rPr>
      </w:pPr>
      <w:r>
        <w:rPr>
          <w:rFonts w:hint="eastAsia"/>
          <w:lang w:val="en-US" w:eastAsia="zh-CN"/>
        </w:rPr>
        <w:t>本项目建设地点位于连云港市东海县青湖镇工业集中于内，项目周边分布耕地和工业企业。</w:t>
      </w:r>
    </w:p>
    <w:p>
      <w:pPr>
        <w:pStyle w:val="6"/>
        <w:bidi w:val="0"/>
        <w:rPr>
          <w:rFonts w:hint="eastAsia"/>
          <w:lang w:val="en-US" w:eastAsia="zh-CN"/>
        </w:rPr>
      </w:pPr>
      <w:r>
        <w:rPr>
          <w:rFonts w:hint="eastAsia"/>
          <w:lang w:val="en-US" w:eastAsia="zh-CN"/>
        </w:rPr>
        <w:t>3.1.6.2 总图布置方案</w:t>
      </w:r>
    </w:p>
    <w:p>
      <w:pPr>
        <w:bidi w:val="0"/>
        <w:rPr>
          <w:rFonts w:hint="default"/>
          <w:lang w:val="en-US" w:eastAsia="zh-CN"/>
        </w:rPr>
      </w:pPr>
      <w:r>
        <w:rPr>
          <w:rFonts w:hint="eastAsia"/>
          <w:lang w:val="en-US" w:eastAsia="zh-CN"/>
        </w:rPr>
        <w:t>（1）总图布置原则</w:t>
      </w:r>
    </w:p>
    <w:p>
      <w:pPr>
        <w:bidi w:val="0"/>
        <w:rPr>
          <w:rFonts w:hint="default"/>
          <w:lang w:val="en-US" w:eastAsia="zh-CN"/>
        </w:rPr>
      </w:pPr>
      <w:r>
        <w:rPr>
          <w:rFonts w:hint="default"/>
          <w:lang w:val="en-US" w:eastAsia="zh-CN"/>
        </w:rPr>
        <w:t>符合工艺流程，力求使生产作业线短捷、顺畅；符合安全、卫生、防火、防爆及环保等设计规范的要求；满足施工、生产、检修、运输及生产管理的要求；布置尽量紧凑，以减少占地面积；考虑工厂的分期建设；注重风向、朝向，减少环境污染。</w:t>
      </w:r>
    </w:p>
    <w:p>
      <w:pPr>
        <w:bidi w:val="0"/>
        <w:rPr>
          <w:rFonts w:hint="default"/>
          <w:lang w:val="en-US" w:eastAsia="zh-CN"/>
        </w:rPr>
      </w:pPr>
      <w:r>
        <w:rPr>
          <w:rFonts w:hint="default"/>
          <w:lang w:val="en-US" w:eastAsia="zh-CN"/>
        </w:rPr>
        <w:t>(2)总图布置方案</w:t>
      </w:r>
    </w:p>
    <w:p>
      <w:pPr>
        <w:bidi w:val="0"/>
        <w:rPr>
          <w:rFonts w:hint="default"/>
          <w:lang w:val="en-US" w:eastAsia="zh-CN"/>
        </w:rPr>
      </w:pPr>
      <w:r>
        <w:rPr>
          <w:rFonts w:hint="default"/>
          <w:lang w:val="en-US" w:eastAsia="zh-CN"/>
        </w:rPr>
        <w:t>总平面布置遵循功能分区合理、工艺流程顺捷、近远期相结合、工程量少和节约用地的原则。</w:t>
      </w:r>
    </w:p>
    <w:p>
      <w:pPr>
        <w:bidi w:val="0"/>
        <w:rPr>
          <w:rFonts w:hint="eastAsia"/>
          <w:lang w:val="en-US" w:eastAsia="zh-CN"/>
        </w:rPr>
      </w:pPr>
      <w:r>
        <w:rPr>
          <w:rFonts w:hint="eastAsia"/>
          <w:lang w:val="en-US" w:eastAsia="zh-CN"/>
        </w:rPr>
        <w:t>厂区主要建</w:t>
      </w:r>
      <w:r>
        <w:rPr>
          <w:rFonts w:hint="default"/>
          <w:lang w:val="en-US" w:eastAsia="zh-CN"/>
        </w:rPr>
        <w:t>设</w:t>
      </w:r>
      <w:r>
        <w:rPr>
          <w:rFonts w:hint="eastAsia"/>
          <w:lang w:val="en-US" w:eastAsia="zh-CN"/>
        </w:rPr>
        <w:t>车间一、车间二、</w:t>
      </w:r>
      <w:r>
        <w:rPr>
          <w:rFonts w:hint="default"/>
          <w:lang w:val="en-US" w:eastAsia="zh-CN"/>
        </w:rPr>
        <w:t>破碎</w:t>
      </w:r>
      <w:r>
        <w:rPr>
          <w:rFonts w:hint="eastAsia"/>
          <w:lang w:val="en-US" w:eastAsia="zh-CN"/>
        </w:rPr>
        <w:t>、筛分</w:t>
      </w:r>
      <w:r>
        <w:rPr>
          <w:rFonts w:hint="default"/>
          <w:lang w:val="en-US" w:eastAsia="zh-CN"/>
        </w:rPr>
        <w:t>车间等内容</w:t>
      </w:r>
      <w:r>
        <w:rPr>
          <w:rFonts w:hint="eastAsia"/>
          <w:lang w:val="en-US" w:eastAsia="zh-CN"/>
        </w:rPr>
        <w:t>，位于厂区北部和中部，综合楼位于厂区南侧。</w:t>
      </w:r>
    </w:p>
    <w:p>
      <w:pPr>
        <w:pStyle w:val="27"/>
        <w:bidi w:val="0"/>
        <w:rPr>
          <w:rFonts w:hint="eastAsia"/>
          <w:lang w:val="en-US" w:eastAsia="zh-CN"/>
        </w:rPr>
      </w:pPr>
      <w:r>
        <w:rPr>
          <w:rFonts w:hint="eastAsia"/>
          <w:lang w:val="en-US" w:eastAsia="zh-CN"/>
        </w:rPr>
        <w:t>表3.1.6-1 项目主要构筑物一览表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896"/>
        <w:gridCol w:w="1170"/>
        <w:gridCol w:w="1387"/>
        <w:gridCol w:w="888"/>
        <w:gridCol w:w="950"/>
        <w:gridCol w:w="1260"/>
        <w:gridCol w:w="105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序号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建筑物名称</w:t>
            </w:r>
          </w:p>
        </w:tc>
        <w:tc>
          <w:tcPr>
            <w:tcW w:w="1170" w:type="dxa"/>
            <w:vAlign w:val="center"/>
          </w:tcPr>
          <w:p>
            <w:pPr>
              <w:pStyle w:val="28"/>
              <w:suppressLineNumbers w:val="0"/>
              <w:bidi w:val="0"/>
              <w:spacing w:before="0" w:after="0"/>
              <w:ind w:left="0" w:right="0"/>
              <w:rPr>
                <w:rFonts w:hint="default"/>
                <w:lang w:val="en-US" w:eastAsia="zh-CN"/>
              </w:rPr>
            </w:pPr>
            <w:r>
              <w:rPr>
                <w:rFonts w:hint="eastAsia"/>
                <w:lang w:val="en-US" w:eastAsia="zh-CN"/>
              </w:rPr>
              <w:t>占地面积（m</w:t>
            </w:r>
            <w:r>
              <w:rPr>
                <w:rFonts w:hint="eastAsia"/>
                <w:vertAlign w:val="superscript"/>
                <w:lang w:val="en-US" w:eastAsia="zh-CN"/>
              </w:rPr>
              <w:t>2</w:t>
            </w:r>
            <w:r>
              <w:rPr>
                <w:rFonts w:hint="eastAsia"/>
                <w:lang w:val="en-US" w:eastAsia="zh-CN"/>
              </w:rPr>
              <w:t>）</w:t>
            </w:r>
          </w:p>
        </w:tc>
        <w:tc>
          <w:tcPr>
            <w:tcW w:w="1387" w:type="dxa"/>
            <w:vAlign w:val="center"/>
          </w:tcPr>
          <w:p>
            <w:pPr>
              <w:pStyle w:val="28"/>
              <w:suppressLineNumbers w:val="0"/>
              <w:bidi w:val="0"/>
              <w:spacing w:before="0" w:after="0"/>
              <w:ind w:left="0" w:right="0"/>
              <w:rPr>
                <w:rFonts w:hint="default"/>
                <w:lang w:val="en-US" w:eastAsia="zh-CN"/>
              </w:rPr>
            </w:pPr>
            <w:r>
              <w:rPr>
                <w:rFonts w:hint="eastAsia"/>
                <w:lang w:val="en-US" w:eastAsia="zh-CN"/>
              </w:rPr>
              <w:t>建筑面积（m</w:t>
            </w:r>
            <w:r>
              <w:rPr>
                <w:rFonts w:hint="eastAsia"/>
                <w:vertAlign w:val="superscript"/>
                <w:lang w:val="en-US" w:eastAsia="zh-CN"/>
              </w:rPr>
              <w:t>2</w:t>
            </w:r>
            <w:r>
              <w:rPr>
                <w:rFonts w:hint="eastAsia"/>
                <w:lang w:val="en-US" w:eastAsia="zh-CN"/>
              </w:rPr>
              <w:t>）</w:t>
            </w:r>
          </w:p>
        </w:tc>
        <w:tc>
          <w:tcPr>
            <w:tcW w:w="888" w:type="dxa"/>
            <w:vAlign w:val="center"/>
          </w:tcPr>
          <w:p>
            <w:pPr>
              <w:pStyle w:val="28"/>
              <w:suppressLineNumbers w:val="0"/>
              <w:bidi w:val="0"/>
              <w:spacing w:before="0" w:after="0"/>
              <w:ind w:left="0" w:right="0"/>
              <w:rPr>
                <w:rFonts w:hint="default"/>
                <w:lang w:val="en-US" w:eastAsia="zh-CN"/>
              </w:rPr>
            </w:pPr>
            <w:r>
              <w:rPr>
                <w:rFonts w:hint="eastAsia"/>
                <w:lang w:val="en-US" w:eastAsia="zh-CN"/>
              </w:rPr>
              <w:t>建筑物层数</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耐火等级</w:t>
            </w:r>
          </w:p>
        </w:tc>
        <w:tc>
          <w:tcPr>
            <w:tcW w:w="1260" w:type="dxa"/>
            <w:vAlign w:val="center"/>
          </w:tcPr>
          <w:p>
            <w:pPr>
              <w:pStyle w:val="28"/>
              <w:suppressLineNumbers w:val="0"/>
              <w:bidi w:val="0"/>
              <w:spacing w:before="0" w:after="0"/>
              <w:ind w:left="0" w:right="0"/>
              <w:rPr>
                <w:rFonts w:hint="default"/>
                <w:lang w:val="en-US" w:eastAsia="zh-CN"/>
              </w:rPr>
            </w:pPr>
            <w:r>
              <w:rPr>
                <w:rFonts w:hint="eastAsia"/>
                <w:lang w:val="en-US" w:eastAsia="zh-CN"/>
              </w:rPr>
              <w:t>火灾类别</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建筑形式</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综合楼</w:t>
            </w:r>
          </w:p>
        </w:tc>
        <w:tc>
          <w:tcPr>
            <w:tcW w:w="1170" w:type="dxa"/>
            <w:vAlign w:val="center"/>
          </w:tcPr>
          <w:p>
            <w:pPr>
              <w:pStyle w:val="28"/>
              <w:suppressLineNumbers w:val="0"/>
              <w:bidi w:val="0"/>
              <w:spacing w:before="0" w:after="0"/>
              <w:ind w:left="0" w:right="0"/>
              <w:rPr>
                <w:rFonts w:hint="default"/>
                <w:lang w:val="en-US" w:eastAsia="zh-CN"/>
              </w:rPr>
            </w:pPr>
            <w:r>
              <w:rPr>
                <w:rFonts w:hint="eastAsia"/>
                <w:lang w:val="en-US" w:eastAsia="zh-CN"/>
              </w:rPr>
              <w:t>573.26</w:t>
            </w:r>
          </w:p>
        </w:tc>
        <w:tc>
          <w:tcPr>
            <w:tcW w:w="1387" w:type="dxa"/>
            <w:vAlign w:val="center"/>
          </w:tcPr>
          <w:p>
            <w:pPr>
              <w:pStyle w:val="28"/>
              <w:suppressLineNumbers w:val="0"/>
              <w:bidi w:val="0"/>
              <w:spacing w:before="0" w:after="0"/>
              <w:ind w:left="0" w:right="0"/>
              <w:rPr>
                <w:rFonts w:hint="default"/>
                <w:lang w:val="en-US" w:eastAsia="zh-CN"/>
              </w:rPr>
            </w:pPr>
            <w:r>
              <w:rPr>
                <w:rFonts w:hint="eastAsia"/>
                <w:lang w:val="en-US" w:eastAsia="zh-CN"/>
              </w:rPr>
              <w:t>1672.63</w:t>
            </w:r>
          </w:p>
        </w:tc>
        <w:tc>
          <w:tcPr>
            <w:tcW w:w="888" w:type="dxa"/>
            <w:vAlign w:val="center"/>
          </w:tcPr>
          <w:p>
            <w:pPr>
              <w:pStyle w:val="28"/>
              <w:suppressLineNumbers w:val="0"/>
              <w:bidi w:val="0"/>
              <w:spacing w:before="0" w:after="0"/>
              <w:ind w:left="0" w:right="0"/>
              <w:rPr>
                <w:rFonts w:hint="default"/>
                <w:lang w:val="en-US" w:eastAsia="zh-CN"/>
              </w:rPr>
            </w:pPr>
            <w:r>
              <w:rPr>
                <w:rFonts w:hint="eastAsia"/>
                <w:lang w:val="en-US" w:eastAsia="zh-CN"/>
              </w:rPr>
              <w:t>3</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right="0"/>
              <w:rPr>
                <w:rFonts w:hint="default"/>
                <w:lang w:val="en-US" w:eastAsia="zh-CN"/>
              </w:rPr>
            </w:pPr>
            <w:r>
              <w:rPr>
                <w:rFonts w:hint="eastAsia"/>
                <w:lang w:val="en-US" w:eastAsia="zh-CN"/>
              </w:rPr>
              <w:t>普通建筑</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2</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成品仓库</w:t>
            </w:r>
          </w:p>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破碎车间</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6278.14</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6278.14</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3</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车间一</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4112.9</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9818.52</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4</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车间二</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5503.28</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10629.1</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5</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配电房</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180</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180</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6</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泵房</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60</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60</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7</w:t>
            </w:r>
          </w:p>
        </w:tc>
        <w:tc>
          <w:tcPr>
            <w:tcW w:w="0" w:type="auto"/>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一般固废仓库</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8</w:t>
            </w:r>
          </w:p>
        </w:tc>
        <w:tc>
          <w:tcPr>
            <w:tcW w:w="0" w:type="auto"/>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危险固废仓库</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80</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80</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9</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垃圾转运站</w:t>
            </w:r>
          </w:p>
        </w:tc>
        <w:tc>
          <w:tcPr>
            <w:tcW w:w="1170" w:type="dxa"/>
            <w:vAlign w:val="center"/>
          </w:tcPr>
          <w:p>
            <w:pPr>
              <w:pStyle w:val="28"/>
              <w:suppressLineNumbers w:val="0"/>
              <w:bidi w:val="0"/>
              <w:spacing w:before="0" w:after="0"/>
              <w:ind w:left="0" w:right="0"/>
              <w:rPr>
                <w:rFonts w:hint="default"/>
                <w:lang w:val="en-US" w:eastAsia="zh-CN"/>
              </w:rPr>
            </w:pPr>
            <w:r>
              <w:rPr>
                <w:rFonts w:hint="eastAsia"/>
                <w:lang w:val="en-US" w:eastAsia="zh-CN"/>
              </w:rPr>
              <w:t>56</w:t>
            </w:r>
          </w:p>
        </w:tc>
        <w:tc>
          <w:tcPr>
            <w:tcW w:w="1387" w:type="dxa"/>
            <w:vAlign w:val="center"/>
          </w:tcPr>
          <w:p>
            <w:pPr>
              <w:pStyle w:val="28"/>
              <w:suppressLineNumbers w:val="0"/>
              <w:bidi w:val="0"/>
              <w:spacing w:before="0" w:after="0"/>
              <w:ind w:left="0" w:right="0"/>
              <w:rPr>
                <w:rFonts w:hint="default"/>
                <w:lang w:val="en-US" w:eastAsia="zh-CN"/>
              </w:rPr>
            </w:pPr>
            <w:r>
              <w:rPr>
                <w:rFonts w:hint="eastAsia"/>
                <w:lang w:val="en-US" w:eastAsia="zh-CN"/>
              </w:rPr>
              <w:t>56</w:t>
            </w:r>
          </w:p>
        </w:tc>
        <w:tc>
          <w:tcPr>
            <w:tcW w:w="888" w:type="dxa"/>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950" w:type="dxa"/>
            <w:vAlign w:val="center"/>
          </w:tcPr>
          <w:p>
            <w:pPr>
              <w:pStyle w:val="28"/>
              <w:suppressLineNumbers w:val="0"/>
              <w:bidi w:val="0"/>
              <w:spacing w:before="0" w:after="0"/>
              <w:ind w:left="0" w:right="0"/>
              <w:rPr>
                <w:rFonts w:hint="default"/>
                <w:lang w:val="en-US" w:eastAsia="zh-CN"/>
              </w:rPr>
            </w:pPr>
            <w:r>
              <w:rPr>
                <w:rFonts w:hint="eastAsia"/>
                <w:lang w:val="en-US" w:eastAsia="zh-CN"/>
              </w:rPr>
              <w:t>丁类</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环保设施装置区</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900</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11</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循环冷却水池</w:t>
            </w:r>
          </w:p>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（兼消防水池）</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308</w:t>
            </w:r>
          </w:p>
        </w:tc>
        <w:tc>
          <w:tcPr>
            <w:tcW w:w="138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88"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12</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事故池</w:t>
            </w:r>
          </w:p>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（兼消防尾水池）</w:t>
            </w:r>
          </w:p>
        </w:tc>
        <w:tc>
          <w:tcPr>
            <w:tcW w:w="117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121</w:t>
            </w:r>
          </w:p>
        </w:tc>
        <w:tc>
          <w:tcPr>
            <w:tcW w:w="138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88"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普通建筑</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砖混</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合计</w:t>
            </w:r>
          </w:p>
        </w:tc>
        <w:tc>
          <w:tcPr>
            <w:tcW w:w="1170" w:type="dxa"/>
            <w:vAlign w:val="center"/>
          </w:tcPr>
          <w:p>
            <w:pPr>
              <w:pStyle w:val="28"/>
              <w:suppressLineNumbers w:val="0"/>
              <w:bidi w:val="0"/>
              <w:spacing w:before="0" w:after="0"/>
              <w:ind w:left="0" w:right="0"/>
              <w:rPr>
                <w:rFonts w:hint="default"/>
                <w:lang w:val="en-US" w:eastAsia="zh-CN"/>
              </w:rPr>
            </w:pPr>
            <w:r>
              <w:rPr>
                <w:rFonts w:hint="eastAsia"/>
                <w:lang w:val="en-US" w:eastAsia="zh-CN"/>
              </w:rPr>
              <w:t>18272.58</w:t>
            </w:r>
          </w:p>
        </w:tc>
        <w:tc>
          <w:tcPr>
            <w:tcW w:w="1387" w:type="dxa"/>
            <w:vAlign w:val="center"/>
          </w:tcPr>
          <w:p>
            <w:pPr>
              <w:pStyle w:val="28"/>
              <w:suppressLineNumbers w:val="0"/>
              <w:bidi w:val="0"/>
              <w:spacing w:before="0" w:after="0"/>
              <w:ind w:left="0" w:right="0"/>
              <w:rPr>
                <w:rFonts w:hint="eastAsia"/>
                <w:lang w:val="en-US" w:eastAsia="zh-CN"/>
              </w:rPr>
            </w:pPr>
            <w:r>
              <w:rPr>
                <w:rFonts w:hint="eastAsia"/>
                <w:lang w:val="en-US" w:eastAsia="zh-CN"/>
              </w:rPr>
              <w:t>28874.39</w:t>
            </w:r>
          </w:p>
        </w:tc>
        <w:tc>
          <w:tcPr>
            <w:tcW w:w="888" w:type="dxa"/>
            <w:vAlign w:val="center"/>
          </w:tcPr>
          <w:p>
            <w:pPr>
              <w:pStyle w:val="28"/>
              <w:suppressLineNumbers w:val="0"/>
              <w:bidi w:val="0"/>
              <w:spacing w:before="0" w:after="0"/>
              <w:ind w:left="0" w:leftChars="0" w:right="0" w:rightChars="0" w:firstLine="0" w:firstLineChars="0"/>
              <w:rPr>
                <w:rFonts w:hint="eastAsia"/>
                <w:lang w:val="en-US" w:eastAsia="zh-CN"/>
              </w:rPr>
            </w:pPr>
            <w:r>
              <w:rPr>
                <w:rFonts w:hint="eastAsia"/>
                <w:lang w:val="en-US" w:eastAsia="zh-CN"/>
              </w:rPr>
              <w:t>/</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6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bl>
    <w:p>
      <w:pPr>
        <w:bidi w:val="0"/>
        <w:rPr>
          <w:rFonts w:hint="eastAsia"/>
          <w:lang w:val="en-US" w:eastAsia="zh-CN"/>
        </w:rPr>
      </w:pPr>
      <w:r>
        <w:rPr>
          <w:rFonts w:hint="eastAsia"/>
          <w:lang w:val="en-US" w:eastAsia="zh-CN"/>
        </w:rPr>
        <w:t>本项目占地面积43564.10m</w:t>
      </w:r>
      <w:r>
        <w:rPr>
          <w:rFonts w:hint="eastAsia"/>
          <w:vertAlign w:val="superscript"/>
          <w:lang w:val="en-US" w:eastAsia="zh-CN"/>
        </w:rPr>
        <w:t>2</w:t>
      </w:r>
      <w:r>
        <w:rPr>
          <w:rFonts w:hint="eastAsia"/>
          <w:lang w:val="en-US" w:eastAsia="zh-CN"/>
        </w:rPr>
        <w:t>，绿化面积约6534.62m</w:t>
      </w:r>
      <w:r>
        <w:rPr>
          <w:rFonts w:hint="eastAsia"/>
          <w:vertAlign w:val="superscript"/>
          <w:lang w:val="en-US" w:eastAsia="zh-CN"/>
        </w:rPr>
        <w:t>2</w:t>
      </w:r>
      <w:r>
        <w:rPr>
          <w:rFonts w:hint="eastAsia"/>
          <w:lang w:val="en-US" w:eastAsia="zh-CN"/>
        </w:rPr>
        <w:t>，绿化率15.0%，符合《碳素厂建设标准》第五章环境保护，炭素厂厂区周围应植树绿化厂区内绿化占地率不应小于 15%的要求。</w:t>
      </w:r>
    </w:p>
    <w:p>
      <w:pPr>
        <w:bidi w:val="0"/>
        <w:rPr>
          <w:rFonts w:hint="default"/>
          <w:lang w:val="en-US" w:eastAsia="zh-CN"/>
        </w:rPr>
      </w:pPr>
      <w:r>
        <w:rPr>
          <w:rFonts w:hint="eastAsia"/>
          <w:lang w:val="en-US" w:eastAsia="zh-CN"/>
        </w:rPr>
        <w:t>本项目厂区平面布置图见附图。</w:t>
      </w:r>
    </w:p>
    <w:p>
      <w:pPr>
        <w:pStyle w:val="6"/>
        <w:bidi w:val="0"/>
        <w:rPr>
          <w:rFonts w:hint="eastAsia"/>
          <w:lang w:val="en-US" w:eastAsia="zh-CN"/>
        </w:rPr>
      </w:pPr>
      <w:r>
        <w:rPr>
          <w:rFonts w:hint="eastAsia"/>
          <w:lang w:val="en-US" w:eastAsia="zh-CN"/>
        </w:rPr>
        <w:t>3.1.6.3平面布置合理性分析</w:t>
      </w:r>
    </w:p>
    <w:p>
      <w:pPr>
        <w:bidi w:val="0"/>
        <w:rPr>
          <w:rFonts w:hint="eastAsia"/>
          <w:lang w:val="en-US" w:eastAsia="zh-CN"/>
        </w:rPr>
      </w:pPr>
      <w:r>
        <w:rPr>
          <w:rFonts w:hint="eastAsia"/>
          <w:lang w:val="en-US" w:eastAsia="zh-CN"/>
        </w:rPr>
        <w:t>厂区平面布置是以整体的工艺流程顺序，生产区按照从北向南依次布置车间二、环保设施区、车间一、成品仓库（破碎车间），各装置区紧凑布置，各相关工序依次相连，从而使管线摆布更合理，物料流向也更合理，不需要长距离输送，可起到节能的目的。</w:t>
      </w:r>
    </w:p>
    <w:p>
      <w:pPr>
        <w:bidi w:val="0"/>
        <w:rPr>
          <w:rFonts w:hint="default"/>
          <w:lang w:val="en-US" w:eastAsia="zh-CN"/>
        </w:rPr>
      </w:pPr>
      <w:r>
        <w:rPr>
          <w:rFonts w:hint="eastAsia"/>
          <w:lang w:val="en-US" w:eastAsia="zh-CN"/>
        </w:rPr>
        <w:t>同时将办公生活区布置在远离生产区的南侧，可减少生产装置对办公区的影响，南侧靠近成品仓库及办公生活区分别布置货物出入口和厂区出入口，有利于原料和产品的运进、运出，厂区总平面布置基本合理。</w:t>
      </w:r>
    </w:p>
    <w:p>
      <w:pPr>
        <w:pStyle w:val="4"/>
        <w:bidi w:val="0"/>
        <w:rPr>
          <w:rFonts w:hint="eastAsia"/>
          <w:lang w:val="en-US" w:eastAsia="zh-CN"/>
        </w:rPr>
      </w:pPr>
      <w:bookmarkStart w:id="43" w:name="_Toc9146"/>
      <w:r>
        <w:rPr>
          <w:rFonts w:hint="eastAsia"/>
          <w:lang w:val="en-US" w:eastAsia="zh-CN"/>
        </w:rPr>
        <w:t>3.2 影响因素分析</w:t>
      </w:r>
      <w:bookmarkEnd w:id="43"/>
    </w:p>
    <w:p>
      <w:pPr>
        <w:pStyle w:val="5"/>
        <w:bidi w:val="0"/>
        <w:rPr>
          <w:rFonts w:hint="eastAsia"/>
          <w:lang w:val="en-US" w:eastAsia="zh-CN"/>
        </w:rPr>
      </w:pPr>
      <w:r>
        <w:rPr>
          <w:rFonts w:hint="eastAsia"/>
          <w:lang w:val="en-US" w:eastAsia="zh-CN"/>
        </w:rPr>
        <w:t>3.2.1 工艺流程及产污环节分析</w:t>
      </w:r>
    </w:p>
    <w:p>
      <w:pPr>
        <w:bidi w:val="0"/>
      </w:pPr>
      <w:r>
        <w:rPr>
          <w:rFonts w:hint="eastAsia"/>
          <w:lang w:val="en-US" w:eastAsia="zh-CN"/>
        </w:rPr>
        <w:t>新型增碳剂生产工艺环节包括原料贮运、航吊进料、埋弧电煅炉电煅、冷却排料、中间包装、破碎、筛分、检验和包装等工序</w:t>
      </w:r>
      <w:r>
        <w:t>。</w:t>
      </w:r>
    </w:p>
    <w:p>
      <w:pPr>
        <w:bidi w:val="0"/>
        <w:rPr>
          <w:rFonts w:hint="eastAsia" w:eastAsia="宋体"/>
          <w:lang w:eastAsia="zh-CN"/>
        </w:rPr>
      </w:pPr>
      <w:r>
        <w:t>一期、二期工程分别建设</w:t>
      </w:r>
      <w:r>
        <w:rPr>
          <w:rFonts w:hint="eastAsia"/>
          <w:lang w:val="en-US" w:eastAsia="zh-CN"/>
        </w:rPr>
        <w:t>5</w:t>
      </w:r>
      <w:r>
        <w:t>0000t/a</w:t>
      </w:r>
      <w:r>
        <w:rPr>
          <w:rFonts w:hint="eastAsia"/>
          <w:lang w:eastAsia="zh-CN"/>
        </w:rPr>
        <w:t>新型</w:t>
      </w:r>
      <w:r>
        <w:t>增碳剂加工生产线，原料为煅后焦（普通增碳剂）为原料。</w:t>
      </w:r>
      <w:r>
        <w:rPr>
          <w:rFonts w:hint="eastAsia"/>
          <w:lang w:eastAsia="zh-CN"/>
        </w:rPr>
        <w:t>由于一期、二期生产工艺完全相同，因此一期和二期共同分析，不在赘述。</w:t>
      </w:r>
    </w:p>
    <w:p>
      <w:pPr>
        <w:keepNext/>
        <w:keepLines/>
        <w:pageBreakBefore w:val="0"/>
        <w:widowControl w:val="0"/>
        <w:kinsoku/>
        <w:wordWrap/>
        <w:overflowPunct/>
        <w:topLinePunct w:val="0"/>
        <w:autoSpaceDE/>
        <w:autoSpaceDN/>
        <w:bidi w:val="0"/>
        <w:adjustRightInd/>
        <w:snapToGrid/>
        <w:ind w:firstLine="420" w:firstLineChars="0"/>
        <w:textAlignment w:val="auto"/>
        <w:outlineLvl w:val="9"/>
        <w:rPr>
          <w:rFonts w:hint="default"/>
          <w:b/>
          <w:bCs/>
          <w:lang w:val="en-US" w:eastAsia="zh-CN"/>
        </w:rPr>
      </w:pPr>
      <w:r>
        <w:rPr>
          <w:rFonts w:hint="eastAsia"/>
          <w:b/>
          <w:bCs/>
          <w:lang w:val="en-US" w:eastAsia="zh-CN"/>
        </w:rPr>
        <w:t>一期/二期新型增碳剂生产工艺流程及产污环节分析：</w:t>
      </w:r>
    </w:p>
    <w:p>
      <w:pPr>
        <w:bidi w:val="0"/>
        <w:rPr>
          <w:rFonts w:hint="eastAsia"/>
          <w:lang w:eastAsia="zh-CN"/>
        </w:rPr>
      </w:pPr>
      <w:r>
        <w:rPr>
          <w:rFonts w:hint="eastAsia"/>
          <w:lang w:eastAsia="zh-CN"/>
        </w:rPr>
        <w:fldChar w:fldCharType="begin"/>
      </w:r>
      <w:r>
        <w:rPr>
          <w:rFonts w:hint="eastAsia"/>
          <w:lang w:eastAsia="zh-CN"/>
        </w:rPr>
        <w:instrText xml:space="preserve"> = 1 \* GB2 \* MERGEFORMAT </w:instrText>
      </w:r>
      <w:r>
        <w:rPr>
          <w:rFonts w:hint="eastAsia"/>
          <w:lang w:eastAsia="zh-CN"/>
        </w:rPr>
        <w:fldChar w:fldCharType="separate"/>
      </w:r>
      <w:r>
        <w:t>⑴</w:t>
      </w:r>
      <w:r>
        <w:rPr>
          <w:rFonts w:hint="eastAsia"/>
          <w:lang w:eastAsia="zh-CN"/>
        </w:rPr>
        <w:fldChar w:fldCharType="end"/>
      </w:r>
      <w:r>
        <w:rPr>
          <w:rFonts w:hint="eastAsia"/>
          <w:lang w:eastAsia="zh-CN"/>
        </w:rPr>
        <w:t>原料贮运</w:t>
      </w:r>
    </w:p>
    <w:p>
      <w:pPr>
        <w:bidi w:val="0"/>
        <w:rPr>
          <w:rFonts w:hint="eastAsia"/>
          <w:lang w:eastAsia="zh-CN"/>
        </w:rPr>
      </w:pPr>
      <w:r>
        <w:rPr>
          <w:rFonts w:hint="eastAsia"/>
          <w:lang w:eastAsia="zh-CN"/>
        </w:rPr>
        <w:t>煅后焦以吨袋形式由汽车运输进入厂区，通过叉车卸入车间一（一期）</w:t>
      </w:r>
      <w:r>
        <w:rPr>
          <w:rFonts w:hint="eastAsia"/>
          <w:lang w:val="en-US" w:eastAsia="zh-CN"/>
        </w:rPr>
        <w:t>/车间二（二期）</w:t>
      </w:r>
      <w:r>
        <w:rPr>
          <w:rFonts w:hint="eastAsia"/>
          <w:lang w:eastAsia="zh-CN"/>
        </w:rPr>
        <w:t>的原料堆放区，由于原料密闭包装，因此此工序无污染产生。</w:t>
      </w:r>
    </w:p>
    <w:p>
      <w:pPr>
        <w:bidi w:val="0"/>
        <w:rPr>
          <w:rFonts w:hint="eastAsia"/>
          <w:lang w:eastAsia="zh-CN"/>
        </w:rPr>
      </w:pPr>
      <w:r>
        <w:rPr>
          <w:rFonts w:hint="eastAsia"/>
          <w:lang w:eastAsia="zh-CN"/>
        </w:rPr>
        <w:fldChar w:fldCharType="begin"/>
      </w:r>
      <w:r>
        <w:rPr>
          <w:rFonts w:hint="eastAsia"/>
          <w:lang w:eastAsia="zh-CN"/>
        </w:rPr>
        <w:instrText xml:space="preserve"> = 2 \* GB2 \* MERGEFORMAT </w:instrText>
      </w:r>
      <w:r>
        <w:rPr>
          <w:rFonts w:hint="eastAsia"/>
          <w:lang w:eastAsia="zh-CN"/>
        </w:rPr>
        <w:fldChar w:fldCharType="separate"/>
      </w:r>
      <w:r>
        <w:t>⑵</w:t>
      </w:r>
      <w:r>
        <w:rPr>
          <w:rFonts w:hint="eastAsia"/>
          <w:lang w:eastAsia="zh-CN"/>
        </w:rPr>
        <w:fldChar w:fldCharType="end"/>
      </w:r>
      <w:r>
        <w:rPr>
          <w:rFonts w:hint="eastAsia"/>
          <w:lang w:eastAsia="zh-CN"/>
        </w:rPr>
        <w:t>进料</w:t>
      </w:r>
    </w:p>
    <w:p>
      <w:pPr>
        <w:bidi w:val="0"/>
        <w:rPr>
          <w:rFonts w:hint="eastAsia"/>
          <w:lang w:eastAsia="zh-CN"/>
        </w:rPr>
      </w:pPr>
      <w:r>
        <w:rPr>
          <w:rFonts w:hint="eastAsia"/>
          <w:lang w:eastAsia="zh-CN"/>
        </w:rPr>
        <w:t>车间配有航吊，将吨袋原料吊到炉顶的料仓，吨袋拆封，原料由料仓进料口进入料仓，料仓进料口两侧设置集尘罩，</w:t>
      </w:r>
      <w:r>
        <w:t>煅后焦原料经料</w:t>
      </w:r>
      <w:r>
        <w:rPr>
          <w:rFonts w:hint="eastAsia"/>
          <w:lang w:eastAsia="zh-CN"/>
        </w:rPr>
        <w:t>仓</w:t>
      </w:r>
      <w:r>
        <w:t>下的溜管依自重连续不断的流入炉内腔</w:t>
      </w:r>
      <w:r>
        <w:rPr>
          <w:rFonts w:hint="eastAsia"/>
          <w:lang w:eastAsia="zh-CN"/>
        </w:rPr>
        <w:t>。</w:t>
      </w:r>
    </w:p>
    <w:p>
      <w:pPr>
        <w:bidi w:val="0"/>
        <w:rPr>
          <w:rFonts w:hint="eastAsia"/>
          <w:lang w:eastAsia="zh-CN"/>
        </w:rPr>
      </w:pPr>
      <w:r>
        <w:rPr>
          <w:rFonts w:hint="eastAsia"/>
          <w:lang w:eastAsia="zh-CN"/>
        </w:rPr>
        <w:fldChar w:fldCharType="begin"/>
      </w:r>
      <w:r>
        <w:rPr>
          <w:rFonts w:hint="eastAsia"/>
          <w:lang w:eastAsia="zh-CN"/>
        </w:rPr>
        <w:instrText xml:space="preserve"> = 3 \* GB2 \* MERGEFORMAT </w:instrText>
      </w:r>
      <w:r>
        <w:rPr>
          <w:rFonts w:hint="eastAsia"/>
          <w:lang w:eastAsia="zh-CN"/>
        </w:rPr>
        <w:fldChar w:fldCharType="separate"/>
      </w:r>
      <w:r>
        <w:t>⑶</w:t>
      </w:r>
      <w:r>
        <w:rPr>
          <w:rFonts w:hint="eastAsia"/>
          <w:lang w:eastAsia="zh-CN"/>
        </w:rPr>
        <w:fldChar w:fldCharType="end"/>
      </w:r>
      <w:r>
        <w:rPr>
          <w:rFonts w:hint="eastAsia"/>
          <w:lang w:eastAsia="zh-CN"/>
        </w:rPr>
        <w:t>电煅、冷却</w:t>
      </w:r>
    </w:p>
    <w:p>
      <w:pPr>
        <w:bidi w:val="0"/>
      </w:pPr>
      <w:r>
        <w:rPr>
          <w:rFonts w:hint="eastAsia"/>
          <w:b/>
          <w:bCs/>
          <w:lang w:eastAsia="zh-CN"/>
        </w:rPr>
        <w:t>埋弧电煅炉</w:t>
      </w:r>
      <w:r>
        <w:rPr>
          <w:rFonts w:hint="eastAsia"/>
          <w:lang w:eastAsia="zh-CN"/>
        </w:rPr>
        <w:t>：</w:t>
      </w:r>
      <w:r>
        <w:t>生产过程实行全封闭运行，上部进料</w:t>
      </w:r>
      <w:r>
        <w:rPr>
          <w:rFonts w:hint="eastAsia"/>
          <w:lang w:eastAsia="zh-CN"/>
        </w:rPr>
        <w:t>预热</w:t>
      </w:r>
      <w:r>
        <w:t>、中部高温处理、下部循环水</w:t>
      </w:r>
      <w:r>
        <w:rPr>
          <w:rFonts w:hint="eastAsia"/>
          <w:lang w:eastAsia="zh-CN"/>
        </w:rPr>
        <w:t>间接</w:t>
      </w:r>
      <w:r>
        <w:t>冷却降温</w:t>
      </w:r>
      <w:r>
        <w:rPr>
          <w:rFonts w:hint="eastAsia"/>
          <w:lang w:eastAsia="zh-CN"/>
        </w:rPr>
        <w:t>，</w:t>
      </w:r>
      <w:r>
        <w:t>在中部进行高温煅烧</w:t>
      </w:r>
      <w:r>
        <w:rPr>
          <w:rFonts w:hint="eastAsia"/>
          <w:lang w:eastAsia="zh-CN"/>
        </w:rPr>
        <w:t>。</w:t>
      </w:r>
      <w:r>
        <w:t>在与炉烟道相连接的风机作用下，炉内保持着微负压，空气由观察孔进入，通过炉上部空腔将烟气带走，经烟道排出，烟气不会外溢。</w:t>
      </w:r>
    </w:p>
    <w:p>
      <w:pPr>
        <w:bidi w:val="0"/>
        <w:rPr>
          <w:rFonts w:hint="eastAsia"/>
          <w:lang w:val="en-US" w:eastAsia="zh-CN"/>
        </w:rPr>
      </w:pPr>
      <w:r>
        <w:rPr>
          <w:rFonts w:hint="eastAsia"/>
          <w:lang w:val="en-US" w:eastAsia="zh-CN"/>
        </w:rPr>
        <w:t>埋弧电煅</w:t>
      </w:r>
      <w:r>
        <w:rPr>
          <w:rFonts w:hint="default"/>
          <w:lang w:val="en-US" w:eastAsia="zh-CN"/>
        </w:rPr>
        <w:t>炉运行总体特点为大电流、低电压。加热靠炉体前后</w:t>
      </w:r>
      <w:r>
        <w:rPr>
          <w:rFonts w:hint="eastAsia"/>
          <w:lang w:val="en-US" w:eastAsia="zh-CN"/>
        </w:rPr>
        <w:t>的石墨</w:t>
      </w:r>
      <w:r>
        <w:rPr>
          <w:rFonts w:hint="default"/>
          <w:lang w:val="en-US" w:eastAsia="zh-CN"/>
        </w:rPr>
        <w:t>电极</w:t>
      </w:r>
      <w:r>
        <w:rPr>
          <w:rFonts w:hint="eastAsia"/>
          <w:lang w:val="en-US" w:eastAsia="zh-CN"/>
        </w:rPr>
        <w:t>（一次性投入，大修时更换）</w:t>
      </w:r>
      <w:r>
        <w:rPr>
          <w:rFonts w:hint="default"/>
          <w:lang w:val="en-US" w:eastAsia="zh-CN"/>
        </w:rPr>
        <w:t>通过加热来完成，根据制定的升温曲线依次加大电压及电流，直到加热到所要求的温度，然后调整排料的速度，取得一个最佳的电流，达到最好的产量值，然后连续生产。</w:t>
      </w:r>
    </w:p>
    <w:p>
      <w:pPr>
        <w:pStyle w:val="28"/>
        <w:keepNext/>
        <w:keepLines/>
        <w:pageBreakBefore w:val="0"/>
        <w:widowControl w:val="0"/>
        <w:kinsoku/>
        <w:wordWrap/>
        <w:overflowPunct/>
        <w:topLinePunct w:val="0"/>
        <w:autoSpaceDE/>
        <w:autoSpaceDN/>
        <w:bidi w:val="0"/>
        <w:adjustRightInd/>
        <w:snapToGrid/>
        <w:spacing w:line="240" w:lineRule="auto"/>
        <w:textAlignment w:val="auto"/>
        <w:outlineLvl w:val="9"/>
      </w:pPr>
      <w:r>
        <w:rPr>
          <w:lang w:val="en-US" w:eastAsia="zh-CN"/>
        </w:rPr>
        <w:drawing>
          <wp:inline distT="0" distB="0" distL="114300" distR="114300">
            <wp:extent cx="2886075" cy="4039235"/>
            <wp:effectExtent l="0" t="0" r="9525" b="1841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2886075" cy="4039235"/>
                    </a:xfrm>
                    <a:prstGeom prst="rect">
                      <a:avLst/>
                    </a:prstGeom>
                    <a:noFill/>
                    <a:ln w="9525">
                      <a:noFill/>
                    </a:ln>
                  </pic:spPr>
                </pic:pic>
              </a:graphicData>
            </a:graphic>
          </wp:inline>
        </w:drawing>
      </w:r>
    </w:p>
    <w:p>
      <w:pPr>
        <w:pStyle w:val="27"/>
        <w:bidi w:val="0"/>
        <w:rPr>
          <w:rFonts w:hint="default"/>
          <w:lang w:val="en-US" w:eastAsia="zh-CN"/>
        </w:rPr>
      </w:pPr>
      <w:r>
        <w:rPr>
          <w:rFonts w:hint="eastAsia"/>
          <w:lang w:val="en-US" w:eastAsia="zh-CN"/>
        </w:rPr>
        <w:t>图3.2.1-1 电煅炉结构示意图</w:t>
      </w:r>
    </w:p>
    <w:p>
      <w:pPr>
        <w:bidi w:val="0"/>
      </w:pPr>
      <w:r>
        <w:rPr>
          <w:rFonts w:hint="eastAsia"/>
          <w:b/>
          <w:bCs/>
          <w:lang w:val="en-US" w:eastAsia="zh-CN"/>
        </w:rPr>
        <w:t>预热</w:t>
      </w:r>
      <w:r>
        <w:rPr>
          <w:rFonts w:hint="eastAsia"/>
          <w:lang w:val="en-US" w:eastAsia="zh-CN"/>
        </w:rPr>
        <w:t>：原料在预热段加热约1000℃，</w:t>
      </w:r>
      <w:r>
        <w:t>煅后焦中残留的少量挥发分被析出，并与空气反应生成水和CO</w:t>
      </w:r>
      <w:r>
        <w:rPr>
          <w:vertAlign w:val="subscript"/>
        </w:rPr>
        <w:t>2</w:t>
      </w:r>
      <w:r>
        <w:t>。但由于接触时间短、接触面积少，且煅后焦性质比较稳定，因此消耗量较少，根据建设单位提供的数据，该过程中原料煅后焦中碳损失量约为0.1</w:t>
      </w:r>
      <w:r>
        <w:rPr>
          <w:rFonts w:hint="eastAsia"/>
          <w:lang w:val="en-US" w:eastAsia="zh-CN"/>
        </w:rPr>
        <w:t>5</w:t>
      </w:r>
      <w:r>
        <w:t>%。</w:t>
      </w:r>
    </w:p>
    <w:p>
      <w:pPr>
        <w:bidi w:val="0"/>
        <w:rPr>
          <w:rFonts w:hint="eastAsia"/>
          <w:lang w:eastAsia="zh-CN"/>
        </w:rPr>
      </w:pPr>
      <w:r>
        <w:rPr>
          <w:rFonts w:hint="eastAsia"/>
          <w:b/>
          <w:bCs/>
          <w:lang w:eastAsia="zh-CN"/>
        </w:rPr>
        <w:t>煅烧</w:t>
      </w:r>
      <w:r>
        <w:rPr>
          <w:rFonts w:hint="eastAsia"/>
          <w:lang w:eastAsia="zh-CN"/>
        </w:rPr>
        <w:t>：</w:t>
      </w:r>
      <w:r>
        <w:t>再进入高温区，在高温区经历相变和排出硫、氮等杂质转化为</w:t>
      </w:r>
      <w:r>
        <w:rPr>
          <w:rFonts w:hint="eastAsia"/>
          <w:lang w:eastAsia="zh-CN"/>
        </w:rPr>
        <w:t>新型</w:t>
      </w:r>
      <w:r>
        <w:t>增碳剂</w:t>
      </w:r>
      <w:r>
        <w:rPr>
          <w:rFonts w:hint="eastAsia"/>
          <w:lang w:eastAsia="zh-CN"/>
        </w:rPr>
        <w:t>，</w:t>
      </w:r>
      <w:r>
        <w:t>后利用自重进入炉体下部的高温缓冲段。炽热的增碳剂在高温缓冲段上部保温（2400</w:t>
      </w:r>
      <w:r>
        <w:rPr>
          <w:rFonts w:hint="eastAsia"/>
        </w:rPr>
        <w:t>℃</w:t>
      </w:r>
      <w:r>
        <w:t>左右）一段时间进一步排除杂质并使物料达到均质</w:t>
      </w:r>
      <w:r>
        <w:rPr>
          <w:rFonts w:hint="eastAsia"/>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sz w:val="28"/>
          <w:lang w:eastAsia="zh-CN"/>
        </w:rPr>
      </w:pPr>
      <w:r>
        <w:t>在高温条件下，煅后焦中的硫元素和杂质（灰分）在1600</w:t>
      </w:r>
      <w:r>
        <w:rPr>
          <w:rFonts w:hint="eastAsia"/>
        </w:rPr>
        <w:t>℃</w:t>
      </w:r>
      <w:r>
        <w:t>开始，以S单质、</w:t>
      </w:r>
      <w:r>
        <w:rPr>
          <w:sz w:val="28"/>
        </w:rPr>
        <w:t>碳-硫化合物和其他硫化合物形式脱出，1800</w:t>
      </w:r>
      <w:r>
        <w:rPr>
          <w:rFonts w:hint="eastAsia"/>
          <w:sz w:val="28"/>
        </w:rPr>
        <w:t>℃</w:t>
      </w:r>
      <w:r>
        <w:rPr>
          <w:sz w:val="28"/>
        </w:rPr>
        <w:t>时开始大量脱出。脱出的S份与炉内空气立即发生发生，生成SO</w:t>
      </w:r>
      <w:r>
        <w:rPr>
          <w:sz w:val="28"/>
          <w:vertAlign w:val="subscript"/>
        </w:rPr>
        <w:t>2</w:t>
      </w:r>
      <w:r>
        <w:rPr>
          <w:rFonts w:hint="eastAsia"/>
          <w:sz w:val="28"/>
          <w:vertAlign w:val="baseline"/>
          <w:lang w:eastAsia="zh-CN"/>
        </w:rPr>
        <w:t>。</w:t>
      </w:r>
      <w:r>
        <w:rPr>
          <w:color w:val="000000"/>
          <w:sz w:val="28"/>
        </w:rPr>
        <w:t>在高温条件下，煅后焦中残留的少量挥发分被析出，并与空气反应生成水和CO</w:t>
      </w:r>
      <w:r>
        <w:rPr>
          <w:color w:val="000000"/>
          <w:sz w:val="28"/>
          <w:vertAlign w:val="subscript"/>
        </w:rPr>
        <w:t>2</w:t>
      </w:r>
      <w:r>
        <w:rPr>
          <w:rFonts w:hint="eastAsia"/>
          <w:sz w:val="28"/>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sz w:val="28"/>
          <w:lang w:eastAsia="zh-CN"/>
        </w:rPr>
      </w:pPr>
      <w:r>
        <w:rPr>
          <w:sz w:val="28"/>
        </w:rPr>
        <w:t>在内部循环冷却水和外部循环冷却水套的双重作用下逐渐冷却至200</w:t>
      </w:r>
      <w:r>
        <w:rPr>
          <w:rFonts w:hint="eastAsia"/>
          <w:sz w:val="28"/>
        </w:rPr>
        <w:t>℃</w:t>
      </w:r>
      <w:r>
        <w:rPr>
          <w:sz w:val="28"/>
        </w:rPr>
        <w:t>以下。</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sz w:val="28"/>
          <w:lang w:eastAsia="zh-CN"/>
        </w:rPr>
      </w:pPr>
      <w:r>
        <w:rPr>
          <w:sz w:val="28"/>
        </w:rPr>
        <w:fldChar w:fldCharType="begin"/>
      </w:r>
      <w:r>
        <w:rPr>
          <w:sz w:val="28"/>
        </w:rPr>
        <w:instrText xml:space="preserve"> = 4 \* GB2 \* MERGEFORMAT </w:instrText>
      </w:r>
      <w:r>
        <w:rPr>
          <w:sz w:val="28"/>
        </w:rPr>
        <w:fldChar w:fldCharType="separate"/>
      </w:r>
      <w:r>
        <w:rPr>
          <w:sz w:val="28"/>
        </w:rPr>
        <w:t>⑷</w:t>
      </w:r>
      <w:r>
        <w:rPr>
          <w:sz w:val="28"/>
        </w:rPr>
        <w:fldChar w:fldCharType="end"/>
      </w:r>
      <w:r>
        <w:rPr>
          <w:rFonts w:hint="eastAsia"/>
          <w:sz w:val="28"/>
          <w:lang w:eastAsia="zh-CN"/>
        </w:rPr>
        <w:t>排料</w:t>
      </w:r>
    </w:p>
    <w:p>
      <w:pPr>
        <w:bidi w:val="0"/>
      </w:pPr>
      <w:r>
        <w:t>冷却后的物料通过</w:t>
      </w:r>
      <w:r>
        <w:rPr>
          <w:rFonts w:hint="eastAsia"/>
          <w:lang w:eastAsia="zh-CN"/>
        </w:rPr>
        <w:t>密闭排料器</w:t>
      </w:r>
      <w:r>
        <w:t>从炉底连续排出。</w:t>
      </w:r>
    </w:p>
    <w:p>
      <w:pPr>
        <w:bidi w:val="0"/>
      </w:pPr>
      <w:r>
        <w:fldChar w:fldCharType="begin"/>
      </w:r>
      <w:r>
        <w:instrText xml:space="preserve"> = 5 \* GB2 \* MERGEFORMAT </w:instrText>
      </w:r>
      <w:r>
        <w:fldChar w:fldCharType="separate"/>
      </w:r>
      <w:r>
        <w:t>⑸</w:t>
      </w:r>
      <w:r>
        <w:fldChar w:fldCharType="end"/>
      </w:r>
      <w:r>
        <w:rPr>
          <w:rFonts w:hint="eastAsia"/>
          <w:lang w:val="en-US" w:eastAsia="zh-CN"/>
        </w:rPr>
        <w:t>中间包装</w:t>
      </w:r>
    </w:p>
    <w:p>
      <w:pPr>
        <w:bidi w:val="0"/>
      </w:pPr>
      <w:r>
        <w:t>炉窑的排料是连续不断的，主要控制其每分钟的排料量，排料溜管下部设有缓冲仓，该仓设置连续计重装置，经斗提机及</w:t>
      </w:r>
      <w:r>
        <w:rPr>
          <w:rFonts w:hint="eastAsia"/>
          <w:lang w:eastAsia="zh-CN"/>
        </w:rPr>
        <w:t>运输机</w:t>
      </w:r>
      <w:r>
        <w:t>输送至指定的半成品仓</w:t>
      </w:r>
      <w:r>
        <w:rPr>
          <w:rFonts w:hint="eastAsia"/>
          <w:lang w:val="en-US" w:eastAsia="zh-CN"/>
        </w:rPr>
        <w:t>1</w:t>
      </w:r>
      <w:r>
        <w:t>。</w:t>
      </w:r>
    </w:p>
    <w:p>
      <w:pPr>
        <w:bidi w:val="0"/>
        <w:rPr>
          <w:rFonts w:hint="default"/>
          <w:lang w:val="en-US" w:eastAsia="zh-CN"/>
        </w:rPr>
      </w:pPr>
      <w:r>
        <w:rPr>
          <w:rFonts w:hint="eastAsia"/>
          <w:lang w:val="en-US" w:eastAsia="zh-CN"/>
        </w:rPr>
        <w:t>在</w:t>
      </w:r>
      <w:r>
        <w:t>半成品仓</w:t>
      </w:r>
      <w:r>
        <w:rPr>
          <w:rFonts w:hint="eastAsia"/>
          <w:lang w:val="en-US" w:eastAsia="zh-CN"/>
        </w:rPr>
        <w:t>1底部设置排料口，对下排物料进行吨袋包装封口，用叉车运至破碎车间</w:t>
      </w:r>
      <w:r>
        <w:rPr>
          <w:rFonts w:hint="default"/>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eastAsia="zh-CN"/>
        </w:rPr>
        <w:fldChar w:fldCharType="begin"/>
      </w:r>
      <w:r>
        <w:rPr>
          <w:rFonts w:hint="eastAsia"/>
          <w:lang w:eastAsia="zh-CN"/>
        </w:rPr>
        <w:instrText xml:space="preserve"> = 6 \* GB2 \* MERGEFORMAT </w:instrText>
      </w:r>
      <w:r>
        <w:rPr>
          <w:rFonts w:hint="eastAsia"/>
          <w:lang w:eastAsia="zh-CN"/>
        </w:rPr>
        <w:fldChar w:fldCharType="separate"/>
      </w:r>
      <w:r>
        <w:t>⑹</w:t>
      </w:r>
      <w:r>
        <w:rPr>
          <w:rFonts w:hint="eastAsia"/>
          <w:lang w:eastAsia="zh-CN"/>
        </w:rPr>
        <w:fldChar w:fldCharType="end"/>
      </w:r>
      <w:r>
        <w:rPr>
          <w:rFonts w:hint="eastAsia"/>
          <w:lang w:eastAsia="zh-CN"/>
        </w:rPr>
        <w:t>半成品仓</w:t>
      </w:r>
      <w:r>
        <w:rPr>
          <w:rFonts w:hint="eastAsia"/>
          <w:lang w:val="en-US" w:eastAsia="zh-CN"/>
        </w:rPr>
        <w:t>2、破碎、筛分、检测和包装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eastAsia="zh-CN"/>
        </w:rPr>
      </w:pPr>
      <w:r>
        <w:rPr>
          <w:rFonts w:hint="eastAsia"/>
          <w:lang w:eastAsia="zh-CN"/>
        </w:rPr>
        <w:t>破碎车间配有航吊，将吨袋半成品吊到半成品仓</w:t>
      </w:r>
      <w:r>
        <w:rPr>
          <w:rFonts w:hint="eastAsia"/>
          <w:lang w:val="en-US" w:eastAsia="zh-CN"/>
        </w:rPr>
        <w:t>2进料口</w:t>
      </w:r>
      <w:r>
        <w:rPr>
          <w:rFonts w:hint="eastAsia"/>
          <w:lang w:eastAsia="zh-CN"/>
        </w:rPr>
        <w:t>，吨袋拆封，由进料口进入半成品仓</w:t>
      </w:r>
      <w:r>
        <w:rPr>
          <w:rFonts w:hint="eastAsia"/>
          <w:lang w:val="en-US" w:eastAsia="zh-CN"/>
        </w:rPr>
        <w:t>2</w:t>
      </w:r>
      <w:r>
        <w:rPr>
          <w:rFonts w:hint="eastAsia"/>
          <w:lang w:eastAsia="zh-CN"/>
        </w:rPr>
        <w:t>，进料口两侧设置集尘罩。</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lang w:eastAsia="zh-CN"/>
        </w:rPr>
        <w:t>半成品仓</w:t>
      </w:r>
      <w:r>
        <w:rPr>
          <w:rFonts w:hint="eastAsia"/>
          <w:lang w:val="en-US" w:eastAsia="zh-CN"/>
        </w:rPr>
        <w:t>2内的物料通过密闭管道输送至对辊破碎机进行破碎，破碎后的物料由密闭斗提机输送至筛分机对破碎后的物料进行筛分，全过程密闭。</w:t>
      </w:r>
      <w:r>
        <w:t>生产过程中不会产生外溢扬尘。</w:t>
      </w:r>
    </w:p>
    <w:p>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lang w:eastAsia="zh-CN"/>
        </w:rPr>
        <w:t>筛分机出口设包装机，</w:t>
      </w:r>
      <w:r>
        <w:t>包装机下料口设有</w:t>
      </w:r>
      <w:r>
        <w:rPr>
          <w:rFonts w:hint="eastAsia"/>
          <w:lang w:eastAsia="zh-CN"/>
        </w:rPr>
        <w:t>集</w:t>
      </w:r>
      <w:r>
        <w:t>尘罩，粉尘废气经布袋除尘装置处理后排放。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eastAsia="zh-CN"/>
        </w:rPr>
      </w:pPr>
      <w:r>
        <w:rPr>
          <w:rFonts w:hint="eastAsia"/>
          <w:lang w:val="en-US" w:eastAsia="zh-CN"/>
        </w:rPr>
        <w:t>产污环节分析</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eastAsia="zh-CN"/>
        </w:rPr>
      </w:pPr>
      <w:r>
        <w:rPr>
          <w:rFonts w:hint="eastAsia"/>
          <w:lang w:eastAsia="zh-CN"/>
        </w:rPr>
        <w:fldChar w:fldCharType="begin"/>
      </w:r>
      <w:r>
        <w:rPr>
          <w:rFonts w:hint="eastAsia"/>
          <w:lang w:eastAsia="zh-CN"/>
        </w:rPr>
        <w:instrText xml:space="preserve"> = 1 \* GB2 \* MERGEFORMAT </w:instrText>
      </w:r>
      <w:r>
        <w:rPr>
          <w:rFonts w:hint="eastAsia"/>
          <w:lang w:eastAsia="zh-CN"/>
        </w:rPr>
        <w:fldChar w:fldCharType="separate"/>
      </w:r>
      <w:r>
        <w:t>⑴</w:t>
      </w:r>
      <w:r>
        <w:rPr>
          <w:rFonts w:hint="eastAsia"/>
          <w:lang w:eastAsia="zh-CN"/>
        </w:rPr>
        <w:fldChar w:fldCharType="end"/>
      </w:r>
      <w:r>
        <w:rPr>
          <w:rFonts w:hint="eastAsia"/>
          <w:lang w:eastAsia="zh-CN"/>
        </w:rPr>
        <w:t>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eastAsia="zh-CN"/>
        </w:rPr>
        <w:fldChar w:fldCharType="begin"/>
      </w:r>
      <w:r>
        <w:rPr>
          <w:rFonts w:hint="eastAsia"/>
          <w:lang w:eastAsia="zh-CN"/>
        </w:rPr>
        <w:instrText xml:space="preserve"> = 1 \* GB3 \* MERGEFORMAT </w:instrText>
      </w:r>
      <w:r>
        <w:rPr>
          <w:rFonts w:hint="eastAsia"/>
          <w:lang w:eastAsia="zh-CN"/>
        </w:rPr>
        <w:fldChar w:fldCharType="separate"/>
      </w:r>
      <w:r>
        <w:t>①</w:t>
      </w:r>
      <w:r>
        <w:rPr>
          <w:rFonts w:hint="eastAsia"/>
          <w:lang w:eastAsia="zh-CN"/>
        </w:rPr>
        <w:fldChar w:fldCharType="end"/>
      </w:r>
      <w:r>
        <w:rPr>
          <w:rFonts w:hint="eastAsia"/>
          <w:lang w:eastAsia="zh-CN"/>
        </w:rPr>
        <w:t>进料废气</w:t>
      </w:r>
      <w:r>
        <w:rPr>
          <w:rFonts w:hint="eastAsia"/>
          <w:lang w:val="en-US" w:eastAsia="zh-CN"/>
        </w:rPr>
        <w:t>G</w:t>
      </w:r>
      <w:r>
        <w:rPr>
          <w:rFonts w:hint="eastAsia"/>
          <w:vertAlign w:val="subscript"/>
          <w:lang w:val="en-US" w:eastAsia="zh-CN"/>
        </w:rPr>
        <w:t>1-1</w:t>
      </w:r>
      <w:r>
        <w:rPr>
          <w:rFonts w:hint="eastAsia"/>
          <w:lang w:val="en-US" w:eastAsia="zh-CN"/>
        </w:rPr>
        <w:t>和集尘罩未捕集的无组织废气G</w:t>
      </w:r>
      <w:r>
        <w:rPr>
          <w:rFonts w:hint="eastAsia"/>
          <w:vertAlign w:val="subscript"/>
          <w:lang w:val="en-US" w:eastAsia="zh-CN"/>
        </w:rPr>
        <w:t>U1-1</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fldChar w:fldCharType="begin"/>
      </w:r>
      <w:r>
        <w:rPr>
          <w:rFonts w:hint="eastAsia"/>
          <w:lang w:val="en-US" w:eastAsia="zh-CN"/>
        </w:rPr>
        <w:instrText xml:space="preserve"> = 2 \* GB3 \* MERGEFORMAT </w:instrText>
      </w:r>
      <w:r>
        <w:rPr>
          <w:rFonts w:hint="eastAsia"/>
          <w:lang w:val="en-US" w:eastAsia="zh-CN"/>
        </w:rPr>
        <w:fldChar w:fldCharType="separate"/>
      </w:r>
      <w:r>
        <w:t>②</w:t>
      </w:r>
      <w:r>
        <w:rPr>
          <w:rFonts w:hint="eastAsia"/>
          <w:lang w:val="en-US" w:eastAsia="zh-CN"/>
        </w:rPr>
        <w:fldChar w:fldCharType="end"/>
      </w:r>
      <w:r>
        <w:rPr>
          <w:rFonts w:hint="eastAsia"/>
          <w:lang w:val="en-US" w:eastAsia="zh-CN"/>
        </w:rPr>
        <w:t>电煅废气G</w:t>
      </w:r>
      <w:r>
        <w:rPr>
          <w:rFonts w:hint="eastAsia"/>
          <w:vertAlign w:val="subscript"/>
          <w:lang w:val="en-US" w:eastAsia="zh-CN"/>
        </w:rPr>
        <w:t>1-2</w:t>
      </w:r>
      <w:r>
        <w:rPr>
          <w:rFonts w:hint="eastAsia"/>
          <w:lang w:val="en-US" w:eastAsia="zh-CN"/>
        </w:rPr>
        <w:t>:主要污染物为烟尘、SO</w:t>
      </w:r>
      <w:r>
        <w:rPr>
          <w:rFonts w:hint="eastAsia"/>
          <w:vertAlign w:val="subscript"/>
          <w:lang w:val="en-US" w:eastAsia="zh-CN"/>
        </w:rPr>
        <w:t>2</w:t>
      </w:r>
      <w:r>
        <w:rPr>
          <w:rFonts w:hint="eastAsia"/>
          <w:lang w:val="en-US" w:eastAsia="zh-CN"/>
        </w:rPr>
        <w:t>、NOx；</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fldChar w:fldCharType="begin"/>
      </w:r>
      <w:r>
        <w:rPr>
          <w:rFonts w:hint="eastAsia"/>
          <w:lang w:val="en-US" w:eastAsia="zh-CN"/>
        </w:rPr>
        <w:instrText xml:space="preserve"> = 3 \* GB3 \* MERGEFORMAT </w:instrText>
      </w:r>
      <w:r>
        <w:rPr>
          <w:rFonts w:hint="eastAsia"/>
          <w:lang w:val="en-US" w:eastAsia="zh-CN"/>
        </w:rPr>
        <w:fldChar w:fldCharType="separate"/>
      </w:r>
      <w:r>
        <w:t>③</w:t>
      </w:r>
      <w:r>
        <w:rPr>
          <w:rFonts w:hint="eastAsia"/>
          <w:lang w:val="en-US" w:eastAsia="zh-CN"/>
        </w:rPr>
        <w:fldChar w:fldCharType="end"/>
      </w:r>
      <w:r>
        <w:rPr>
          <w:rFonts w:hint="eastAsia"/>
          <w:lang w:val="en-US" w:eastAsia="zh-CN"/>
        </w:rPr>
        <w:t>冷却排料废气G</w:t>
      </w:r>
      <w:r>
        <w:rPr>
          <w:rFonts w:hint="eastAsia"/>
          <w:vertAlign w:val="subscript"/>
          <w:lang w:val="en-US" w:eastAsia="zh-CN"/>
        </w:rPr>
        <w:t>1-3</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eastAsia="zh-CN"/>
        </w:rPr>
        <w:fldChar w:fldCharType="begin"/>
      </w:r>
      <w:r>
        <w:rPr>
          <w:rFonts w:hint="eastAsia"/>
          <w:lang w:eastAsia="zh-CN"/>
        </w:rPr>
        <w:instrText xml:space="preserve"> = 4 \* GB3 \* MERGEFORMAT </w:instrText>
      </w:r>
      <w:r>
        <w:rPr>
          <w:rFonts w:hint="eastAsia"/>
          <w:lang w:eastAsia="zh-CN"/>
        </w:rPr>
        <w:fldChar w:fldCharType="separate"/>
      </w:r>
      <w:r>
        <w:t>④</w:t>
      </w:r>
      <w:r>
        <w:rPr>
          <w:rFonts w:hint="eastAsia"/>
          <w:lang w:eastAsia="zh-CN"/>
        </w:rPr>
        <w:fldChar w:fldCharType="end"/>
      </w:r>
      <w:r>
        <w:rPr>
          <w:rFonts w:hint="eastAsia"/>
          <w:lang w:eastAsia="zh-CN"/>
        </w:rPr>
        <w:t>中间包装废气</w:t>
      </w:r>
      <w:r>
        <w:rPr>
          <w:rFonts w:hint="eastAsia"/>
          <w:lang w:val="en-US" w:eastAsia="zh-CN"/>
        </w:rPr>
        <w:t>G</w:t>
      </w:r>
      <w:r>
        <w:rPr>
          <w:rFonts w:hint="eastAsia"/>
          <w:vertAlign w:val="subscript"/>
          <w:lang w:val="en-US" w:eastAsia="zh-CN"/>
        </w:rPr>
        <w:t>1-4</w:t>
      </w:r>
      <w:r>
        <w:rPr>
          <w:rFonts w:hint="eastAsia"/>
          <w:lang w:val="en-US" w:eastAsia="zh-CN"/>
        </w:rPr>
        <w:t>和集尘罩未捕集的无组织废气G</w:t>
      </w:r>
      <w:r>
        <w:rPr>
          <w:rFonts w:hint="eastAsia"/>
          <w:vertAlign w:val="subscript"/>
          <w:lang w:val="en-US" w:eastAsia="zh-CN"/>
        </w:rPr>
        <w:t>U1-2</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eastAsia="zh-CN"/>
        </w:rPr>
        <w:fldChar w:fldCharType="begin"/>
      </w:r>
      <w:r>
        <w:rPr>
          <w:rFonts w:hint="eastAsia"/>
          <w:lang w:eastAsia="zh-CN"/>
        </w:rPr>
        <w:instrText xml:space="preserve"> = 5 \* GB3 \* MERGEFORMAT </w:instrText>
      </w:r>
      <w:r>
        <w:rPr>
          <w:rFonts w:hint="eastAsia"/>
          <w:lang w:eastAsia="zh-CN"/>
        </w:rPr>
        <w:fldChar w:fldCharType="separate"/>
      </w:r>
      <w:r>
        <w:t>⑤</w:t>
      </w:r>
      <w:r>
        <w:rPr>
          <w:rFonts w:hint="eastAsia"/>
          <w:lang w:eastAsia="zh-CN"/>
        </w:rPr>
        <w:fldChar w:fldCharType="end"/>
      </w:r>
      <w:r>
        <w:rPr>
          <w:rFonts w:hint="eastAsia"/>
          <w:lang w:eastAsia="zh-CN"/>
        </w:rPr>
        <w:t>半成品仓</w:t>
      </w:r>
      <w:r>
        <w:rPr>
          <w:rFonts w:hint="eastAsia"/>
          <w:lang w:val="en-US" w:eastAsia="zh-CN"/>
        </w:rPr>
        <w:t>2</w:t>
      </w:r>
      <w:r>
        <w:rPr>
          <w:rFonts w:hint="eastAsia"/>
          <w:lang w:eastAsia="zh-CN"/>
        </w:rPr>
        <w:t>废气</w:t>
      </w:r>
      <w:r>
        <w:rPr>
          <w:rFonts w:hint="eastAsia"/>
          <w:lang w:val="en-US" w:eastAsia="zh-CN"/>
        </w:rPr>
        <w:t>G</w:t>
      </w:r>
      <w:r>
        <w:rPr>
          <w:rFonts w:hint="eastAsia"/>
          <w:vertAlign w:val="subscript"/>
          <w:lang w:val="en-US" w:eastAsia="zh-CN"/>
        </w:rPr>
        <w:t>1-5</w:t>
      </w:r>
      <w:r>
        <w:rPr>
          <w:rFonts w:hint="eastAsia"/>
          <w:lang w:val="en-US" w:eastAsia="zh-CN"/>
        </w:rPr>
        <w:t>和集尘罩未捕集的无组织废气G</w:t>
      </w:r>
      <w:r>
        <w:rPr>
          <w:rFonts w:hint="eastAsia"/>
          <w:vertAlign w:val="subscript"/>
          <w:lang w:val="en-US" w:eastAsia="zh-CN"/>
        </w:rPr>
        <w:t>U1-3</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t>⑥</w:t>
      </w:r>
      <w:r>
        <w:rPr>
          <w:rFonts w:hint="eastAsia"/>
          <w:lang w:val="en-US" w:eastAsia="zh-CN"/>
        </w:rPr>
        <w:fldChar w:fldCharType="end"/>
      </w:r>
      <w:r>
        <w:rPr>
          <w:rFonts w:hint="eastAsia"/>
          <w:lang w:val="en-US" w:eastAsia="zh-CN"/>
        </w:rPr>
        <w:t>破碎废气G</w:t>
      </w:r>
      <w:r>
        <w:rPr>
          <w:rFonts w:hint="eastAsia"/>
          <w:vertAlign w:val="subscript"/>
          <w:lang w:val="en-US" w:eastAsia="zh-CN"/>
        </w:rPr>
        <w:t>1-6</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fldChar w:fldCharType="begin"/>
      </w:r>
      <w:r>
        <w:rPr>
          <w:rFonts w:hint="eastAsia"/>
          <w:lang w:val="en-US" w:eastAsia="zh-CN"/>
        </w:rPr>
        <w:instrText xml:space="preserve"> = 7 \* GB3 \* MERGEFORMAT </w:instrText>
      </w:r>
      <w:r>
        <w:rPr>
          <w:rFonts w:hint="eastAsia"/>
          <w:lang w:val="en-US" w:eastAsia="zh-CN"/>
        </w:rPr>
        <w:fldChar w:fldCharType="separate"/>
      </w:r>
      <w:r>
        <w:t>⑦</w:t>
      </w:r>
      <w:r>
        <w:rPr>
          <w:rFonts w:hint="eastAsia"/>
          <w:lang w:val="en-US" w:eastAsia="zh-CN"/>
        </w:rPr>
        <w:fldChar w:fldCharType="end"/>
      </w:r>
      <w:r>
        <w:rPr>
          <w:rFonts w:hint="eastAsia"/>
          <w:lang w:val="en-US" w:eastAsia="zh-CN"/>
        </w:rPr>
        <w:t>破碎废气G</w:t>
      </w:r>
      <w:r>
        <w:rPr>
          <w:rFonts w:hint="eastAsia"/>
          <w:vertAlign w:val="subscript"/>
          <w:lang w:val="en-US" w:eastAsia="zh-CN"/>
        </w:rPr>
        <w:t>1-7</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eastAsia="zh-CN"/>
        </w:rPr>
        <w:fldChar w:fldCharType="begin"/>
      </w:r>
      <w:r>
        <w:rPr>
          <w:rFonts w:hint="eastAsia"/>
          <w:lang w:eastAsia="zh-CN"/>
        </w:rPr>
        <w:instrText xml:space="preserve"> = 8 \* GB3 \* MERGEFORMAT </w:instrText>
      </w:r>
      <w:r>
        <w:rPr>
          <w:rFonts w:hint="eastAsia"/>
          <w:lang w:eastAsia="zh-CN"/>
        </w:rPr>
        <w:fldChar w:fldCharType="separate"/>
      </w:r>
      <w:r>
        <w:t>⑧</w:t>
      </w:r>
      <w:r>
        <w:rPr>
          <w:rFonts w:hint="eastAsia"/>
          <w:lang w:eastAsia="zh-CN"/>
        </w:rPr>
        <w:fldChar w:fldCharType="end"/>
      </w:r>
      <w:r>
        <w:rPr>
          <w:rFonts w:hint="eastAsia"/>
          <w:lang w:eastAsia="zh-CN"/>
        </w:rPr>
        <w:t>包装废气</w:t>
      </w:r>
      <w:r>
        <w:rPr>
          <w:rFonts w:hint="eastAsia"/>
          <w:lang w:val="en-US" w:eastAsia="zh-CN"/>
        </w:rPr>
        <w:t>G</w:t>
      </w:r>
      <w:r>
        <w:rPr>
          <w:rFonts w:hint="eastAsia"/>
          <w:vertAlign w:val="subscript"/>
          <w:lang w:val="en-US" w:eastAsia="zh-CN"/>
        </w:rPr>
        <w:t>1-8</w:t>
      </w:r>
      <w:r>
        <w:rPr>
          <w:rFonts w:hint="eastAsia"/>
          <w:lang w:val="en-US" w:eastAsia="zh-CN"/>
        </w:rPr>
        <w:t>和集尘罩未捕集的无组织废气G</w:t>
      </w:r>
      <w:r>
        <w:rPr>
          <w:rFonts w:hint="eastAsia"/>
          <w:vertAlign w:val="subscript"/>
          <w:lang w:val="en-US" w:eastAsia="zh-CN"/>
        </w:rPr>
        <w:t>U1-4</w:t>
      </w:r>
      <w:r>
        <w:rPr>
          <w:rFonts w:hint="eastAsia"/>
          <w:lang w:val="en-US" w:eastAsia="zh-CN"/>
        </w:rPr>
        <w:t>:主要污染物为粉尘；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 xml:space="preserve"> </w:t>
      </w:r>
      <w:r>
        <w:rPr>
          <w:rFonts w:hint="eastAsia"/>
          <w:lang w:val="en-US" w:eastAsia="zh-CN"/>
        </w:rPr>
        <w:fldChar w:fldCharType="begin"/>
      </w:r>
      <w:r>
        <w:rPr>
          <w:rFonts w:hint="eastAsia"/>
          <w:lang w:val="en-US" w:eastAsia="zh-CN"/>
        </w:rPr>
        <w:instrText xml:space="preserve"> = 2 \* GB2 \* MERGEFORMAT </w:instrText>
      </w:r>
      <w:r>
        <w:rPr>
          <w:rFonts w:hint="eastAsia"/>
          <w:lang w:val="en-US" w:eastAsia="zh-CN"/>
        </w:rPr>
        <w:fldChar w:fldCharType="separate"/>
      </w:r>
      <w:r>
        <w:t>⑵</w:t>
      </w:r>
      <w:r>
        <w:rPr>
          <w:rFonts w:hint="eastAsia"/>
          <w:lang w:val="en-US" w:eastAsia="zh-CN"/>
        </w:rPr>
        <w:fldChar w:fldCharType="end"/>
      </w:r>
      <w:r>
        <w:rPr>
          <w:rFonts w:hint="eastAsia"/>
          <w:lang w:val="en-US" w:eastAsia="zh-CN"/>
        </w:rPr>
        <w:t>固废：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eastAsia="zh-CN"/>
        </w:rPr>
        <w:fldChar w:fldCharType="begin"/>
      </w:r>
      <w:r>
        <w:rPr>
          <w:rFonts w:hint="eastAsia"/>
          <w:lang w:eastAsia="zh-CN"/>
        </w:rPr>
        <w:instrText xml:space="preserve"> = 1 \* GB3 \* MERGEFORMAT </w:instrText>
      </w:r>
      <w:r>
        <w:rPr>
          <w:rFonts w:hint="eastAsia"/>
          <w:lang w:eastAsia="zh-CN"/>
        </w:rPr>
        <w:fldChar w:fldCharType="separate"/>
      </w:r>
      <w:r>
        <w:t>①</w:t>
      </w:r>
      <w:r>
        <w:rPr>
          <w:rFonts w:hint="eastAsia"/>
          <w:lang w:eastAsia="zh-CN"/>
        </w:rPr>
        <w:fldChar w:fldCharType="end"/>
      </w:r>
      <w:r>
        <w:rPr>
          <w:rFonts w:hint="eastAsia"/>
          <w:lang w:eastAsia="zh-CN"/>
        </w:rPr>
        <w:t>进料：进料产生的废包装袋</w:t>
      </w:r>
      <w:r>
        <w:rPr>
          <w:rFonts w:hint="eastAsia"/>
          <w:lang w:val="en-US" w:eastAsia="zh-CN"/>
        </w:rPr>
        <w:t>S</w:t>
      </w:r>
      <w:r>
        <w:rPr>
          <w:rFonts w:hint="eastAsia"/>
          <w:vertAlign w:val="subscript"/>
          <w:lang w:val="en-US" w:eastAsia="zh-CN"/>
        </w:rPr>
        <w:t>1-1</w:t>
      </w:r>
      <w:r>
        <w:rPr>
          <w:rFonts w:hint="eastAsia"/>
          <w:lang w:val="en-US" w:eastAsia="zh-CN"/>
        </w:rPr>
        <w:t>回用于中间包装；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fldChar w:fldCharType="begin"/>
      </w:r>
      <w:r>
        <w:rPr>
          <w:rFonts w:hint="default"/>
          <w:lang w:val="en-US" w:eastAsia="zh-CN"/>
        </w:rPr>
        <w:instrText xml:space="preserve"> = 2 \* GB3 \* MERGEFORMAT </w:instrText>
      </w:r>
      <w:r>
        <w:rPr>
          <w:rFonts w:hint="default"/>
          <w:lang w:val="en-US" w:eastAsia="zh-CN"/>
        </w:rPr>
        <w:fldChar w:fldCharType="separate"/>
      </w:r>
      <w:r>
        <w:t>②</w:t>
      </w:r>
      <w:r>
        <w:rPr>
          <w:rFonts w:hint="default"/>
          <w:lang w:val="en-US" w:eastAsia="zh-CN"/>
        </w:rPr>
        <w:fldChar w:fldCharType="end"/>
      </w:r>
      <w:r>
        <w:rPr>
          <w:rFonts w:hint="eastAsia"/>
          <w:lang w:val="en-US" w:eastAsia="zh-CN"/>
        </w:rPr>
        <w:t>中间料仓2：中间料仓2产生的废包装袋外售。</w:t>
      </w:r>
    </w:p>
    <w:p>
      <w:pPr>
        <w:bidi w:val="0"/>
        <w:rPr>
          <w:rFonts w:hint="eastAsia"/>
          <w:lang w:eastAsia="zh-CN"/>
        </w:rPr>
      </w:pPr>
      <w:r>
        <w:rPr>
          <w:rFonts w:hint="eastAsia"/>
          <w:lang w:eastAsia="zh-CN"/>
        </w:rPr>
        <w:t>注：二期废气以“</w:t>
      </w:r>
      <w:r>
        <w:rPr>
          <w:rFonts w:hint="eastAsia"/>
          <w:lang w:val="en-US" w:eastAsia="zh-CN"/>
        </w:rPr>
        <w:t>G</w:t>
      </w:r>
      <w:r>
        <w:rPr>
          <w:rFonts w:hint="eastAsia"/>
          <w:vertAlign w:val="subscript"/>
          <w:lang w:val="en-US" w:eastAsia="zh-CN"/>
        </w:rPr>
        <w:t>2-</w:t>
      </w:r>
      <w:r>
        <w:rPr>
          <w:rFonts w:hint="eastAsia"/>
          <w:lang w:eastAsia="zh-CN"/>
        </w:rPr>
        <w:t>”表示、固废以“</w:t>
      </w:r>
      <w:r>
        <w:rPr>
          <w:rFonts w:hint="eastAsia"/>
          <w:lang w:val="en-US" w:eastAsia="zh-CN"/>
        </w:rPr>
        <w:t>S</w:t>
      </w:r>
      <w:r>
        <w:rPr>
          <w:rFonts w:hint="eastAsia"/>
          <w:vertAlign w:val="subscript"/>
          <w:lang w:val="en-US" w:eastAsia="zh-CN"/>
        </w:rPr>
        <w:t>2-</w:t>
      </w:r>
      <w:r>
        <w:rPr>
          <w:rFonts w:hint="eastAsia"/>
          <w:lang w:eastAsia="zh-CN"/>
        </w:rPr>
        <w:t>”</w:t>
      </w: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sz w:val="28"/>
        </w:rPr>
      </w:pPr>
    </w:p>
    <w:p>
      <w:pPr>
        <w:bidi w:val="0"/>
        <w:ind w:left="0" w:leftChars="0" w:firstLine="0" w:firstLineChars="0"/>
        <w:rPr>
          <w:rFonts w:hint="eastAsia"/>
          <w:sz w:val="28"/>
          <w:lang w:val="en-US" w:eastAsia="zh-CN"/>
        </w:rPr>
      </w:pPr>
    </w:p>
    <w:p>
      <w:pPr>
        <w:bidi w:val="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p>
    <w:p>
      <w:pPr>
        <w:bidi w:val="0"/>
        <w:ind w:left="0" w:leftChars="0" w:firstLine="0" w:firstLineChars="0"/>
        <w:rPr>
          <w:rFonts w:hint="eastAsia"/>
          <w:lang w:val="en-US" w:eastAsia="zh-CN"/>
        </w:rPr>
      </w:pPr>
      <w:r>
        <w:rPr>
          <w:sz w:val="28"/>
        </w:rPr>
        <mc:AlternateContent>
          <mc:Choice Requires="wpc">
            <w:drawing>
              <wp:inline distT="0" distB="0" distL="114300" distR="114300">
                <wp:extent cx="6023610" cy="8347075"/>
                <wp:effectExtent l="0" t="0" r="0" b="0"/>
                <wp:docPr id="84" name="画布 84"/>
                <wp:cNvGraphicFramePr/>
                <a:graphic xmlns:a="http://schemas.openxmlformats.org/drawingml/2006/main">
                  <a:graphicData uri="http://schemas.microsoft.com/office/word/2010/wordprocessingCanvas">
                    <wpc:wpc>
                      <wpc:bg/>
                      <wpc:whole/>
                      <wps:wsp>
                        <wps:cNvPr id="383" name="文本框 8"/>
                        <wps:cNvSpPr txBox="1"/>
                        <wps:spPr>
                          <a:xfrm>
                            <a:off x="2115820" y="212090"/>
                            <a:ext cx="1457960"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吨袋煅后焦原料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4" name="直接连接符 9"/>
                        <wps:cNvCnPr/>
                        <wps:spPr>
                          <a:xfrm>
                            <a:off x="2832735" y="508000"/>
                            <a:ext cx="0" cy="3981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5" name="文本框 10"/>
                        <wps:cNvSpPr txBox="1"/>
                        <wps:spPr>
                          <a:xfrm>
                            <a:off x="2629535" y="533400"/>
                            <a:ext cx="511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航吊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文本框 11"/>
                        <wps:cNvSpPr txBox="1"/>
                        <wps:spPr>
                          <a:xfrm>
                            <a:off x="2604135" y="88963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进料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7" name="直接连接符 12"/>
                        <wps:cNvCnPr>
                          <a:stCxn id="11" idx="3"/>
                        </wps:cNvCnPr>
                        <wps:spPr>
                          <a:xfrm flipV="1">
                            <a:off x="3072765" y="101854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8" name="文本框 13"/>
                        <wps:cNvSpPr txBox="1"/>
                        <wps:spPr>
                          <a:xfrm>
                            <a:off x="3686810" y="898525"/>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直接连接符 16"/>
                        <wps:cNvCnPr>
                          <a:stCxn id="11" idx="2"/>
                        </wps:cNvCnPr>
                        <wps:spPr>
                          <a:xfrm>
                            <a:off x="2838450" y="1149350"/>
                            <a:ext cx="3175" cy="3968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0" name="文本框 17"/>
                        <wps:cNvSpPr txBox="1"/>
                        <wps:spPr>
                          <a:xfrm>
                            <a:off x="2604135" y="154813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电煅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1" name="直接连接符 18"/>
                        <wps:cNvCnPr/>
                        <wps:spPr>
                          <a:xfrm flipH="1" flipV="1">
                            <a:off x="895985" y="943610"/>
                            <a:ext cx="1719580" cy="571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2" name="直接连接符 19"/>
                        <wps:cNvCnPr>
                          <a:stCxn id="13" idx="3"/>
                        </wps:cNvCnPr>
                        <wps:spPr>
                          <a:xfrm flipV="1">
                            <a:off x="4311015" y="102743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3" name="文本框 20"/>
                        <wps:cNvSpPr txBox="1"/>
                        <wps:spPr>
                          <a:xfrm>
                            <a:off x="4794885" y="88074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1-1</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4" name="直接连接符 21"/>
                        <wps:cNvCnPr>
                          <a:stCxn id="13" idx="0"/>
                        </wps:cNvCnPr>
                        <wps:spPr>
                          <a:xfrm flipV="1">
                            <a:off x="3999230" y="66357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5" name="文本框 22"/>
                        <wps:cNvSpPr txBox="1"/>
                        <wps:spPr>
                          <a:xfrm>
                            <a:off x="3756025" y="413385"/>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U1-1</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直接连接符 23"/>
                        <wps:cNvCnPr/>
                        <wps:spPr>
                          <a:xfrm>
                            <a:off x="3505835" y="1964055"/>
                            <a:ext cx="57404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7" name="文本框 24"/>
                        <wps:cNvSpPr txBox="1"/>
                        <wps:spPr>
                          <a:xfrm>
                            <a:off x="4040505" y="1833880"/>
                            <a:ext cx="146494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1-2</w:t>
                              </w:r>
                              <w:r>
                                <w:rPr>
                                  <w:rFonts w:hint="eastAsia"/>
                                  <w:sz w:val="21"/>
                                  <w:lang w:val="en-US" w:eastAsia="zh-CN"/>
                                </w:rPr>
                                <w:t>SO</w:t>
                              </w:r>
                              <w:r>
                                <w:rPr>
                                  <w:rFonts w:hint="eastAsia"/>
                                  <w:sz w:val="21"/>
                                  <w:vertAlign w:val="subscript"/>
                                  <w:lang w:val="en-US" w:eastAsia="zh-CN"/>
                                </w:rPr>
                                <w:t>2</w:t>
                              </w:r>
                              <w:r>
                                <w:rPr>
                                  <w:rFonts w:hint="eastAsia"/>
                                  <w:sz w:val="21"/>
                                  <w:lang w:val="en-US" w:eastAsia="zh-CN"/>
                                </w:rPr>
                                <w:t>、NOx、烟尘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8" name="直接连接符 25"/>
                        <wps:cNvCnPr>
                          <a:stCxn id="17" idx="2"/>
                        </wps:cNvCnPr>
                        <wps:spPr>
                          <a:xfrm>
                            <a:off x="2838450" y="1807845"/>
                            <a:ext cx="3175" cy="42799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0" name="文本框 30"/>
                        <wps:cNvSpPr txBox="1"/>
                        <wps:spPr>
                          <a:xfrm>
                            <a:off x="2595245" y="222313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1" name="矩形 31"/>
                        <wps:cNvSpPr/>
                        <wps:spPr>
                          <a:xfrm>
                            <a:off x="2261235" y="1261110"/>
                            <a:ext cx="1238250" cy="1367790"/>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2" name="文本框 32"/>
                        <wps:cNvSpPr txBox="1"/>
                        <wps:spPr>
                          <a:xfrm>
                            <a:off x="2595245" y="289877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3" name="直接连接符 33"/>
                        <wps:cNvCnPr/>
                        <wps:spPr>
                          <a:xfrm flipV="1">
                            <a:off x="3071495" y="305435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4" name="文本框 34"/>
                        <wps:cNvSpPr txBox="1"/>
                        <wps:spPr>
                          <a:xfrm>
                            <a:off x="3625850" y="292417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1-3</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5" name="直接连接符 35"/>
                        <wps:cNvCnPr>
                          <a:endCxn id="408" idx="0"/>
                        </wps:cNvCnPr>
                        <wps:spPr>
                          <a:xfrm>
                            <a:off x="2837180" y="3166745"/>
                            <a:ext cx="13970" cy="10477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6" name="文本框 36"/>
                        <wps:cNvSpPr txBox="1"/>
                        <wps:spPr>
                          <a:xfrm>
                            <a:off x="2392680" y="3331210"/>
                            <a:ext cx="95250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运输机、斗提机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8" name="文本框 38"/>
                        <wps:cNvSpPr txBox="1"/>
                        <wps:spPr>
                          <a:xfrm>
                            <a:off x="2404745" y="4214495"/>
                            <a:ext cx="89217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中间包装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9" name="直接连接符 39"/>
                        <wps:cNvCnPr/>
                        <wps:spPr>
                          <a:xfrm flipV="1">
                            <a:off x="3305810" y="435356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0" name="文本框 40"/>
                        <wps:cNvSpPr txBox="1"/>
                        <wps:spPr>
                          <a:xfrm>
                            <a:off x="3894455" y="424942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1" name="直接连接符 41"/>
                        <wps:cNvCnPr/>
                        <wps:spPr>
                          <a:xfrm flipV="1">
                            <a:off x="4223385" y="4006850"/>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2" name="文本框 42"/>
                        <wps:cNvSpPr txBox="1"/>
                        <wps:spPr>
                          <a:xfrm>
                            <a:off x="3859530" y="3782060"/>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U1-2</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3" name="直接连接符 43"/>
                        <wps:cNvCnPr/>
                        <wps:spPr>
                          <a:xfrm flipV="1">
                            <a:off x="4526280" y="436245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4" name="文本框 44"/>
                        <wps:cNvSpPr txBox="1"/>
                        <wps:spPr>
                          <a:xfrm>
                            <a:off x="5071745" y="423227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1-4</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5" name="文本框 46"/>
                        <wps:cNvSpPr txBox="1"/>
                        <wps:spPr>
                          <a:xfrm>
                            <a:off x="2387600" y="4916170"/>
                            <a:ext cx="89217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半成品仓</w:t>
                              </w:r>
                              <w:r>
                                <w:rPr>
                                  <w:rFonts w:hint="eastAsia"/>
                                  <w:sz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6" name="直接连接符 47"/>
                        <wps:cNvCnPr/>
                        <wps:spPr>
                          <a:xfrm flipH="1">
                            <a:off x="2846705" y="4465955"/>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7" name="文本框 48"/>
                        <wps:cNvSpPr txBox="1"/>
                        <wps:spPr>
                          <a:xfrm>
                            <a:off x="2474595" y="4552950"/>
                            <a:ext cx="80581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叉车、航吊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8" name="直接连接符 49"/>
                        <wps:cNvCnPr/>
                        <wps:spPr>
                          <a:xfrm>
                            <a:off x="885825" y="944880"/>
                            <a:ext cx="6985" cy="34239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9" name="直接连接符 50"/>
                        <wps:cNvCnPr/>
                        <wps:spPr>
                          <a:xfrm flipV="1">
                            <a:off x="884555" y="4371340"/>
                            <a:ext cx="153797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0" name="文本框 51"/>
                        <wps:cNvSpPr txBox="1"/>
                        <wps:spPr>
                          <a:xfrm>
                            <a:off x="1348105" y="732790"/>
                            <a:ext cx="12045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1-1</w:t>
                              </w:r>
                              <w:r>
                                <w:rPr>
                                  <w:rFonts w:hint="eastAsia"/>
                                  <w:sz w:val="21"/>
                                  <w:vertAlign w:val="baseline"/>
                                  <w:lang w:val="en-US" w:eastAsia="zh-CN"/>
                                </w:rPr>
                                <w:t>废包装袋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1" name="直接连接符 52"/>
                        <wps:cNvCnPr/>
                        <wps:spPr>
                          <a:xfrm flipV="1">
                            <a:off x="3288665" y="5046345"/>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2" name="文本框 53"/>
                        <wps:cNvSpPr txBox="1"/>
                        <wps:spPr>
                          <a:xfrm>
                            <a:off x="3886835" y="496824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3" name="文本框 54"/>
                        <wps:cNvSpPr txBox="1"/>
                        <wps:spPr>
                          <a:xfrm>
                            <a:off x="3808095" y="4544060"/>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U1-3</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4" name="直接连接符 55"/>
                        <wps:cNvCnPr/>
                        <wps:spPr>
                          <a:xfrm flipV="1">
                            <a:off x="4180205" y="475170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5" name="直接连接符 56"/>
                        <wps:cNvCnPr/>
                        <wps:spPr>
                          <a:xfrm flipV="1">
                            <a:off x="4518025" y="5089525"/>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6" name="文本框 57"/>
                        <wps:cNvSpPr txBox="1"/>
                        <wps:spPr>
                          <a:xfrm>
                            <a:off x="5081270" y="4950460"/>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1-5</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7" name="直接连接符 58"/>
                        <wps:cNvCnPr>
                          <a:stCxn id="46" idx="1"/>
                        </wps:cNvCnPr>
                        <wps:spPr>
                          <a:xfrm flipH="1" flipV="1">
                            <a:off x="1941195" y="5044440"/>
                            <a:ext cx="446405" cy="1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8" name="文本框 59"/>
                        <wps:cNvSpPr txBox="1"/>
                        <wps:spPr>
                          <a:xfrm>
                            <a:off x="1114425" y="4907280"/>
                            <a:ext cx="12045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1-2</w:t>
                              </w:r>
                              <w:r>
                                <w:rPr>
                                  <w:rFonts w:hint="eastAsia"/>
                                  <w:sz w:val="21"/>
                                  <w:vertAlign w:val="baseline"/>
                                  <w:lang w:val="en-US" w:eastAsia="zh-CN"/>
                                </w:rPr>
                                <w:t>废包装袋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9" name="直接连接符 60"/>
                        <wps:cNvCnPr/>
                        <wps:spPr>
                          <a:xfrm flipV="1">
                            <a:off x="2032635" y="167767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0" name="文本框 61"/>
                        <wps:cNvSpPr txBox="1"/>
                        <wps:spPr>
                          <a:xfrm>
                            <a:off x="1565910" y="1521460"/>
                            <a:ext cx="6584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空气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1" name="直接连接符 62"/>
                        <wps:cNvCnPr/>
                        <wps:spPr>
                          <a:xfrm flipH="1">
                            <a:off x="2838450" y="5184775"/>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2" name="文本框 63"/>
                        <wps:cNvSpPr txBox="1"/>
                        <wps:spPr>
                          <a:xfrm>
                            <a:off x="2595880" y="563499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3" name="直接连接符 64"/>
                        <wps:cNvCnPr/>
                        <wps:spPr>
                          <a:xfrm flipV="1">
                            <a:off x="3063240" y="5790565"/>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4" name="文本框 65"/>
                        <wps:cNvSpPr txBox="1"/>
                        <wps:spPr>
                          <a:xfrm>
                            <a:off x="3643630" y="5652770"/>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1-6</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5" name="直接连接符 66"/>
                        <wps:cNvCnPr/>
                        <wps:spPr>
                          <a:xfrm flipH="1">
                            <a:off x="2846705" y="590296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6" name="文本框 67"/>
                        <wps:cNvSpPr txBox="1"/>
                        <wps:spPr>
                          <a:xfrm>
                            <a:off x="2612390" y="635381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7" name="直接连接符 68"/>
                        <wps:cNvCnPr/>
                        <wps:spPr>
                          <a:xfrm flipV="1">
                            <a:off x="3080385" y="6466205"/>
                            <a:ext cx="24574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8" name="直接连接符 70"/>
                        <wps:cNvCnPr/>
                        <wps:spPr>
                          <a:xfrm>
                            <a:off x="2829560" y="2483485"/>
                            <a:ext cx="3175" cy="42799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9" name="直接连接符 71"/>
                        <wps:cNvCnPr/>
                        <wps:spPr>
                          <a:xfrm flipH="1">
                            <a:off x="2837815" y="663067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0" name="文本框 72"/>
                        <wps:cNvSpPr txBox="1"/>
                        <wps:spPr>
                          <a:xfrm>
                            <a:off x="2341880" y="7089775"/>
                            <a:ext cx="89662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检验和包装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1" name="直接连接符 73"/>
                        <wps:cNvCnPr/>
                        <wps:spPr>
                          <a:xfrm>
                            <a:off x="3276600" y="7216140"/>
                            <a:ext cx="39560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2" name="文本框 74"/>
                        <wps:cNvSpPr txBox="1"/>
                        <wps:spPr>
                          <a:xfrm>
                            <a:off x="3677285" y="709041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3" name="直接连接符 75"/>
                        <wps:cNvCnPr/>
                        <wps:spPr>
                          <a:xfrm flipV="1">
                            <a:off x="4318635" y="7210425"/>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4" name="文本框 76"/>
                        <wps:cNvSpPr txBox="1"/>
                        <wps:spPr>
                          <a:xfrm>
                            <a:off x="4864100" y="707199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1-7</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5" name="直接连接符 77"/>
                        <wps:cNvCnPr/>
                        <wps:spPr>
                          <a:xfrm flipV="1">
                            <a:off x="3972560" y="687260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6" name="文本框 78"/>
                        <wps:cNvSpPr txBox="1"/>
                        <wps:spPr>
                          <a:xfrm>
                            <a:off x="3652520" y="6656705"/>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U1-4</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7" name="直接连接符 79"/>
                        <wps:cNvCnPr/>
                        <wps:spPr>
                          <a:xfrm flipH="1">
                            <a:off x="2837815" y="734949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8" name="文本框 80"/>
                        <wps:cNvSpPr txBox="1"/>
                        <wps:spPr>
                          <a:xfrm>
                            <a:off x="2516505" y="774763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val="en-US"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9" name="文本框 81"/>
                        <wps:cNvSpPr txBox="1"/>
                        <wps:spPr>
                          <a:xfrm>
                            <a:off x="1670050" y="7990205"/>
                            <a:ext cx="2641600" cy="29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bCs/>
                                  <w:sz w:val="24"/>
                                  <w:szCs w:val="24"/>
                                  <w:lang w:val="en-US" w:eastAsia="zh-CN"/>
                                </w:rPr>
                              </w:pPr>
                              <w:r>
                                <w:rPr>
                                  <w:rFonts w:hint="eastAsia"/>
                                  <w:b/>
                                  <w:bCs/>
                                  <w:sz w:val="24"/>
                                  <w:szCs w:val="24"/>
                                  <w:lang w:val="en-US" w:eastAsia="zh-CN"/>
                                </w:rPr>
                                <w:t>图3.2.1-2 一期/二期项目工艺流程图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0" name="直接连接符 14"/>
                        <wps:cNvCnPr/>
                        <wps:spPr>
                          <a:xfrm>
                            <a:off x="2202815" y="1108075"/>
                            <a:ext cx="42354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1" name="文本框 15"/>
                        <wps:cNvSpPr txBox="1"/>
                        <wps:spPr>
                          <a:xfrm>
                            <a:off x="908685" y="948690"/>
                            <a:ext cx="1305560" cy="4660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val="0"/>
                                  <w:bCs w:val="0"/>
                                  <w:color w:val="auto"/>
                                  <w:sz w:val="18"/>
                                  <w:szCs w:val="18"/>
                                  <w:lang w:val="en-US" w:eastAsia="zh-CN"/>
                                </w:rPr>
                              </w:pPr>
                              <w:r>
                                <w:rPr>
                                  <w:rFonts w:hint="eastAsia"/>
                                  <w:b w:val="0"/>
                                  <w:bCs w:val="0"/>
                                  <w:color w:val="auto"/>
                                  <w:sz w:val="18"/>
                                  <w:szCs w:val="18"/>
                                  <w:lang w:val="en-US" w:eastAsia="zh-CN"/>
                                </w:rPr>
                                <w:t>进料工段布袋除尘器除尘下灰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5" name="直接连接符 45"/>
                        <wps:cNvCnPr/>
                        <wps:spPr>
                          <a:xfrm flipV="1">
                            <a:off x="3319145" y="5777865"/>
                            <a:ext cx="0" cy="68135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56" name="文本框 15"/>
                        <wps:cNvSpPr txBox="1"/>
                        <wps:spPr>
                          <a:xfrm>
                            <a:off x="175260" y="6823075"/>
                            <a:ext cx="1734185" cy="852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排料、中间包装、半成品仓2、破碎筛分和包装工段布袋除尘器除尘下灰、地面清扫降尘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7" name="直接连接符 14"/>
                        <wps:cNvCnPr/>
                        <wps:spPr>
                          <a:xfrm>
                            <a:off x="1941195" y="7228205"/>
                            <a:ext cx="42354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657.25pt;width:474.3pt;" coordsize="6023610,8347075" editas="canvas" o:gfxdata="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">
                <o:lock v:ext="edit" aspectratio="f"/>
                <v:shape id="_x0000_s1026" o:spid="_x0000_s1026" style="position:absolute;left:0;top:0;height:8347075;width:6023610;" filled="f" stroked="f" coordsize="21600,21600" o:gfxdata="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">
                  <v:fill on="f" focussize="0,0"/>
                  <v:stroke on="f"/>
                  <v:imagedata o:title=""/>
                  <o:lock v:ext="edit" aspectratio="f"/>
                </v:shape>
                <v:shape id="文本框 8" o:spid="_x0000_s1026" o:spt="202" type="#_x0000_t202" style="position:absolute;left:2115820;top:212090;height:288290;width:145796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VCI2AAAAAYBAAAPAAAAAAAAAAEAIAAAACIAAABkcnMvZG93bnJldi54bWxQSwECFAAUAAAA&#10;CACHTuJAxMJeaScCAAAlBAAADgAAAAAAAAABACAAAAAn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吨袋煅后焦原料</w:t>
                        </w:r>
                      </w:p>
                    </w:txbxContent>
                  </v:textbox>
                </v:shape>
                <v:line id="直接连接符 9" o:spid="_x0000_s1026" o:spt="20" style="position:absolute;left:2832735;top:508000;height:398145;width:0;"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T1RUDVAAAABgEAAA8AAAAAAAAAAQAgAAAAIgAAAGRycy9kb3ducmV2LnhtbFBLAQIUABQAAAAI&#10;AIdO4kCXZ8We8AEAAJs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10" o:spid="_x0000_s1026" o:spt="202" type="#_x0000_t202" style="position:absolute;left:2629535;top:533400;height:259715;width:51181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CI2AAAAAYBAAAPAAAAAAAAAAEAIAAAACIAAABkcnMvZG93bnJldi54bWxQSwECFAAU&#10;AAAACACHTuJA/SfrPS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航吊</w:t>
                        </w:r>
                      </w:p>
                    </w:txbxContent>
                  </v:textbox>
                </v:shape>
                <v:shape id="文本框 11" o:spid="_x0000_s1026" o:spt="202" type="#_x0000_t202" style="position:absolute;left:2604135;top:889635;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&#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boKbLYAAAABgEAAA8AAAAAAAAAAQAgAAAAIgAAAGRy&#10;cy9kb3ducmV2LnhtbFBLAQIUABQAAAAIAIdO4kAaF1UTPgIAAE4EAAAOAAAAAAAAAAEAIAAAACc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进料</w:t>
                        </w:r>
                      </w:p>
                    </w:txbxContent>
                  </v:textbox>
                </v:shape>
                <v:line id="直接连接符 12" o:spid="_x0000_s1026" o:spt="20" style="position:absolute;left:3072765;top:1018540;flip:y;height:1270;width:59118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3MqxDXAAAABgEAAA8AAAAAAAAAAQAgAAAAIgAA&#10;AGRycy9kb3ducmV2LnhtbFBLAQIUABQAAAAIAIdO4kCLkJ6DCQIAANEDAAAOAAAAAAAAAAEAIAAA&#10;ACYBAABkcnMvZTJvRG9jLnhtbFBLBQYAAAAABgAGAFkBAAChBQAAAAA=&#10;">
                  <v:fill on="f" focussize="0,0"/>
                  <v:stroke weight="0.5pt" color="#000000 [3213]" miterlimit="8" joinstyle="miter" endarrow="block" endarrowwidth="narrow" endarrowlength="long"/>
                  <v:imagedata o:title=""/>
                  <o:lock v:ext="edit" aspectratio="f"/>
                </v:line>
                <v:shape id="文本框 13" o:spid="_x0000_s1026" o:spt="202" type="#_x0000_t202" style="position:absolute;left:3686810;top:898525;height:259715;width:62420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ugpstgAAAAGAQAADwAAAAAAAAABACAAAAAi&#10;AAAAZHJzL2Rvd25yZXYueG1sUEsBAhQAFAAAAAgAh07iQL4wwp1DAgAATgQAAA4AAAAAAAAAAQAg&#10;AAAAJwEAAGRycy9lMm9Eb2MueG1sUEsFBgAAAAAGAAYAWQEAANw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16" o:spid="_x0000_s1026" o:spt="20" style="position:absolute;left:2838450;top:1149350;height:396875;width:317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T1RUDVAAAABgEAAA8AAAAAAAAAAQAgAAAAIgAAAGRycy9kb3du&#10;cmV2LnhtbFBLAQIUABQAAAAIAIdO4kA3ApBBAgIAAMcDAAAOAAAAAAAAAAEAIAAAACQBAABkcnMv&#10;ZTJvRG9jLnhtbFBLBQYAAAAABgAGAFkBAACYBQAAAAA=&#10;">
                  <v:fill on="f" focussize="0,0"/>
                  <v:stroke weight="0.5pt" color="#000000 [3213]" miterlimit="8" joinstyle="miter" endarrow="block" endarrowwidth="narrow" endarrowlength="long"/>
                  <v:imagedata o:title=""/>
                  <o:lock v:ext="edit" aspectratio="f"/>
                </v:line>
                <v:shape id="文本框 17" o:spid="_x0000_s1026" o:spt="202" type="#_x0000_t202" style="position:absolute;left:2604135;top:1548130;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boKbLYAAAABgEAAA8AAAAAAAAAAQAgAAAAIgAA&#10;AGRycy9kb3ducmV2LnhtbFBLAQIUABQAAAAIAIdO4kCnpzQfQQIAAE8EAAAOAAAAAAAAAAEAIAAA&#10;ACc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电煅</w:t>
                        </w:r>
                      </w:p>
                    </w:txbxContent>
                  </v:textbox>
                </v:shape>
                <v:line id="直接连接符 18" o:spid="_x0000_s1026" o:spt="20" style="position:absolute;left:895985;top:943610;flip:x y;height:5715;width:1719580;" filled="f" stroked="t" coordsize="21600,21600" o:gfxdata="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zKndYAAAAGAQAADwAAAAAAAAABACAAAAAiAAAAZHJzL2Rvd25y&#10;ZXYueG1sUEsBAhQAFAAAAAgAh07iQBSFCBAAAgAAswMAAA4AAAAAAAAAAQAgAAAAJQEAAGRycy9l&#10;Mm9Eb2MueG1sUEsFBgAAAAAGAAYAWQEAAJcFAAAAAA==&#10;">
                  <v:fill on="f" focussize="0,0"/>
                  <v:stroke weight="0.5pt" color="#000000 [3213]" miterlimit="8" joinstyle="miter" endarrow="block" endarrowwidth="narrow" endarrowlength="long"/>
                  <v:imagedata o:title=""/>
                  <o:lock v:ext="edit" aspectratio="f"/>
                </v:line>
                <v:line id="直接连接符 19" o:spid="_x0000_s1026" o:spt="20" style="position:absolute;left:4311015;top:1027430;flip:y;height:1270;width:54800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yrENcAAAAGAQAADwAAAAAAAAABACAAAAAi&#10;AAAAZHJzL2Rvd25yZXYueG1sUEsBAhQAFAAAAAgAh07iQCBU3KgLAgAA0QMAAA4AAAAAAAAAAQAg&#10;AAAAJgEAAGRycy9lMm9Eb2MueG1sUEsFBgAAAAAGAAYAWQEAAKMFAAAAAA==&#10;">
                  <v:fill on="f" focussize="0,0"/>
                  <v:stroke weight="0.5pt" color="#000000 [3213]" miterlimit="8" joinstyle="miter" endarrow="block" endarrowwidth="narrow" endarrowlength="long"/>
                  <v:imagedata o:title=""/>
                  <o:lock v:ext="edit" aspectratio="f"/>
                </v:line>
                <v:shape id="文本框 20" o:spid="_x0000_s1026" o:spt="202" type="#_x0000_t202" style="position:absolute;left:4794885;top:880745;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wFQiNgAAAAGAQAADwAAAAAAAAABACAAAAAiAAAAZHJzL2Rvd25yZXYueG1sUEsBAhQA&#10;FAAAAAgAh07iQNJnKmw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1-1</w:t>
                        </w:r>
                        <w:r>
                          <w:rPr>
                            <w:rFonts w:hint="eastAsia"/>
                            <w:sz w:val="21"/>
                            <w:lang w:val="en-US" w:eastAsia="zh-CN"/>
                          </w:rPr>
                          <w:t>粉尘</w:t>
                        </w:r>
                      </w:p>
                    </w:txbxContent>
                  </v:textbox>
                </v:shape>
                <v:line id="直接连接符 21" o:spid="_x0000_s1026" o:spt="20" style="position:absolute;left:3999230;top:663575;flip:y;height:234950;width:254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3MqxDXAAAABgEAAA8AAAAAAAAAAQAgAAAA&#10;IgAAAGRycy9kb3ducmV2LnhtbFBLAQIUABQAAAAIAIdO4kDYbmvFDAIAANADAAAOAAAAAAAAAAEA&#10;IAAAACYBAABkcnMvZTJvRG9jLnhtbFBLBQYAAAAABgAGAFkBAACkBQAAAAA=&#10;">
                  <v:fill on="f" focussize="0,0"/>
                  <v:stroke weight="0.5pt" color="#000000 [3213]" miterlimit="8" joinstyle="miter" endarrow="block" endarrowwidth="narrow" endarrowlength="long"/>
                  <v:imagedata o:title=""/>
                  <o:lock v:ext="edit" aspectratio="f"/>
                </v:line>
                <v:shape id="文本框 22" o:spid="_x0000_s1026" o:spt="202" type="#_x0000_t202" style="position:absolute;left:3756025;top:413385;height:259715;width:89281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wFQiNgAAAAGAQAADwAAAAAAAAABACAAAAAiAAAAZHJzL2Rvd25yZXYueG1sUEsBAhQA&#10;FAAAAAgAh07iQPG4s2c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U1-1</w:t>
                        </w:r>
                        <w:r>
                          <w:rPr>
                            <w:rFonts w:hint="eastAsia"/>
                            <w:sz w:val="21"/>
                            <w:lang w:val="en-US" w:eastAsia="zh-CN"/>
                          </w:rPr>
                          <w:t>粉尘</w:t>
                        </w:r>
                      </w:p>
                    </w:txbxContent>
                  </v:textbox>
                </v:shape>
                <v:line id="直接连接符 23" o:spid="_x0000_s1026" o:spt="20" style="position:absolute;left:3505835;top:1964055;height:3175;width:574040;"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PVFQNUAAAAGAQAADwAAAAAAAAABACAAAAAiAAAAZHJzL2Rvd25yZXYueG1sUEsBAhQA&#10;FAAAAAgAh07iQF5ouxn1AQAAoAMAAA4AAAAAAAAAAQAgAAAAJAEAAGRycy9lMm9Eb2MueG1sUEsF&#10;BgAAAAAGAAYAWQEAAIsFAAAAAA==&#10;">
                  <v:fill on="f" focussize="0,0"/>
                  <v:stroke weight="0.5pt" color="#000000 [3213]" miterlimit="8" joinstyle="miter" endarrow="block" endarrowwidth="narrow" endarrowlength="long"/>
                  <v:imagedata o:title=""/>
                  <o:lock v:ext="edit" aspectratio="f"/>
                </v:line>
                <v:shape id="文本框 24" o:spid="_x0000_s1026" o:spt="202" type="#_x0000_t202" style="position:absolute;left:4040505;top:1833880;height:259715;width:146494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wFQiNgAAAAGAQAADwAAAAAAAAABACAAAAAiAAAAZHJzL2Rvd25yZXYueG1sUEsBAhQA&#10;FAAAAAgAh07iQAjozv4rAgAAJw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1-2</w:t>
                        </w:r>
                        <w:r>
                          <w:rPr>
                            <w:rFonts w:hint="eastAsia"/>
                            <w:sz w:val="21"/>
                            <w:lang w:val="en-US" w:eastAsia="zh-CN"/>
                          </w:rPr>
                          <w:t>SO</w:t>
                        </w:r>
                        <w:r>
                          <w:rPr>
                            <w:rFonts w:hint="eastAsia"/>
                            <w:sz w:val="21"/>
                            <w:vertAlign w:val="subscript"/>
                            <w:lang w:val="en-US" w:eastAsia="zh-CN"/>
                          </w:rPr>
                          <w:t>2</w:t>
                        </w:r>
                        <w:r>
                          <w:rPr>
                            <w:rFonts w:hint="eastAsia"/>
                            <w:sz w:val="21"/>
                            <w:lang w:val="en-US" w:eastAsia="zh-CN"/>
                          </w:rPr>
                          <w:t>、NOx、烟尘</w:t>
                        </w:r>
                      </w:p>
                    </w:txbxContent>
                  </v:textbox>
                </v:shape>
                <v:line id="直接连接符 25" o:spid="_x0000_s1026" o:spt="20" style="position:absolute;left:2838450;top:1807845;height:427990;width:317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1RUDVAAAABgEAAA8AAAAAAAAAAQAgAAAAIgAAAGRycy9k&#10;b3ducmV2LnhtbFBLAQIUABQAAAAIAIdO4kD4MIgWBQIAAMcDAAAOAAAAAAAAAAEAIAAAACQBAABk&#10;cnMvZTJvRG9jLnhtbFBLBQYAAAAABgAGAFkBAACbBQAAAAA=&#10;">
                  <v:fill on="f" focussize="0,0"/>
                  <v:stroke weight="0.5pt" color="#000000 [3213]" miterlimit="8" joinstyle="miter" endarrow="block" endarrowwidth="narrow" endarrowlength="long"/>
                  <v:imagedata o:title=""/>
                  <o:lock v:ext="edit" aspectratio="f"/>
                </v:line>
                <v:shape id="文本框 30" o:spid="_x0000_s1026" o:spt="202" type="#_x0000_t202" style="position:absolute;left:2595245;top:2223135;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ugpstgAAAAGAQAADwAAAAAAAAABACAAAAAiAAAA&#10;ZHJzL2Rvd25yZXYueG1sUEsBAhQAFAAAAAgAh07iQNF0+7pAAgAATwQAAA4AAAAAAAAAAQAgAAAA&#10;Jw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冷却</w:t>
                        </w:r>
                      </w:p>
                    </w:txbxContent>
                  </v:textbox>
                </v:shape>
                <v:rect id="矩形 31" o:spid="_x0000_s1026" o:spt="1" style="position:absolute;left:2261235;top:1261110;height:1367790;width:1238250;v-text-anchor:middle;" filled="f" stroked="t" coordsize="21600,21600" o:gfxdata="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V6HK1AAAAAYBAAAPAAAAAAAAAAEAIAAAACIAAABkcnMvZG93bnJldi54bWxQSwEC&#10;FAAUAAAACACHTuJAW/GVEWoCAACsBAAADgAAAAAAAAABACAAAAAjAQAAZHJzL2Uyb0RvYy54bWxQ&#10;SwUGAAAAAAYABgBZAQAA/wUAAAAA&#10;">
                  <v:fill on="f" focussize="0,0"/>
                  <v:stroke weight="0.5pt" color="#41719C [3204]" miterlimit="8" joinstyle="miter" dashstyle="dash"/>
                  <v:imagedata o:title=""/>
                  <o:lock v:ext="edit" aspectratio="f"/>
                </v:rect>
                <v:shape id="文本框 32" o:spid="_x0000_s1026" o:spt="202" type="#_x0000_t202" style="position:absolute;left:2595245;top:2898775;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ugpstgAAAAGAQAADwAAAAAAAAABACAAAAAi&#10;AAAAZHJzL2Rvd25yZXYueG1sUEsBAhQAFAAAAAgAh07iQP99LwJDAgAATwQAAA4AAAAAAAAAAQAg&#10;AAAAJwEAAGRycy9lMm9Eb2MueG1sUEsFBgAAAAAGAAYAWQEAANw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排料</w:t>
                        </w:r>
                      </w:p>
                    </w:txbxContent>
                  </v:textbox>
                </v:shape>
                <v:line id="直接连接符 33" o:spid="_x0000_s1026" o:spt="20" style="position:absolute;left:3071495;top:3054350;flip:y;height:1270;width:54800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F6oKTj8AQAAqg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34" o:spid="_x0000_s1026" o:spt="202" type="#_x0000_t202" style="position:absolute;left:3625850;top:2924175;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BDPkGJ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1-3</w:t>
                        </w:r>
                        <w:r>
                          <w:rPr>
                            <w:rFonts w:hint="eastAsia"/>
                            <w:sz w:val="21"/>
                            <w:lang w:val="en-US" w:eastAsia="zh-CN"/>
                          </w:rPr>
                          <w:t>粉尘</w:t>
                        </w:r>
                      </w:p>
                    </w:txbxContent>
                  </v:textbox>
                </v:shape>
                <v:line id="直接连接符 35" o:spid="_x0000_s1026" o:spt="20" style="position:absolute;left:2837180;top:3166745;height:1047750;width:13970;"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1RUDVAAAABgEAAA8AAAAAAAAAAQAgAAAAIgAAAGRycy9k&#10;b3ducmV2LnhtbFBLAQIUABQAAAAIAIdO4kD399QDBQIAAMsDAAAOAAAAAAAAAAEAIAAAACQBAABk&#10;cnMvZTJvRG9jLnhtbFBLBQYAAAAABgAGAFkBAACbBQAAAAA=&#10;">
                  <v:fill on="f" focussize="0,0"/>
                  <v:stroke weight="0.5pt" color="#000000 [3213]" miterlimit="8" joinstyle="miter" endarrow="block" endarrowwidth="narrow" endarrowlength="long"/>
                  <v:imagedata o:title=""/>
                  <o:lock v:ext="edit" aspectratio="f"/>
                </v:line>
                <v:shape id="文本框 36" o:spid="_x0000_s1026" o:spt="202" type="#_x0000_t202" style="position:absolute;left:2392680;top:3331210;height:259715;width:95250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AhthZw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运输机、斗提机</w:t>
                        </w:r>
                      </w:p>
                    </w:txbxContent>
                  </v:textbox>
                </v:shape>
                <v:shape id="文本框 38" o:spid="_x0000_s1026" o:spt="202" type="#_x0000_t202" style="position:absolute;left:2404745;top:4214495;height:259715;width:89217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ugpstgAAAAGAQAADwAAAAAAAAABACAAAAAi&#10;AAAAZHJzL2Rvd25yZXYueG1sUEsBAhQAFAAAAAgAh07iQAaP6KJDAgAATwQAAA4AAAAAAAAAAQAg&#10;AAAAJwEAAGRycy9lMm9Eb2MueG1sUEsFBgAAAAAGAAYAWQEAANw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中间包装</w:t>
                        </w:r>
                      </w:p>
                    </w:txbxContent>
                  </v:textbox>
                </v:shape>
                <v:line id="直接连接符 39" o:spid="_x0000_s1026" o:spt="20" style="position:absolute;left:3305810;top:4353560;flip:y;height:1270;width:59118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I1yGcT8AQAAqg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40" o:spid="_x0000_s1026" o:spt="202" type="#_x0000_t202" style="position:absolute;left:3894455;top:4249420;height:259715;width:62420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&#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6Cmy2AAAAAYBAAAPAAAAAAAAAAEAIAAAACIAAABk&#10;cnMvZG93bnJldi54bWxQSwECFAAUAAAACACHTuJAkujfXD8CAABPBAAADgAAAAAAAAABACAAAAAn&#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41" o:spid="_x0000_s1026" o:spt="20" style="position:absolute;left:4223385;top:4006850;flip:y;height:234950;width:254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3MqxDXAAAABgEAAA8AAAAAAAAAAQAgAAAAIgAAAGRycy9kb3ducmV2Lnht&#10;bFBLAQIUABQAAAAIAIdO4kAjjX89+gEAAKoDAAAOAAAAAAAAAAEAIAAAACYBAABkcnMvZTJvRG9j&#10;LnhtbFBLBQYAAAAABgAGAFkBAACSBQAAAAA=&#10;">
                  <v:fill on="f" focussize="0,0"/>
                  <v:stroke weight="0.5pt" color="#000000 [3213]" miterlimit="8" joinstyle="miter" endarrow="block" endarrowwidth="narrow" endarrowlength="long"/>
                  <v:imagedata o:title=""/>
                  <o:lock v:ext="edit" aspectratio="f"/>
                </v:line>
                <v:shape id="文本框 42" o:spid="_x0000_s1026" o:spt="202" type="#_x0000_t202" style="position:absolute;left:3859530;top:3782060;height:259715;width:89281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ATZp5a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U1-2</w:t>
                        </w:r>
                        <w:r>
                          <w:rPr>
                            <w:rFonts w:hint="eastAsia"/>
                            <w:sz w:val="21"/>
                            <w:lang w:val="en-US" w:eastAsia="zh-CN"/>
                          </w:rPr>
                          <w:t>粉尘</w:t>
                        </w:r>
                      </w:p>
                    </w:txbxContent>
                  </v:textbox>
                </v:shape>
                <v:line id="直接连接符 43" o:spid="_x0000_s1026" o:spt="20" style="position:absolute;left:4526280;top:4362450;flip:y;height:1270;width:54800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zKsQ1wAAAAYBAAAPAAAAAAAAAAEAIAAAACIAAABkcnMvZG93bnJldi54&#10;bWxQSwECFAAUAAAACACHTuJA20KV+PsBAACq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44" o:spid="_x0000_s1026" o:spt="202" type="#_x0000_t202" style="position:absolute;left:5071745;top:4232275;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wFQiNgAAAAGAQAADwAAAAAAAAABACAAAAAiAAAAZHJzL2Rvd25yZXYueG1sUEsBAhQA&#10;FAAAAAgAh07iQAQZSIQrAgAAJg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1-4</w:t>
                        </w:r>
                        <w:r>
                          <w:rPr>
                            <w:rFonts w:hint="eastAsia"/>
                            <w:sz w:val="21"/>
                            <w:lang w:val="en-US" w:eastAsia="zh-CN"/>
                          </w:rPr>
                          <w:t>粉尘</w:t>
                        </w:r>
                      </w:p>
                    </w:txbxContent>
                  </v:textbox>
                </v:shape>
                <v:shape id="文本框 46" o:spid="_x0000_s1026" o:spt="202" type="#_x0000_t202" style="position:absolute;left:2387600;top:4916170;height:259715;width:89217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boKbLYAAAABgEAAA8AAAAAAAAAAQAgAAAAIgAA&#10;AGRycy9kb3ducmV2LnhtbFBLAQIUABQAAAAIAIdO4kA2YHvGQQIAAE8EAAAOAAAAAAAAAAEAIAAA&#10;ACc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半成品仓</w:t>
                        </w:r>
                        <w:r>
                          <w:rPr>
                            <w:rFonts w:hint="eastAsia"/>
                            <w:sz w:val="21"/>
                            <w:lang w:val="en-US" w:eastAsia="zh-CN"/>
                          </w:rPr>
                          <w:t>2</w:t>
                        </w:r>
                      </w:p>
                    </w:txbxContent>
                  </v:textbox>
                </v:shape>
                <v:line id="直接连接符 47" o:spid="_x0000_s1026" o:spt="20" style="position:absolute;left:2846705;top:4465955;flip:x;height:448945;width:12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K4OrnP8AQAAqg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48" o:spid="_x0000_s1026" o:spt="202" type="#_x0000_t202" style="position:absolute;left:2474595;top:4552950;height:259715;width:80581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CI2AAAAAYBAAAPAAAAAAAAAAEAIAAAACIAAABkcnMvZG93bnJldi54bWxQSwECFAAU&#10;AAAACACHTuJAx7eypCoCAAAm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叉车、航吊</w:t>
                        </w:r>
                      </w:p>
                    </w:txbxContent>
                  </v:textbox>
                </v:shape>
                <v:line id="直接连接符 49" o:spid="_x0000_s1026" o:spt="20" style="position:absolute;left:885825;top:944880;height:3423920;width:698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PVFQNUAAAAGAQAADwAAAAAAAAABACAAAAAiAAAAZHJzL2Rvd25yZXYueG1sUEsBAhQAFAAA&#10;AAgAh07iQL1Egx7yAQAAnwMAAA4AAAAAAAAAAQAgAAAAJAEAAGRycy9lMm9Eb2MueG1sUEsFBgAA&#10;AAAGAAYAWQEAAIgFAAAAAA==&#10;">
                  <v:fill on="f" focussize="0,0"/>
                  <v:stroke weight="0.5pt" color="#000000 [3213]" miterlimit="8" joinstyle="miter" endarrow="block" endarrowwidth="narrow" endarrowlength="long"/>
                  <v:imagedata o:title=""/>
                  <o:lock v:ext="edit" aspectratio="f"/>
                </v:line>
                <v:line id="直接连接符 50" o:spid="_x0000_s1026" o:spt="20" style="position:absolute;left:884555;top:4371340;flip:y;height:2540;width:15379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zKsQ1wAAAAYBAAAPAAAAAAAAAAEAIAAAACIAAABkcnMvZG93bnJldi54&#10;bWxQSwECFAAUAAAACACHTuJANfz9HvsBAACq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51" o:spid="_x0000_s1026" o:spt="202" type="#_x0000_t202" style="position:absolute;left:1348105;top:732790;height:259715;width:120459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wFQiNgAAAAGAQAADwAAAAAAAAABACAAAAAiAAAAZHJzL2Rvd25yZXYueG1sUEsBAhQA&#10;FAAAAAgAh07iQFaYiPorAgAAJg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1-1</w:t>
                        </w:r>
                        <w:r>
                          <w:rPr>
                            <w:rFonts w:hint="eastAsia"/>
                            <w:sz w:val="21"/>
                            <w:vertAlign w:val="baseline"/>
                            <w:lang w:val="en-US" w:eastAsia="zh-CN"/>
                          </w:rPr>
                          <w:t>废包装袋</w:t>
                        </w:r>
                      </w:p>
                    </w:txbxContent>
                  </v:textbox>
                </v:shape>
                <v:line id="直接连接符 52" o:spid="_x0000_s1026" o:spt="20" style="position:absolute;left:3288665;top:5046345;flip:y;height:1270;width:59118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9zKsQ1wAAAAYBAAAPAAAAAAAAAAEAIAAAACIAAABkcnMvZG93bnJl&#10;di54bWxQSwECFAAUAAAACACHTuJAKjDFJP4BAACqAwAADgAAAAAAAAABACAAAAAmAQAAZHJzL2Uy&#10;b0RvYy54bWxQSwUGAAAAAAYABgBZAQAAlgUAAAAA&#10;">
                  <v:fill on="f" focussize="0,0"/>
                  <v:stroke weight="0.5pt" color="#000000 [3213]" miterlimit="8" joinstyle="miter" endarrow="block" endarrowwidth="narrow" endarrowlength="long"/>
                  <v:imagedata o:title=""/>
                  <o:lock v:ext="edit" aspectratio="f"/>
                </v:line>
                <v:shape id="文本框 53" o:spid="_x0000_s1026" o:spt="202" type="#_x0000_t202" style="position:absolute;left:3886835;top:4968240;height:259715;width:62420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boKbLYAAAABgEAAA8AAAAAAAAAAQAgAAAAIgAA&#10;AGRycy9kb3ducmV2LnhtbFBLAQIUABQAAAAIAIdO4kCGNVmtQQIAAE8EAAAOAAAAAAAAAAEAIAAA&#10;ACc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shape id="文本框 54" o:spid="_x0000_s1026" o:spt="202" type="#_x0000_t202" style="position:absolute;left:3808095;top:4544060;height:259715;width:89281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VCI2AAAAAYBAAAPAAAAAAAAAAEAIAAAACIAAABkcnMvZG93bnJldi54bWxQSwEC&#10;FAAUAAAACACHTuJAVzbghC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U1-3</w:t>
                        </w:r>
                        <w:r>
                          <w:rPr>
                            <w:rFonts w:hint="eastAsia"/>
                            <w:sz w:val="21"/>
                            <w:lang w:val="en-US" w:eastAsia="zh-CN"/>
                          </w:rPr>
                          <w:t>粉尘</w:t>
                        </w:r>
                      </w:p>
                    </w:txbxContent>
                  </v:textbox>
                </v:shape>
                <v:line id="直接连接符 55" o:spid="_x0000_s1026" o:spt="20" style="position:absolute;left:4180205;top:4751705;flip:y;height:234950;width:254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zKsQ1wAAAAYBAAAPAAAAAAAAAAEAIAAAACIAAABkcnMvZG93bnJldi54&#10;bWxQSwECFAAUAAAACACHTuJAaubv3fsBAACqAwAADgAAAAAAAAABACAAAAAmAQAAZHJzL2Uyb0Rv&#10;Yy54bWxQSwUGAAAAAAYABgBZAQAAkwUAAAAA&#10;">
                  <v:fill on="f" focussize="0,0"/>
                  <v:stroke weight="0.5pt" color="#000000 [3213]" miterlimit="8" joinstyle="miter" endarrow="block" endarrowwidth="narrow" endarrowlength="long"/>
                  <v:imagedata o:title=""/>
                  <o:lock v:ext="edit" aspectratio="f"/>
                </v:line>
                <v:line id="直接连接符 56" o:spid="_x0000_s1026" o:spt="20" style="position:absolute;left:4518025;top:5089525;flip:y;height:1270;width:54800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zKsQ1wAAAAYBAAAPAAAAAAAAAAEAIAAAACIAAABkcnMvZG93bnJldi54&#10;bWxQSwECFAAUAAAACACHTuJAcuT0c/sBAACq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57" o:spid="_x0000_s1026" o:spt="202" type="#_x0000_t202" style="position:absolute;left:5081270;top:4950460;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C6JQ0u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1-5</w:t>
                        </w:r>
                        <w:r>
                          <w:rPr>
                            <w:rFonts w:hint="eastAsia"/>
                            <w:sz w:val="21"/>
                            <w:lang w:val="en-US" w:eastAsia="zh-CN"/>
                          </w:rPr>
                          <w:t>粉尘</w:t>
                        </w:r>
                      </w:p>
                    </w:txbxContent>
                  </v:textbox>
                </v:shape>
                <v:line id="直接连接符 58" o:spid="_x0000_s1026" o:spt="20" style="position:absolute;left:1941195;top:5044440;flip:x y;height:1905;width:446405;" filled="f" stroked="t" coordsize="21600,21600" o:gfxdata="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7Mqd1gAAAAYBAAAPAAAAAAAAAAEAIAAA&#10;ACIAAABkcnMvZG93bnJldi54bWxQSwECFAAUAAAACACHTuJA0CL+fw4CAADb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59" o:spid="_x0000_s1026" o:spt="202" type="#_x0000_t202" style="position:absolute;left:1114425;top:4907280;height:259715;width:120459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CI2AAAAAYBAAAPAAAAAAAAAAEAIAAAACIAAABkcnMvZG93bnJldi54bWxQSwECFAAU&#10;AAAACACHTuJA+Rw+7CoCAAAn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1-2</w:t>
                        </w:r>
                        <w:r>
                          <w:rPr>
                            <w:rFonts w:hint="eastAsia"/>
                            <w:sz w:val="21"/>
                            <w:vertAlign w:val="baseline"/>
                            <w:lang w:val="en-US" w:eastAsia="zh-CN"/>
                          </w:rPr>
                          <w:t>废包装袋</w:t>
                        </w:r>
                      </w:p>
                    </w:txbxContent>
                  </v:textbox>
                </v:shape>
                <v:line id="直接连接符 60" o:spid="_x0000_s1026" o:spt="20" style="position:absolute;left:2032635;top:1677670;flip:y;height:1270;width:59118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3MqxDXAAAABgEAAA8AAAAAAAAAAQAgAAAAIgAAAGRycy9kb3ducmV2Lnht&#10;bFBLAQIUABQAAAAIAIdO4kABP5oS+gEAAKoDAAAOAAAAAAAAAAEAIAAAACYBAABkcnMvZTJvRG9j&#10;LnhtbFBLBQYAAAAABgAGAFkBAACSBQAAAAA=&#10;">
                  <v:fill on="f" focussize="0,0"/>
                  <v:stroke weight="0.5pt" color="#000000 [3213]" miterlimit="8" joinstyle="miter" endarrow="block" endarrowwidth="narrow" endarrowlength="long"/>
                  <v:imagedata o:title=""/>
                  <o:lock v:ext="edit" aspectratio="f"/>
                </v:line>
                <v:shape id="文本框 61" o:spid="_x0000_s1026" o:spt="202" type="#_x0000_t202" style="position:absolute;left:1565910;top:1521460;height:259715;width:65849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CI2AAAAAYBAAAPAAAAAAAAAAEAIAAAACIAAABkcnMvZG93bnJldi54bWxQSwECFAAU&#10;AAAACACHTuJAVKtDtSoCAAAm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空气</w:t>
                        </w:r>
                      </w:p>
                    </w:txbxContent>
                  </v:textbox>
                </v:shape>
                <v:line id="直接连接符 62" o:spid="_x0000_s1026" o:spt="20" style="position:absolute;left:2838450;top:5184775;flip:x;height:448945;width:12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MqxDXAAAABgEAAA8AAAAAAAAAAQAgAAAAIgAAAGRycy9kb3ducmV2&#10;LnhtbFBLAQIUABQAAAAIAIdO4kBfD8uL/QEAAKoDAAAOAAAAAAAAAAEAIAAAACYBAABkcnMvZTJv&#10;RG9jLnhtbFBLBQYAAAAABgAGAFkBAACVBQAAAAA=&#10;">
                  <v:fill on="f" focussize="0,0"/>
                  <v:stroke weight="0.5pt" color="#000000 [3213]" miterlimit="8" joinstyle="miter" endarrow="block" endarrowwidth="narrow" endarrowlength="long"/>
                  <v:imagedata o:title=""/>
                  <o:lock v:ext="edit" aspectratio="f"/>
                </v:line>
                <v:shape id="文本框 63" o:spid="_x0000_s1026" o:spt="202" type="#_x0000_t202" style="position:absolute;left:2595880;top:5634990;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boKbLYAAAABgEAAA8AAAAAAAAAAQAgAAAAIgAA&#10;AGRycy9kb3ducmV2LnhtbFBLAQIUABQAAAAIAIdO4kB/xUFDQQIAAE8EAAAOAAAAAAAAAAEAIAAA&#10;ACc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破碎</w:t>
                        </w:r>
                      </w:p>
                    </w:txbxContent>
                  </v:textbox>
                </v:shape>
                <v:line id="直接连接符 64" o:spid="_x0000_s1026" o:spt="20" style="position:absolute;left:3063240;top:5790565;flip:y;height:1270;width:59118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9zKsQ1wAAAAYBAAAPAAAAAAAAAAEAIAAAACIAAABkcnMvZG93bnJl&#10;di54bWxQSwECFAAUAAAACACHTuJARJshKf4BAACqAwAADgAAAAAAAAABACAAAAAmAQAAZHJzL2Uy&#10;b0RvYy54bWxQSwUGAAAAAAYABgBZAQAAlgUAAAAA&#10;">
                  <v:fill on="f" focussize="0,0"/>
                  <v:stroke weight="0.5pt" color="#000000 [3213]" miterlimit="8" joinstyle="miter" endarrow="block" endarrowwidth="narrow" endarrowlength="long"/>
                  <v:imagedata o:title=""/>
                  <o:lock v:ext="edit" aspectratio="f"/>
                </v:line>
                <v:shape id="文本框 65" o:spid="_x0000_s1026" o:spt="202" type="#_x0000_t202" style="position:absolute;left:3643630;top:5652770;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VCI2AAAAAYBAAAPAAAAAAAAAAEAIAAAACIAAABkcnMvZG93bnJldi54bWxQSwEC&#10;FAAUAAAACACHTuJAROM/FS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1-6</w:t>
                        </w:r>
                        <w:r>
                          <w:rPr>
                            <w:rFonts w:hint="eastAsia"/>
                            <w:sz w:val="21"/>
                            <w:lang w:val="en-US" w:eastAsia="zh-CN"/>
                          </w:rPr>
                          <w:t>粉尘</w:t>
                        </w:r>
                      </w:p>
                    </w:txbxContent>
                  </v:textbox>
                </v:shape>
                <v:line id="直接连接符 66" o:spid="_x0000_s1026" o:spt="20" style="position:absolute;left:2846705;top:5902960;flip:x;height:448945;width:12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HFnVKn8AQAAqg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67" o:spid="_x0000_s1026" o:spt="202" type="#_x0000_t202" style="position:absolute;left:2612390;top:6353810;height:259715;width:46863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ugpstgAAAAGAQAADwAAAAAAAAABACAAAAAiAAAA&#10;ZHJzL2Rvd25yZXYueG1sUEsBAhQAFAAAAAgAh07iQLaP1ONAAgAATwQAAA4AAAAAAAAAAQAgAAAA&#10;Jw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筛分</w:t>
                        </w:r>
                      </w:p>
                    </w:txbxContent>
                  </v:textbox>
                </v:shape>
                <v:line id="直接连接符 68" o:spid="_x0000_s1026" o:spt="20" style="position:absolute;left:3080385;top:6466205;flip:y;height:1270;width:24574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Pdy29f8AQAAqgMAAA4AAAAAAAAAAQAgAAAAJgEAAGRycy9lMm9E&#10;b2MueG1sUEsFBgAAAAAGAAYAWQEAAJQFAAAAAA==&#10;">
                  <v:fill on="f" focussize="0,0"/>
                  <v:stroke weight="0.5pt" color="#000000 [3213]" miterlimit="8" joinstyle="miter" endarrow="block" endarrowwidth="narrow" endarrowlength="long"/>
                  <v:imagedata o:title=""/>
                  <o:lock v:ext="edit" aspectratio="f"/>
                </v:line>
                <v:line id="直接连接符 70" o:spid="_x0000_s1026" o:spt="20" style="position:absolute;left:2829560;top:2483485;height:427990;width:317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T1RUDVAAAABgEAAA8AAAAAAAAAAQAgAAAAIgAAAGRycy9kb3ducmV2LnhtbFBLAQIUABQA&#10;AAAIAIdO4kCY+Qze8wEAAKADAAAOAAAAAAAAAAEAIAAAACQBAABkcnMvZTJvRG9jLnhtbFBLBQYA&#10;AAAABgAGAFkBAACJBQAAAAA=&#10;">
                  <v:fill on="f" focussize="0,0"/>
                  <v:stroke weight="0.5pt" color="#000000 [3213]" miterlimit="8" joinstyle="miter" endarrow="block" endarrowwidth="narrow" endarrowlength="long"/>
                  <v:imagedata o:title=""/>
                  <o:lock v:ext="edit" aspectratio="f"/>
                </v:line>
                <v:line id="直接连接符 71" o:spid="_x0000_s1026" o:spt="20" style="position:absolute;left:2837815;top:6630670;flip:x;height:448945;width:12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3MqxDXAAAABgEAAA8AAAAAAAAAAQAgAAAAIgAAAGRycy9kb3ducmV2Lnht&#10;bFBLAQIUABQAAAAIAIdO4kBA6V4v+gEAAKoDAAAOAAAAAAAAAAEAIAAAACYBAABkcnMvZTJvRG9j&#10;LnhtbFBLBQYAAAAABgAGAFkBAACSBQAAAAA=&#10;">
                  <v:fill on="f" focussize="0,0"/>
                  <v:stroke weight="0.5pt" color="#000000 [3213]" miterlimit="8" joinstyle="miter" endarrow="block" endarrowwidth="narrow" endarrowlength="long"/>
                  <v:imagedata o:title=""/>
                  <o:lock v:ext="edit" aspectratio="f"/>
                </v:line>
                <v:shape id="文本框 72" o:spid="_x0000_s1026" o:spt="202" type="#_x0000_t202" style="position:absolute;left:2341880;top:7089775;height:259715;width:896620;"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6Cmy2AAAAAYBAAAPAAAAAAAAAAEAIAAAACIA&#10;AABkcnMvZG93bnJldi54bWxQSwECFAAUAAAACACHTuJARr/PmEICAABPBAAADgAAAAAAAAABACAA&#10;AAAnAQAAZHJzL2Uyb0RvYy54bWxQSwUGAAAAAAYABgBZAQAA2w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检验和包装</w:t>
                        </w:r>
                      </w:p>
                    </w:txbxContent>
                  </v:textbox>
                </v:shape>
                <v:line id="直接连接符 73" o:spid="_x0000_s1026" o:spt="20" style="position:absolute;left:3276600;top:7216140;height:3810;width:39560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PVFQNUAAAAGAQAADwAAAAAAAAABACAAAAAiAAAAZHJzL2Rvd25yZXYueG1sUEsBAhQA&#10;FAAAAAgAh07iQLU3WN/1AQAAoAMAAA4AAAAAAAAAAQAgAAAAJAEAAGRycy9lMm9Eb2MueG1sUEsF&#10;BgAAAAAGAAYAWQEAAIsFAAAAAA==&#10;">
                  <v:fill on="f" focussize="0,0"/>
                  <v:stroke weight="0.5pt" color="#000000 [3213]" miterlimit="8" joinstyle="miter" endarrow="block" endarrowwidth="narrow" endarrowlength="long"/>
                  <v:imagedata o:title=""/>
                  <o:lock v:ext="edit" aspectratio="f"/>
                </v:line>
                <v:shape id="文本框 74" o:spid="_x0000_s1026" o:spt="202" type="#_x0000_t202" style="position:absolute;left:3677285;top:7090410;height:259715;width:624205;" filled="f" stroked="t" coordsize="21600,21600" o:gfxdata="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boKbLYAAAABgEAAA8AAAAAAAAAAQAgAAAAIgAA&#10;AGRycy9kb3ducmV2LnhtbFBLAQIUABQAAAAIAIdO4kC+itlXQQIAAE8EAAAOAAAAAAAAAAEAIAAA&#10;ACc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75" o:spid="_x0000_s1026" o:spt="20" style="position:absolute;left:4318635;top:7210425;flip:y;height:1270;width:548005;"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MqxDXAAAABgEAAA8AAAAAAAAAAQAgAAAAIgAAAGRycy9kb3ducmV2&#10;LnhtbFBLAQIUABQAAAAIAIdO4kDUcZDJ/QEAAKoDAAAOAAAAAAAAAAEAIAAAACYBAABkcnMvZTJv&#10;RG9jLnhtbFBLBQYAAAAABgAGAFkBAACVBQAAAAA=&#10;">
                  <v:fill on="f" focussize="0,0"/>
                  <v:stroke weight="0.5pt" color="#000000 [3213]" miterlimit="8" joinstyle="miter" endarrow="block" endarrowwidth="narrow" endarrowlength="long"/>
                  <v:imagedata o:title=""/>
                  <o:lock v:ext="edit" aspectratio="f"/>
                </v:line>
                <v:shape id="文本框 76" o:spid="_x0000_s1026" o:spt="202" type="#_x0000_t202" style="position:absolute;left:4864100;top:7071995;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VCI2AAAAAYBAAAPAAAAAAAAAAEAIAAAACIAAABkcnMvZG93bnJldi54bWxQSwEC&#10;FAAUAAAACACHTuJAYwygqC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1-7</w:t>
                        </w:r>
                        <w:r>
                          <w:rPr>
                            <w:rFonts w:hint="eastAsia"/>
                            <w:sz w:val="21"/>
                            <w:lang w:val="en-US" w:eastAsia="zh-CN"/>
                          </w:rPr>
                          <w:t>粉尘</w:t>
                        </w:r>
                      </w:p>
                    </w:txbxContent>
                  </v:textbox>
                </v:shape>
                <v:line id="直接连接符 77" o:spid="_x0000_s1026" o:spt="20" style="position:absolute;left:3972560;top:6872605;flip:y;height:234950;width:254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rENcAAAAGAQAADwAAAAAAAAABACAAAAAiAAAAZHJzL2Rvd25yZXYu&#10;eG1sUEsBAhQAFAAAAAgAh07iQKUa4dT8AQAAqg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78" o:spid="_x0000_s1026" o:spt="202" type="#_x0000_t202" style="position:absolute;left:3652520;top:6656705;height:259715;width:89281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DWRQIx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U1-4</w:t>
                        </w:r>
                        <w:r>
                          <w:rPr>
                            <w:rFonts w:hint="eastAsia"/>
                            <w:sz w:val="21"/>
                            <w:lang w:val="en-US" w:eastAsia="zh-CN"/>
                          </w:rPr>
                          <w:t>粉尘</w:t>
                        </w:r>
                      </w:p>
                    </w:txbxContent>
                  </v:textbox>
                </v:shape>
                <v:line id="直接连接符 79" o:spid="_x0000_s1026" o:spt="20" style="position:absolute;left:2837815;top:7349490;flip:x;height:448945;width:127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MqxDXAAAABgEAAA8AAAAAAAAAAQAgAAAAIgAAAGRycy9kb3ducmV2&#10;LnhtbFBLAQIUABQAAAAIAIdO4kALGoon/QEAAKoDAAAOAAAAAAAAAAEAIAAAACYBAABkcnMvZTJv&#10;RG9jLnhtbFBLBQYAAAAABgAGAFkBAACVBQAAAAA=&#10;">
                  <v:fill on="f" focussize="0,0"/>
                  <v:stroke weight="0.5pt" color="#000000 [3213]" miterlimit="8" joinstyle="miter" endarrow="block" endarrowwidth="narrow" endarrowlength="long"/>
                  <v:imagedata o:title=""/>
                  <o:lock v:ext="edit" aspectratio="f"/>
                </v:line>
                <v:shape id="文本框 80" o:spid="_x0000_s1026" o:spt="202" type="#_x0000_t202" style="position:absolute;left:2516505;top:7747635;height:259715;width:69405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Ckedws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val="en-US" w:eastAsia="zh-CN"/>
                          </w:rPr>
                          <w:t>产品</w:t>
                        </w:r>
                      </w:p>
                    </w:txbxContent>
                  </v:textbox>
                </v:shape>
                <v:shape id="文本框 81" o:spid="_x0000_s1026" o:spt="202" type="#_x0000_t202" style="position:absolute;left:1670050;top:7990205;height:299085;width:264160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8BUIjYAAAABgEAAA8AAAAAAAAAAQAgAAAAIgAAAGRycy9kb3ducmV2LnhtbFBLAQIUABQA&#10;AAAIAIdO4kDU2WxXKQIAACcEAAAOAAAAAAAAAAEAIAAAACc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bCs/>
                            <w:sz w:val="24"/>
                            <w:szCs w:val="24"/>
                            <w:lang w:val="en-US" w:eastAsia="zh-CN"/>
                          </w:rPr>
                        </w:pPr>
                        <w:r>
                          <w:rPr>
                            <w:rFonts w:hint="eastAsia"/>
                            <w:b/>
                            <w:bCs/>
                            <w:sz w:val="24"/>
                            <w:szCs w:val="24"/>
                            <w:lang w:val="en-US" w:eastAsia="zh-CN"/>
                          </w:rPr>
                          <w:t>图3.2.1-2 一期/二期项目工艺流程图</w:t>
                        </w:r>
                      </w:p>
                    </w:txbxContent>
                  </v:textbox>
                </v:shape>
                <v:line id="直接连接符 14" o:spid="_x0000_s1026" o:spt="20" style="position:absolute;left:2202815;top:1108075;height:0;width:42354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PVFQNUAAAAGAQAADwAAAAAAAAABACAAAAAiAAAAZHJzL2Rvd25yZXYueG1sUEsBAhQAFAAA&#10;AAgAh07iQJzGMZHyAQAAnQMAAA4AAAAAAAAAAQAgAAAAJAEAAGRycy9lMm9Eb2MueG1sUEsFBgAA&#10;AAAGAAYAWQEAAIgFAAAAAA==&#10;">
                  <v:fill on="f" focussize="0,0"/>
                  <v:stroke weight="0.5pt" color="#000000 [3213]" miterlimit="8" joinstyle="miter" endarrow="block" endarrowwidth="narrow" endarrowlength="long"/>
                  <v:imagedata o:title=""/>
                  <o:lock v:ext="edit" aspectratio="f"/>
                </v:line>
                <v:shape id="文本框 15" o:spid="_x0000_s1026" o:spt="202" type="#_x0000_t202" style="position:absolute;left:908685;top:948690;height:466090;width:1305560;"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VCI2AAAAAYBAAAPAAAAAAAAAAEAIAAAACIAAABkcnMvZG93bnJldi54bWxQSwECFAAU&#10;AAAACACHTuJAC8Va5y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val="0"/>
                            <w:bCs w:val="0"/>
                            <w:color w:val="auto"/>
                            <w:sz w:val="18"/>
                            <w:szCs w:val="18"/>
                            <w:lang w:val="en-US" w:eastAsia="zh-CN"/>
                          </w:rPr>
                        </w:pPr>
                        <w:r>
                          <w:rPr>
                            <w:rFonts w:hint="eastAsia"/>
                            <w:b w:val="0"/>
                            <w:bCs w:val="0"/>
                            <w:color w:val="auto"/>
                            <w:sz w:val="18"/>
                            <w:szCs w:val="18"/>
                            <w:lang w:val="en-US" w:eastAsia="zh-CN"/>
                          </w:rPr>
                          <w:t>进料工段布袋除尘器除尘下灰</w:t>
                        </w:r>
                      </w:p>
                    </w:txbxContent>
                  </v:textbox>
                </v:shape>
                <v:line id="直接连接符 45" o:spid="_x0000_s1026" o:spt="20" style="position:absolute;left:3319145;top:5777865;flip:y;height:681355;width:0;" filled="f" stroked="t" coordsize="21600,21600" o:gfxdata="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zKsQ1wAAAAYBAAAPAAAAAAAAAAEAIAAAACIAAABkcnMvZG93bnJldi54bWxQ&#10;SwECFAAUAAAACACHTuJAP7lV9fgBAACnAwAADgAAAAAAAAABACAAAAAmAQAAZHJzL2Uyb0RvYy54&#10;bWxQSwUGAAAAAAYABgBZAQAAkAUAAAAA&#10;">
                  <v:fill on="f" focussize="0,0"/>
                  <v:stroke weight="0.5pt" color="#000000 [3213]" miterlimit="8" joinstyle="miter" endarrow="block" endarrowwidth="narrow" endarrowlength="long"/>
                  <v:imagedata o:title=""/>
                  <o:lock v:ext="edit" aspectratio="f"/>
                </v:line>
                <v:shape id="文本框 15" o:spid="_x0000_s1026" o:spt="202" type="#_x0000_t202" style="position:absolute;left:175260;top:6823075;height:852805;width:1734185;" filled="f" stroked="f" coordsize="21600,21600" o:gfxdata="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8BUIjYAAAABgEAAA8AAAAAAAAAAQAgAAAAIgAAAGRycy9kb3ducmV2LnhtbFBLAQIU&#10;ABQAAAAIAIdO4kAyQw0q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排料、中间包装、半成品仓2、破碎筛分和包装工段布袋除尘器除尘下灰、地面清扫降尘</w:t>
                        </w:r>
                      </w:p>
                    </w:txbxContent>
                  </v:textbox>
                </v:shape>
                <v:line id="直接连接符 14" o:spid="_x0000_s1026" o:spt="20" style="position:absolute;left:1941195;top:7228205;height:0;width:423545;" filled="f" stroked="t" coordsize="21600,21600" o:gfxdata="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U9UVA1QAAAAYBAAAPAAAAAAAAAAEAIAAAACIAAABkcnMvZG93bnJldi54bWxQSwECFAAU&#10;AAAACACHTuJAoAX0ivQBAACdAwAADgAAAAAAAAABACAAAAAkAQAAZHJzL2Uyb0RvYy54bWxQSwUG&#10;AAAAAAYABgBZAQAAigUAAAAA&#10;">
                  <v:fill on="f" focussize="0,0"/>
                  <v:stroke weight="0.5pt" color="#000000 [3213]" miterlimit="8" joinstyle="miter" endarrow="block" endarrowwidth="narrow" endarrowlength="long"/>
                  <v:imagedata o:title=""/>
                  <o:lock v:ext="edit" aspectratio="f"/>
                </v:line>
                <w10:wrap type="none"/>
                <w10:anchorlock/>
              </v:group>
            </w:pict>
          </mc:Fallback>
        </mc:AlternateContent>
      </w:r>
    </w:p>
    <w:p>
      <w:pPr>
        <w:pStyle w:val="5"/>
        <w:bidi w:val="0"/>
        <w:rPr>
          <w:rFonts w:hint="eastAsia"/>
          <w:lang w:val="en-US" w:eastAsia="zh-CN"/>
        </w:rPr>
      </w:pPr>
      <w:r>
        <w:rPr>
          <w:rFonts w:hint="eastAsia"/>
          <w:lang w:val="en-US" w:eastAsia="zh-CN"/>
        </w:rPr>
        <w:t>3.2.2公辅工程及产污环节分析</w:t>
      </w:r>
    </w:p>
    <w:p>
      <w:pPr>
        <w:pStyle w:val="6"/>
        <w:bidi w:val="0"/>
        <w:rPr>
          <w:rFonts w:hint="eastAsia"/>
          <w:lang w:val="en-US" w:eastAsia="zh-CN"/>
        </w:rPr>
      </w:pPr>
      <w:r>
        <w:rPr>
          <w:rFonts w:hint="eastAsia"/>
          <w:lang w:val="en-US" w:eastAsia="zh-CN"/>
        </w:rPr>
        <w:t>3.2.2.1给水工程</w:t>
      </w:r>
    </w:p>
    <w:p>
      <w:pPr>
        <w:numPr>
          <w:ilvl w:val="0"/>
          <w:numId w:val="6"/>
        </w:numPr>
        <w:bidi w:val="0"/>
        <w:rPr>
          <w:rFonts w:hint="eastAsia"/>
          <w:lang w:val="en-US" w:eastAsia="zh-CN"/>
        </w:rPr>
      </w:pPr>
      <w:r>
        <w:rPr>
          <w:rFonts w:hint="eastAsia"/>
          <w:lang w:val="en-US" w:eastAsia="zh-CN"/>
        </w:rPr>
        <w:t>给水水源</w:t>
      </w:r>
    </w:p>
    <w:p>
      <w:pPr>
        <w:bidi w:val="0"/>
        <w:rPr>
          <w:rFonts w:hint="default" w:eastAsia="宋体"/>
          <w:lang w:val="en-US" w:eastAsia="zh-CN"/>
        </w:rPr>
      </w:pPr>
      <w:r>
        <w:rPr>
          <w:rFonts w:hint="eastAsia"/>
          <w:lang w:val="en-US" w:eastAsia="zh-CN"/>
        </w:rPr>
        <w:t>厂区内供水由园区现有供水管网供给。水源接</w:t>
      </w:r>
      <w:r>
        <w:rPr>
          <w:rFonts w:hint="eastAsia"/>
        </w:rPr>
        <w:t>自镇区自来水厂。镇区自来水厂以石安河为供水水源。</w:t>
      </w:r>
      <w:r>
        <w:rPr>
          <w:rFonts w:hint="eastAsia"/>
          <w:lang w:eastAsia="zh-CN"/>
        </w:rPr>
        <w:t>接管口径为</w:t>
      </w:r>
      <w:r>
        <w:rPr>
          <w:rFonts w:hint="eastAsia"/>
          <w:lang w:val="en-US" w:eastAsia="zh-CN"/>
        </w:rPr>
        <w:t>DN150，进口外设计量水表。本项目新鲜水总用量为450m</w:t>
      </w:r>
      <w:r>
        <w:rPr>
          <w:rFonts w:hint="eastAsia"/>
          <w:vertAlign w:val="superscript"/>
          <w:lang w:val="en-US" w:eastAsia="zh-CN"/>
        </w:rPr>
        <w:t>3</w:t>
      </w:r>
      <w:r>
        <w:rPr>
          <w:rFonts w:hint="eastAsia"/>
          <w:lang w:val="en-US" w:eastAsia="zh-CN"/>
        </w:rPr>
        <w:t>/d，148533m</w:t>
      </w:r>
      <w:r>
        <w:rPr>
          <w:rFonts w:hint="eastAsia"/>
          <w:vertAlign w:val="superscript"/>
          <w:lang w:val="en-US" w:eastAsia="zh-CN"/>
        </w:rPr>
        <w:t>3</w:t>
      </w:r>
      <w:r>
        <w:rPr>
          <w:rFonts w:hint="eastAsia"/>
          <w:lang w:val="en-US" w:eastAsia="zh-CN"/>
        </w:rPr>
        <w:t>/a。</w:t>
      </w:r>
    </w:p>
    <w:p>
      <w:pPr>
        <w:numPr>
          <w:ilvl w:val="0"/>
          <w:numId w:val="6"/>
        </w:numPr>
        <w:bidi w:val="0"/>
        <w:rPr>
          <w:rFonts w:hint="default"/>
          <w:lang w:val="en-US" w:eastAsia="zh-CN"/>
        </w:rPr>
      </w:pPr>
      <w:r>
        <w:rPr>
          <w:rFonts w:hint="eastAsia"/>
          <w:lang w:val="en-US" w:eastAsia="zh-CN"/>
        </w:rPr>
        <w:t>给水系统</w:t>
      </w:r>
    </w:p>
    <w:p>
      <w:pPr>
        <w:bidi w:val="0"/>
        <w:rPr>
          <w:rFonts w:hint="eastAsia"/>
          <w:b w:val="0"/>
          <w:bCs w:val="0"/>
          <w:lang w:val="en-US" w:eastAsia="zh-CN"/>
        </w:rPr>
      </w:pPr>
      <w:r>
        <w:rPr>
          <w:rFonts w:hint="default"/>
          <w:b w:val="0"/>
          <w:bCs w:val="0"/>
          <w:lang w:val="en-US" w:eastAsia="zh-CN"/>
        </w:rPr>
        <w:fldChar w:fldCharType="begin"/>
      </w:r>
      <w:r>
        <w:rPr>
          <w:rFonts w:hint="default"/>
          <w:b w:val="0"/>
          <w:bCs w:val="0"/>
          <w:lang w:val="en-US" w:eastAsia="zh-CN"/>
        </w:rPr>
        <w:instrText xml:space="preserve"> = 1 \* GB3 \* MERGEFORMAT </w:instrText>
      </w:r>
      <w:r>
        <w:rPr>
          <w:rFonts w:hint="default"/>
          <w:b w:val="0"/>
          <w:bCs w:val="0"/>
          <w:lang w:val="en-US" w:eastAsia="zh-CN"/>
        </w:rPr>
        <w:fldChar w:fldCharType="separate"/>
      </w:r>
      <w:r>
        <w:rPr>
          <w:b w:val="0"/>
          <w:bCs w:val="0"/>
        </w:rPr>
        <w:t>①</w:t>
      </w:r>
      <w:r>
        <w:rPr>
          <w:rFonts w:hint="default"/>
          <w:b w:val="0"/>
          <w:bCs w:val="0"/>
          <w:lang w:val="en-US" w:eastAsia="zh-CN"/>
        </w:rPr>
        <w:fldChar w:fldCharType="end"/>
      </w:r>
      <w:r>
        <w:rPr>
          <w:rFonts w:hint="eastAsia"/>
          <w:b w:val="0"/>
          <w:bCs w:val="0"/>
          <w:lang w:val="en-US" w:eastAsia="zh-CN"/>
        </w:rPr>
        <w:t>冷却给水系统：包括变压器循环冷却用水、电煅炉冷却用水。</w:t>
      </w:r>
    </w:p>
    <w:p>
      <w:pPr>
        <w:bidi w:val="0"/>
        <w:rPr>
          <w:rFonts w:hint="default"/>
          <w:lang w:val="en-US" w:eastAsia="zh-CN"/>
        </w:rPr>
      </w:pPr>
      <w:r>
        <w:rPr>
          <w:rFonts w:hint="eastAsia"/>
          <w:b/>
          <w:bCs/>
          <w:lang w:val="en-US" w:eastAsia="zh-CN"/>
        </w:rPr>
        <w:t>变压器循环冷却用水</w:t>
      </w:r>
      <w:r>
        <w:rPr>
          <w:rFonts w:hint="eastAsia"/>
          <w:lang w:val="en-US" w:eastAsia="zh-CN"/>
        </w:rPr>
        <w:t>：变压器冷却采用油水冷却器，采用软水冷却，每台变压器软水用量为20t/h，单期项目循环水量为240m</w:t>
      </w:r>
      <w:r>
        <w:rPr>
          <w:rFonts w:hint="eastAsia"/>
          <w:vertAlign w:val="superscript"/>
          <w:lang w:val="en-US" w:eastAsia="zh-CN"/>
        </w:rPr>
        <w:t>3</w:t>
      </w:r>
      <w:r>
        <w:rPr>
          <w:rFonts w:hint="eastAsia"/>
          <w:vertAlign w:val="baseline"/>
          <w:lang w:val="en-US" w:eastAsia="zh-CN"/>
        </w:rPr>
        <w:t>/</w:t>
      </w:r>
      <w:r>
        <w:rPr>
          <w:rFonts w:hint="eastAsia"/>
          <w:lang w:val="en-US" w:eastAsia="zh-CN"/>
        </w:rPr>
        <w:t>h。</w:t>
      </w:r>
    </w:p>
    <w:p>
      <w:pPr>
        <w:spacing w:line="360" w:lineRule="auto"/>
        <w:ind w:firstLine="560" w:firstLineChars="200"/>
        <w:rPr>
          <w:rFonts w:hint="eastAsia"/>
          <w:lang w:val="en-US" w:eastAsia="zh-CN"/>
        </w:rPr>
      </w:pPr>
      <w:r>
        <w:t>本项目</w:t>
      </w:r>
      <w:r>
        <w:rPr>
          <w:rFonts w:hint="eastAsia"/>
          <w:lang w:eastAsia="zh-CN"/>
        </w:rPr>
        <w:t>采用树脂软水净化</w:t>
      </w:r>
      <w:r>
        <w:t>系统</w:t>
      </w:r>
      <w:r>
        <w:rPr>
          <w:rFonts w:hint="eastAsia"/>
          <w:lang w:eastAsia="zh-CN"/>
        </w:rPr>
        <w:t>，</w:t>
      </w:r>
      <w:r>
        <w:t>设计处理能力为4</w:t>
      </w:r>
      <w:r>
        <w:rPr>
          <w:rFonts w:hint="eastAsia"/>
          <w:lang w:val="en-US" w:eastAsia="zh-CN"/>
        </w:rPr>
        <w:t>m</w:t>
      </w:r>
      <w:r>
        <w:rPr>
          <w:rFonts w:hint="eastAsia"/>
          <w:vertAlign w:val="superscript"/>
          <w:lang w:val="en-US" w:eastAsia="zh-CN"/>
        </w:rPr>
        <w:t>3</w:t>
      </w:r>
      <w:r>
        <w:t>/h，管内软化水循环水损耗较少，</w:t>
      </w:r>
      <w:r>
        <w:rPr>
          <w:rFonts w:hint="eastAsia"/>
          <w:lang w:eastAsia="zh-CN"/>
        </w:rPr>
        <w:t>根据企业提供资料，变压器循环冷却水密闭循环使用，损耗量极少，每期</w:t>
      </w:r>
      <w:r>
        <w:t>损耗量约为</w:t>
      </w:r>
      <w:r>
        <w:rPr>
          <w:rFonts w:hint="eastAsia"/>
          <w:lang w:val="en-US" w:eastAsia="zh-CN"/>
        </w:rPr>
        <w:t>5m</w:t>
      </w:r>
      <w:r>
        <w:rPr>
          <w:rFonts w:hint="eastAsia"/>
          <w:vertAlign w:val="superscript"/>
          <w:lang w:val="en-US" w:eastAsia="zh-CN"/>
        </w:rPr>
        <w:t>3</w:t>
      </w:r>
      <w:r>
        <w:t>/d。</w:t>
      </w:r>
      <w:r>
        <w:rPr>
          <w:rFonts w:hint="eastAsia"/>
          <w:lang w:val="en-US" w:eastAsia="zh-CN"/>
        </w:rPr>
        <w:t>项目运行后，软化水系统补充水量3300m</w:t>
      </w:r>
      <w:r>
        <w:rPr>
          <w:rFonts w:hint="eastAsia"/>
          <w:vertAlign w:val="superscript"/>
          <w:lang w:val="en-US" w:eastAsia="zh-CN"/>
        </w:rPr>
        <w:t>3</w:t>
      </w:r>
      <w:r>
        <w:rPr>
          <w:rFonts w:hint="eastAsia"/>
          <w:lang w:val="en-US" w:eastAsia="zh-CN"/>
        </w:rPr>
        <w:t>/a，单期工程补充为1650m</w:t>
      </w:r>
      <w:r>
        <w:rPr>
          <w:rFonts w:hint="eastAsia"/>
          <w:vertAlign w:val="superscript"/>
          <w:lang w:val="en-US" w:eastAsia="zh-CN"/>
        </w:rPr>
        <w:t>3</w:t>
      </w:r>
      <w:r>
        <w:rPr>
          <w:rFonts w:hint="eastAsia"/>
          <w:lang w:val="en-US" w:eastAsia="zh-CN"/>
        </w:rPr>
        <w:t>/a。本项目软化水制备率取80%，软水制备系统排水约825m</w:t>
      </w:r>
      <w:r>
        <w:rPr>
          <w:rFonts w:hint="eastAsia"/>
          <w:vertAlign w:val="superscript"/>
          <w:lang w:val="en-US" w:eastAsia="zh-CN"/>
        </w:rPr>
        <w:t>3</w:t>
      </w:r>
      <w:r>
        <w:rPr>
          <w:rFonts w:hint="eastAsia"/>
          <w:lang w:val="en-US" w:eastAsia="zh-CN"/>
        </w:rPr>
        <w:t>/a，单期工程软水制备排水为412.5m</w:t>
      </w:r>
      <w:r>
        <w:rPr>
          <w:rFonts w:hint="eastAsia"/>
          <w:vertAlign w:val="superscript"/>
          <w:lang w:val="en-US" w:eastAsia="zh-CN"/>
        </w:rPr>
        <w:t>3</w:t>
      </w:r>
      <w:r>
        <w:rPr>
          <w:rFonts w:hint="eastAsia"/>
          <w:lang w:val="en-US" w:eastAsia="zh-CN"/>
        </w:rPr>
        <w:t>/a。</w:t>
      </w:r>
    </w:p>
    <w:p>
      <w:pPr>
        <w:bidi w:val="0"/>
        <w:rPr>
          <w:rFonts w:hint="default"/>
          <w:b/>
          <w:bCs/>
          <w:lang w:val="en-US" w:eastAsia="zh-CN"/>
        </w:rPr>
      </w:pPr>
      <w:r>
        <w:rPr>
          <w:rFonts w:hint="default"/>
          <w:b/>
          <w:bCs/>
          <w:lang w:val="en-US" w:eastAsia="zh-CN"/>
        </w:rPr>
        <w:t>软水制备原理：</w:t>
      </w:r>
    </w:p>
    <w:p>
      <w:pPr>
        <w:bidi w:val="0"/>
        <w:rPr>
          <w:rFonts w:hint="default"/>
          <w:lang w:val="en-US" w:eastAsia="zh-CN"/>
        </w:rPr>
      </w:pPr>
      <w:r>
        <w:rPr>
          <w:rFonts w:hint="default"/>
          <w:lang w:val="en-US" w:eastAsia="zh-CN"/>
        </w:rPr>
        <w:t>当含有钙、镁离子的</w:t>
      </w:r>
      <w:r>
        <w:rPr>
          <w:rFonts w:hint="eastAsia"/>
          <w:lang w:val="en-US" w:eastAsia="zh-CN"/>
        </w:rPr>
        <w:t>新鲜</w:t>
      </w:r>
      <w:r>
        <w:rPr>
          <w:rFonts w:hint="default"/>
          <w:lang w:val="en-US" w:eastAsia="zh-CN"/>
        </w:rPr>
        <w:t>水通过交换树脂层时，水中的钙、镁离子与树脂内的钠离子发生置换，树脂吸附了钙、镁离子而钠离子进入水中，这样从交换器内流出的水就是去掉了硬度离子的软化水。当树脂中钠离子全部被置出来后就失去了交换功能，此时使用氯化钠溶液对树脂进行再生，将树脂吸附的钙、镁离子置换下来，树脂重新吸附了钠离子，恢复了软化交换能力，在软化、再生过程中会有排污水，产水率约80%</w:t>
      </w:r>
    </w:p>
    <w:p>
      <w:pPr>
        <w:bidi w:val="0"/>
        <w:rPr>
          <w:rFonts w:hint="eastAsia"/>
          <w:lang w:val="en-US" w:eastAsia="zh-CN"/>
        </w:rPr>
      </w:pPr>
      <w:r>
        <w:rPr>
          <w:rFonts w:hint="eastAsia"/>
          <w:b/>
          <w:bCs/>
          <w:lang w:val="en-US" w:eastAsia="zh-CN"/>
        </w:rPr>
        <w:t>电煅炉冷却用水</w:t>
      </w:r>
      <w:r>
        <w:rPr>
          <w:rFonts w:hint="eastAsia"/>
          <w:lang w:val="en-US" w:eastAsia="zh-CN"/>
        </w:rPr>
        <w:t>:电煅炉冷却用水采用新鲜水，根据设计资料，单期设计循环水量均为1500m</w:t>
      </w:r>
      <w:r>
        <w:rPr>
          <w:rFonts w:hint="eastAsia"/>
          <w:vertAlign w:val="superscript"/>
          <w:lang w:val="en-US" w:eastAsia="zh-CN"/>
        </w:rPr>
        <w:t>3</w:t>
      </w:r>
      <w:r>
        <w:rPr>
          <w:rFonts w:hint="eastAsia"/>
          <w:lang w:val="en-US" w:eastAsia="zh-CN"/>
        </w:rPr>
        <w:t>/h。</w:t>
      </w:r>
    </w:p>
    <w:p>
      <w:pPr>
        <w:bidi w:val="0"/>
        <w:rPr>
          <w:rFonts w:hint="eastAsia" w:eastAsia="宋体"/>
          <w:lang w:val="en-US" w:eastAsia="zh-CN"/>
        </w:rPr>
      </w:pPr>
      <w:r>
        <w:t>蒸发</w:t>
      </w:r>
      <w:r>
        <w:rPr>
          <w:rFonts w:hint="eastAsia"/>
          <w:lang w:eastAsia="zh-CN"/>
        </w:rPr>
        <w:t>损耗</w:t>
      </w:r>
      <w:r>
        <w:t>为循环水量的</w:t>
      </w:r>
      <w:r>
        <w:rPr>
          <w:rFonts w:hint="eastAsia"/>
          <w:lang w:val="en-US" w:eastAsia="zh-CN"/>
        </w:rPr>
        <w:t>0.5</w:t>
      </w:r>
      <w:r>
        <w:t>%，</w:t>
      </w:r>
      <w:r>
        <w:rPr>
          <w:rFonts w:hint="eastAsia"/>
          <w:lang w:val="en-US" w:eastAsia="zh-CN"/>
        </w:rPr>
        <w:t>118800</w:t>
      </w:r>
      <w:r>
        <w:t>m</w:t>
      </w:r>
      <w:r>
        <w:rPr>
          <w:vertAlign w:val="superscript"/>
        </w:rPr>
        <w:t>3</w:t>
      </w:r>
      <w:r>
        <w:t>/a，</w:t>
      </w:r>
      <w:r>
        <w:rPr>
          <w:rFonts w:hint="eastAsia"/>
          <w:lang w:eastAsia="zh-CN"/>
        </w:rPr>
        <w:t>单期损耗量</w:t>
      </w:r>
      <w:r>
        <w:t>为</w:t>
      </w:r>
      <w:r>
        <w:rPr>
          <w:rFonts w:hint="eastAsia"/>
          <w:lang w:val="en-US" w:eastAsia="zh-CN"/>
        </w:rPr>
        <w:t>59400</w:t>
      </w:r>
      <w:r>
        <w:t>m</w:t>
      </w:r>
      <w:r>
        <w:rPr>
          <w:vertAlign w:val="superscript"/>
        </w:rPr>
        <w:t>3</w:t>
      </w:r>
      <w:r>
        <w:t>/a</w:t>
      </w:r>
      <w:r>
        <w:rPr>
          <w:rFonts w:hint="eastAsia"/>
          <w:lang w:eastAsia="zh-CN"/>
        </w:rPr>
        <w:t>。循环水池定期排水排盐，排水量约为循环水量的</w:t>
      </w:r>
      <w:r>
        <w:rPr>
          <w:rFonts w:hint="eastAsia"/>
          <w:lang w:val="en-US" w:eastAsia="zh-CN"/>
        </w:rPr>
        <w:t>0.1%，排水量约为23760</w:t>
      </w:r>
      <w:r>
        <w:t>m</w:t>
      </w:r>
      <w:r>
        <w:rPr>
          <w:vertAlign w:val="superscript"/>
        </w:rPr>
        <w:t>3</w:t>
      </w:r>
      <w:r>
        <w:t>/a，</w:t>
      </w:r>
      <w:r>
        <w:rPr>
          <w:rFonts w:hint="eastAsia"/>
          <w:lang w:eastAsia="zh-CN"/>
        </w:rPr>
        <w:t>单期排水量</w:t>
      </w:r>
      <w:r>
        <w:t>为</w:t>
      </w:r>
      <w:r>
        <w:rPr>
          <w:rFonts w:hint="eastAsia"/>
          <w:lang w:val="en-US" w:eastAsia="zh-CN"/>
        </w:rPr>
        <w:t>11880</w:t>
      </w:r>
      <w:r>
        <w:t>m</w:t>
      </w:r>
      <w:r>
        <w:rPr>
          <w:vertAlign w:val="superscript"/>
        </w:rPr>
        <w:t>3</w:t>
      </w:r>
      <w:r>
        <w:t>/a</w:t>
      </w:r>
      <w:r>
        <w:rPr>
          <w:rFonts w:hint="eastAsia"/>
          <w:lang w:eastAsia="zh-CN"/>
        </w:rPr>
        <w:t>。则电煅循环冷却水补充新鲜水为</w:t>
      </w:r>
      <w:r>
        <w:rPr>
          <w:rFonts w:hint="eastAsia"/>
          <w:lang w:val="en-US" w:eastAsia="zh-CN"/>
        </w:rPr>
        <w:t>142560</w:t>
      </w:r>
      <w:r>
        <w:t>m</w:t>
      </w:r>
      <w:r>
        <w:rPr>
          <w:vertAlign w:val="superscript"/>
        </w:rPr>
        <w:t>3</w:t>
      </w:r>
      <w:r>
        <w:t>/a</w:t>
      </w:r>
      <w:r>
        <w:rPr>
          <w:rFonts w:hint="eastAsia"/>
          <w:lang w:eastAsia="zh-CN"/>
        </w:rPr>
        <w:t>，单期工程补充新鲜水</w:t>
      </w:r>
      <w:r>
        <w:t>为</w:t>
      </w:r>
      <w:r>
        <w:rPr>
          <w:rFonts w:hint="eastAsia"/>
          <w:lang w:val="en-US" w:eastAsia="zh-CN"/>
        </w:rPr>
        <w:t>71280</w:t>
      </w:r>
      <w:r>
        <w:t>m</w:t>
      </w:r>
      <w:r>
        <w:rPr>
          <w:vertAlign w:val="superscript"/>
        </w:rPr>
        <w:t>3</w:t>
      </w:r>
      <w:r>
        <w:t>/a</w:t>
      </w:r>
      <w:r>
        <w:rPr>
          <w:rFonts w:hint="eastAsia"/>
          <w:lang w:eastAsia="zh-CN"/>
        </w:rPr>
        <w:t>。</w:t>
      </w:r>
    </w:p>
    <w:p>
      <w:pPr>
        <w:bidi w:val="0"/>
        <w:rPr>
          <w:rFonts w:hint="eastAsia"/>
          <w:b w:val="0"/>
          <w:bCs w:val="0"/>
          <w:lang w:val="en-US" w:eastAsia="zh-CN"/>
        </w:rPr>
      </w:pPr>
      <w:r>
        <w:rPr>
          <w:rFonts w:hint="default"/>
          <w:b w:val="0"/>
          <w:bCs w:val="0"/>
          <w:lang w:val="en-US" w:eastAsia="zh-CN"/>
        </w:rPr>
        <w:fldChar w:fldCharType="begin"/>
      </w:r>
      <w:r>
        <w:rPr>
          <w:rFonts w:hint="default"/>
          <w:b w:val="0"/>
          <w:bCs w:val="0"/>
          <w:lang w:val="en-US" w:eastAsia="zh-CN"/>
        </w:rPr>
        <w:instrText xml:space="preserve"> = 2 \* GB3 \* MERGEFORMAT </w:instrText>
      </w:r>
      <w:r>
        <w:rPr>
          <w:rFonts w:hint="default"/>
          <w:b w:val="0"/>
          <w:bCs w:val="0"/>
          <w:lang w:val="en-US" w:eastAsia="zh-CN"/>
        </w:rPr>
        <w:fldChar w:fldCharType="separate"/>
      </w:r>
      <w:r>
        <w:rPr>
          <w:b w:val="0"/>
          <w:bCs w:val="0"/>
        </w:rPr>
        <w:t>②</w:t>
      </w:r>
      <w:r>
        <w:rPr>
          <w:rFonts w:hint="default"/>
          <w:b w:val="0"/>
          <w:bCs w:val="0"/>
          <w:lang w:val="en-US" w:eastAsia="zh-CN"/>
        </w:rPr>
        <w:fldChar w:fldCharType="end"/>
      </w:r>
      <w:r>
        <w:rPr>
          <w:rFonts w:hint="eastAsia"/>
          <w:b w:val="0"/>
          <w:bCs w:val="0"/>
          <w:lang w:val="en-US" w:eastAsia="zh-CN"/>
        </w:rPr>
        <w:t>脱硫给水系统</w:t>
      </w:r>
    </w:p>
    <w:p>
      <w:pPr>
        <w:bidi w:val="0"/>
        <w:rPr>
          <w:rFonts w:hint="default"/>
          <w:lang w:val="en-US" w:eastAsia="zh-CN"/>
        </w:rPr>
      </w:pPr>
      <w:r>
        <w:rPr>
          <w:rFonts w:hint="eastAsia"/>
          <w:lang w:val="en-US" w:eastAsia="zh-CN"/>
        </w:rPr>
        <w:t>项目共设置一套氧化钙脱硫系统（二级），处理电煅炉废气，单期脱硫系统补充水量为0.46m</w:t>
      </w:r>
      <w:r>
        <w:rPr>
          <w:rFonts w:hint="eastAsia"/>
          <w:vertAlign w:val="superscript"/>
          <w:lang w:val="en-US" w:eastAsia="zh-CN"/>
        </w:rPr>
        <w:t>3</w:t>
      </w:r>
      <w:r>
        <w:rPr>
          <w:rFonts w:hint="eastAsia"/>
          <w:lang w:val="en-US" w:eastAsia="zh-CN"/>
        </w:rPr>
        <w:t>/d(152.33m</w:t>
      </w:r>
      <w:r>
        <w:rPr>
          <w:rFonts w:hint="eastAsia"/>
          <w:vertAlign w:val="superscript"/>
          <w:lang w:val="en-US" w:eastAsia="zh-CN"/>
        </w:rPr>
        <w:t>3</w:t>
      </w:r>
      <w:r>
        <w:rPr>
          <w:rFonts w:hint="eastAsia"/>
          <w:lang w:val="en-US" w:eastAsia="zh-CN"/>
        </w:rPr>
        <w:t>/a)，全厂脱硫系统补充水总量为0.92m</w:t>
      </w:r>
      <w:r>
        <w:rPr>
          <w:rFonts w:hint="eastAsia"/>
          <w:vertAlign w:val="superscript"/>
          <w:lang w:val="en-US" w:eastAsia="zh-CN"/>
        </w:rPr>
        <w:t>3</w:t>
      </w:r>
      <w:r>
        <w:rPr>
          <w:rFonts w:hint="eastAsia"/>
          <w:lang w:val="en-US" w:eastAsia="zh-CN"/>
        </w:rPr>
        <w:t>/d(304.66m</w:t>
      </w:r>
      <w:r>
        <w:rPr>
          <w:rFonts w:hint="eastAsia"/>
          <w:vertAlign w:val="superscript"/>
          <w:lang w:val="en-US" w:eastAsia="zh-CN"/>
        </w:rPr>
        <w:t>3</w:t>
      </w:r>
      <w:r>
        <w:rPr>
          <w:rFonts w:hint="eastAsia"/>
          <w:lang w:val="en-US" w:eastAsia="zh-CN"/>
        </w:rPr>
        <w:t>/a)</w:t>
      </w:r>
    </w:p>
    <w:p>
      <w:pPr>
        <w:bidi w:val="0"/>
        <w:rPr>
          <w:rFonts w:hint="eastAsia"/>
          <w:b w:val="0"/>
          <w:bCs w:val="0"/>
          <w:lang w:val="en-US" w:eastAsia="zh-CN"/>
        </w:rPr>
      </w:pPr>
      <w:r>
        <w:rPr>
          <w:rFonts w:hint="default"/>
          <w:b w:val="0"/>
          <w:bCs w:val="0"/>
          <w:lang w:val="en-US" w:eastAsia="zh-CN"/>
        </w:rPr>
        <w:fldChar w:fldCharType="begin"/>
      </w:r>
      <w:r>
        <w:rPr>
          <w:rFonts w:hint="default"/>
          <w:b w:val="0"/>
          <w:bCs w:val="0"/>
          <w:lang w:val="en-US" w:eastAsia="zh-CN"/>
        </w:rPr>
        <w:instrText xml:space="preserve"> = 3 \* GB3 \* MERGEFORMAT </w:instrText>
      </w:r>
      <w:r>
        <w:rPr>
          <w:rFonts w:hint="default"/>
          <w:b w:val="0"/>
          <w:bCs w:val="0"/>
          <w:lang w:val="en-US" w:eastAsia="zh-CN"/>
        </w:rPr>
        <w:fldChar w:fldCharType="separate"/>
      </w:r>
      <w:r>
        <w:rPr>
          <w:b w:val="0"/>
          <w:bCs w:val="0"/>
        </w:rPr>
        <w:t>③</w:t>
      </w:r>
      <w:r>
        <w:rPr>
          <w:rFonts w:hint="default"/>
          <w:b w:val="0"/>
          <w:bCs w:val="0"/>
          <w:lang w:val="en-US" w:eastAsia="zh-CN"/>
        </w:rPr>
        <w:fldChar w:fldCharType="end"/>
      </w:r>
      <w:r>
        <w:rPr>
          <w:rFonts w:hint="eastAsia"/>
          <w:b w:val="0"/>
          <w:bCs w:val="0"/>
          <w:lang w:val="en-US" w:eastAsia="zh-CN"/>
        </w:rPr>
        <w:t>生活给水、食堂给水系统</w:t>
      </w:r>
    </w:p>
    <w:p>
      <w:pPr>
        <w:bidi w:val="0"/>
        <w:rPr>
          <w:rFonts w:hint="eastAsia"/>
          <w:lang w:val="en-US" w:eastAsia="zh-CN"/>
        </w:rPr>
      </w:pPr>
      <w:r>
        <w:t>根据企业提供资料，项目投产后劳动定员40人，公司员工日生活用水量以120L/人·天计，</w:t>
      </w:r>
      <w:r>
        <w:rPr>
          <w:rFonts w:hint="eastAsia"/>
          <w:lang w:eastAsia="zh-CN"/>
        </w:rPr>
        <w:t>用水量为</w:t>
      </w:r>
      <w:r>
        <w:rPr>
          <w:rFonts w:hint="eastAsia"/>
          <w:lang w:val="en-US" w:eastAsia="zh-CN"/>
        </w:rPr>
        <w:t>4.8m</w:t>
      </w:r>
      <w:r>
        <w:rPr>
          <w:rFonts w:hint="eastAsia"/>
          <w:vertAlign w:val="superscript"/>
          <w:lang w:val="en-US" w:eastAsia="zh-CN"/>
        </w:rPr>
        <w:t>3</w:t>
      </w:r>
      <w:r>
        <w:rPr>
          <w:rFonts w:hint="eastAsia"/>
          <w:lang w:val="en-US" w:eastAsia="zh-CN"/>
        </w:rPr>
        <w:t>/d(1584m</w:t>
      </w:r>
      <w:r>
        <w:rPr>
          <w:rFonts w:hint="eastAsia"/>
          <w:vertAlign w:val="superscript"/>
          <w:lang w:val="en-US" w:eastAsia="zh-CN"/>
        </w:rPr>
        <w:t>3</w:t>
      </w:r>
      <w:r>
        <w:rPr>
          <w:rFonts w:hint="eastAsia"/>
          <w:lang w:val="en-US" w:eastAsia="zh-CN"/>
        </w:rPr>
        <w:t>/a)</w:t>
      </w:r>
      <w:r>
        <w:rPr>
          <w:rFonts w:hint="eastAsia"/>
          <w:lang w:eastAsia="zh-CN"/>
        </w:rPr>
        <w:t>，</w:t>
      </w:r>
      <w:r>
        <w:t>排放系数以0.9计，</w:t>
      </w:r>
      <w:r>
        <w:rPr>
          <w:rFonts w:hint="eastAsia"/>
          <w:lang w:eastAsia="zh-CN"/>
        </w:rPr>
        <w:t>生活污水排放量为</w:t>
      </w:r>
      <w:r>
        <w:rPr>
          <w:rFonts w:hint="eastAsia"/>
          <w:lang w:val="en-US" w:eastAsia="zh-CN"/>
        </w:rPr>
        <w:t>4.32m</w:t>
      </w:r>
      <w:r>
        <w:rPr>
          <w:rFonts w:hint="eastAsia"/>
          <w:vertAlign w:val="superscript"/>
          <w:lang w:val="en-US" w:eastAsia="zh-CN"/>
        </w:rPr>
        <w:t>3</w:t>
      </w:r>
      <w:r>
        <w:rPr>
          <w:rFonts w:hint="eastAsia"/>
          <w:lang w:val="en-US" w:eastAsia="zh-CN"/>
        </w:rPr>
        <w:t>/d(1425.6m</w:t>
      </w:r>
      <w:r>
        <w:rPr>
          <w:rFonts w:hint="eastAsia"/>
          <w:vertAlign w:val="superscript"/>
          <w:lang w:val="en-US" w:eastAsia="zh-CN"/>
        </w:rPr>
        <w:t>3</w:t>
      </w:r>
      <w:r>
        <w:rPr>
          <w:rFonts w:hint="eastAsia"/>
          <w:lang w:val="en-US" w:eastAsia="zh-CN"/>
        </w:rPr>
        <w:t>/a)，</w:t>
      </w:r>
      <w:r>
        <w:t>经厂区</w:t>
      </w:r>
      <w:r>
        <w:rPr>
          <w:rFonts w:hint="eastAsia"/>
          <w:lang w:eastAsia="zh-CN"/>
        </w:rPr>
        <w:t>化粪池</w:t>
      </w:r>
      <w:r>
        <w:t>处理后排入</w:t>
      </w:r>
      <w:r>
        <w:rPr>
          <w:rFonts w:hint="eastAsia"/>
          <w:lang w:eastAsia="zh-CN"/>
        </w:rPr>
        <w:t>青湖镇联村生活污水处理厂</w:t>
      </w:r>
      <w:r>
        <w:t>集中处理。</w:t>
      </w:r>
      <w:r>
        <w:rPr>
          <w:rFonts w:hint="eastAsia"/>
          <w:lang w:eastAsia="zh-CN"/>
        </w:rPr>
        <w:t>其中一期生活用水为</w:t>
      </w:r>
      <w:r>
        <w:rPr>
          <w:rFonts w:hint="eastAsia"/>
          <w:lang w:val="en-US" w:eastAsia="zh-CN"/>
        </w:rPr>
        <w:t>3.24m</w:t>
      </w:r>
      <w:r>
        <w:rPr>
          <w:rFonts w:hint="eastAsia"/>
          <w:vertAlign w:val="superscript"/>
          <w:lang w:val="en-US" w:eastAsia="zh-CN"/>
        </w:rPr>
        <w:t>3</w:t>
      </w:r>
      <w:r>
        <w:rPr>
          <w:rFonts w:hint="eastAsia"/>
          <w:lang w:val="en-US" w:eastAsia="zh-CN"/>
        </w:rPr>
        <w:t>/d(1069.2m</w:t>
      </w:r>
      <w:r>
        <w:rPr>
          <w:rFonts w:hint="eastAsia"/>
          <w:vertAlign w:val="superscript"/>
          <w:lang w:val="en-US" w:eastAsia="zh-CN"/>
        </w:rPr>
        <w:t>3</w:t>
      </w:r>
      <w:r>
        <w:rPr>
          <w:rFonts w:hint="eastAsia"/>
          <w:lang w:val="en-US" w:eastAsia="zh-CN"/>
        </w:rPr>
        <w:t>/a)，排水2.92m</w:t>
      </w:r>
      <w:r>
        <w:rPr>
          <w:rFonts w:hint="eastAsia"/>
          <w:vertAlign w:val="superscript"/>
          <w:lang w:val="en-US" w:eastAsia="zh-CN"/>
        </w:rPr>
        <w:t>3</w:t>
      </w:r>
      <w:r>
        <w:rPr>
          <w:rFonts w:hint="eastAsia"/>
          <w:lang w:val="en-US" w:eastAsia="zh-CN"/>
        </w:rPr>
        <w:t>/d(962.28m</w:t>
      </w:r>
      <w:r>
        <w:rPr>
          <w:rFonts w:hint="eastAsia"/>
          <w:vertAlign w:val="superscript"/>
          <w:lang w:val="en-US" w:eastAsia="zh-CN"/>
        </w:rPr>
        <w:t>3</w:t>
      </w:r>
      <w:r>
        <w:rPr>
          <w:rFonts w:hint="eastAsia"/>
          <w:lang w:val="en-US" w:eastAsia="zh-CN"/>
        </w:rPr>
        <w:t>/a)，二期用水1.56m</w:t>
      </w:r>
      <w:r>
        <w:rPr>
          <w:rFonts w:hint="eastAsia"/>
          <w:vertAlign w:val="superscript"/>
          <w:lang w:val="en-US" w:eastAsia="zh-CN"/>
        </w:rPr>
        <w:t>3</w:t>
      </w:r>
      <w:r>
        <w:rPr>
          <w:rFonts w:hint="eastAsia"/>
          <w:lang w:val="en-US" w:eastAsia="zh-CN"/>
        </w:rPr>
        <w:t>/d(514.8m</w:t>
      </w:r>
      <w:r>
        <w:rPr>
          <w:rFonts w:hint="eastAsia"/>
          <w:vertAlign w:val="superscript"/>
          <w:lang w:val="en-US" w:eastAsia="zh-CN"/>
        </w:rPr>
        <w:t>3</w:t>
      </w:r>
      <w:r>
        <w:rPr>
          <w:rFonts w:hint="eastAsia"/>
          <w:lang w:val="en-US" w:eastAsia="zh-CN"/>
        </w:rPr>
        <w:t>/a)，排水1.40m</w:t>
      </w:r>
      <w:r>
        <w:rPr>
          <w:rFonts w:hint="eastAsia"/>
          <w:vertAlign w:val="superscript"/>
          <w:lang w:val="en-US" w:eastAsia="zh-CN"/>
        </w:rPr>
        <w:t>3</w:t>
      </w:r>
      <w:r>
        <w:rPr>
          <w:rFonts w:hint="eastAsia"/>
          <w:lang w:val="en-US" w:eastAsia="zh-CN"/>
        </w:rPr>
        <w:t>/d(463.32m</w:t>
      </w:r>
      <w:r>
        <w:rPr>
          <w:rFonts w:hint="eastAsia"/>
          <w:vertAlign w:val="superscript"/>
          <w:lang w:val="en-US" w:eastAsia="zh-CN"/>
        </w:rPr>
        <w:t>3</w:t>
      </w:r>
      <w:r>
        <w:rPr>
          <w:rFonts w:hint="eastAsia"/>
          <w:lang w:val="en-US" w:eastAsia="zh-CN"/>
        </w:rPr>
        <w:t>/a)</w:t>
      </w:r>
    </w:p>
    <w:p>
      <w:pPr>
        <w:bidi w:val="0"/>
        <w:rPr>
          <w:rFonts w:hint="eastAsia" w:eastAsia="宋体"/>
          <w:lang w:val="en-US" w:eastAsia="zh-CN"/>
        </w:rPr>
      </w:pPr>
      <w:r>
        <w:rPr>
          <w:rFonts w:hint="eastAsia"/>
        </w:rPr>
        <w:t>食堂就餐人员约</w:t>
      </w:r>
      <w:r>
        <w:rPr>
          <w:rFonts w:hint="eastAsia"/>
          <w:lang w:val="en-US" w:eastAsia="zh-CN"/>
        </w:rPr>
        <w:t>4</w:t>
      </w:r>
      <w:r>
        <w:rPr>
          <w:rFonts w:hint="eastAsia"/>
        </w:rPr>
        <w:t>0人/d，按用水量20L/人·天，则年用水量为</w:t>
      </w:r>
      <w:r>
        <w:rPr>
          <w:rFonts w:hint="eastAsia"/>
          <w:lang w:val="en-US" w:eastAsia="zh-CN"/>
        </w:rPr>
        <w:t>264</w:t>
      </w:r>
      <w:r>
        <w:rPr>
          <w:rFonts w:hint="eastAsia"/>
        </w:rPr>
        <w:t>m</w:t>
      </w:r>
      <w:r>
        <w:rPr>
          <w:rFonts w:hint="eastAsia"/>
          <w:vertAlign w:val="superscript"/>
        </w:rPr>
        <w:t>3</w:t>
      </w:r>
      <w:r>
        <w:rPr>
          <w:rFonts w:hint="eastAsia"/>
        </w:rPr>
        <w:t>/a，排水量以80%计，则食堂废水排放量约</w:t>
      </w:r>
      <w:r>
        <w:rPr>
          <w:rFonts w:hint="eastAsia"/>
          <w:lang w:val="en-US" w:eastAsia="zh-CN"/>
        </w:rPr>
        <w:t>211.2</w:t>
      </w:r>
      <w:r>
        <w:rPr>
          <w:rFonts w:hint="eastAsia"/>
        </w:rPr>
        <w:t>m</w:t>
      </w:r>
      <w:r>
        <w:rPr>
          <w:rFonts w:hint="eastAsia"/>
          <w:vertAlign w:val="superscript"/>
        </w:rPr>
        <w:t>3</w:t>
      </w:r>
      <w:r>
        <w:rPr>
          <w:rFonts w:hint="eastAsia"/>
        </w:rPr>
        <w:t>/a。</w:t>
      </w:r>
      <w:r>
        <w:rPr>
          <w:rFonts w:hint="eastAsia"/>
          <w:lang w:eastAsia="zh-CN"/>
        </w:rPr>
        <w:t>其中一期用水量为</w:t>
      </w:r>
      <w:r>
        <w:rPr>
          <w:rFonts w:hint="eastAsia"/>
          <w:lang w:val="en-US" w:eastAsia="zh-CN"/>
        </w:rPr>
        <w:t>178.2</w:t>
      </w:r>
      <w:r>
        <w:rPr>
          <w:rFonts w:hint="eastAsia"/>
        </w:rPr>
        <w:t>m</w:t>
      </w:r>
      <w:r>
        <w:rPr>
          <w:rFonts w:hint="eastAsia"/>
          <w:vertAlign w:val="superscript"/>
        </w:rPr>
        <w:t>3</w:t>
      </w:r>
      <w:r>
        <w:rPr>
          <w:rFonts w:hint="eastAsia"/>
        </w:rPr>
        <w:t>/a，排水量</w:t>
      </w:r>
      <w:r>
        <w:rPr>
          <w:rFonts w:hint="eastAsia"/>
          <w:lang w:eastAsia="zh-CN"/>
        </w:rPr>
        <w:t>为</w:t>
      </w:r>
      <w:r>
        <w:rPr>
          <w:rFonts w:hint="eastAsia"/>
          <w:lang w:val="en-US" w:eastAsia="zh-CN"/>
        </w:rPr>
        <w:t>142.56</w:t>
      </w:r>
      <w:r>
        <w:rPr>
          <w:rFonts w:hint="eastAsia"/>
        </w:rPr>
        <w:t>m</w:t>
      </w:r>
      <w:r>
        <w:rPr>
          <w:rFonts w:hint="eastAsia"/>
          <w:vertAlign w:val="superscript"/>
        </w:rPr>
        <w:t>3</w:t>
      </w:r>
      <w:r>
        <w:rPr>
          <w:rFonts w:hint="eastAsia"/>
        </w:rPr>
        <w:t>/a</w:t>
      </w:r>
      <w:r>
        <w:rPr>
          <w:rFonts w:hint="eastAsia"/>
          <w:lang w:eastAsia="zh-CN"/>
        </w:rPr>
        <w:t>。二期用水量为</w:t>
      </w:r>
      <w:r>
        <w:rPr>
          <w:rFonts w:hint="eastAsia"/>
          <w:lang w:val="en-US" w:eastAsia="zh-CN"/>
        </w:rPr>
        <w:t>85.8</w:t>
      </w:r>
      <w:r>
        <w:rPr>
          <w:rFonts w:hint="eastAsia"/>
        </w:rPr>
        <w:t>m</w:t>
      </w:r>
      <w:r>
        <w:rPr>
          <w:rFonts w:hint="eastAsia"/>
          <w:vertAlign w:val="superscript"/>
        </w:rPr>
        <w:t>3</w:t>
      </w:r>
      <w:r>
        <w:rPr>
          <w:rFonts w:hint="eastAsia"/>
        </w:rPr>
        <w:t>/a，排水量</w:t>
      </w:r>
      <w:r>
        <w:rPr>
          <w:rFonts w:hint="eastAsia"/>
          <w:lang w:eastAsia="zh-CN"/>
        </w:rPr>
        <w:t>为</w:t>
      </w:r>
      <w:r>
        <w:rPr>
          <w:rFonts w:hint="eastAsia"/>
          <w:lang w:val="en-US" w:eastAsia="zh-CN"/>
        </w:rPr>
        <w:t>68.64</w:t>
      </w:r>
      <w:r>
        <w:rPr>
          <w:rFonts w:hint="eastAsia"/>
        </w:rPr>
        <w:t>m</w:t>
      </w:r>
      <w:r>
        <w:rPr>
          <w:rFonts w:hint="eastAsia"/>
          <w:vertAlign w:val="superscript"/>
        </w:rPr>
        <w:t>3</w:t>
      </w:r>
      <w:r>
        <w:rPr>
          <w:rFonts w:hint="eastAsia"/>
        </w:rPr>
        <w:t>/a</w:t>
      </w:r>
      <w:r>
        <w:rPr>
          <w:rFonts w:hint="eastAsia"/>
          <w:lang w:eastAsia="zh-CN"/>
        </w:rPr>
        <w:t>。</w:t>
      </w:r>
    </w:p>
    <w:p>
      <w:pPr>
        <w:bidi w:val="0"/>
        <w:rPr>
          <w:rFonts w:hint="eastAsia"/>
          <w:b w:val="0"/>
          <w:bCs w:val="0"/>
          <w:lang w:val="en-US" w:eastAsia="zh-CN"/>
        </w:rPr>
      </w:pPr>
      <w:r>
        <w:rPr>
          <w:rFonts w:hint="default"/>
          <w:b w:val="0"/>
          <w:bCs w:val="0"/>
          <w:lang w:val="en-US" w:eastAsia="zh-CN"/>
        </w:rPr>
        <w:fldChar w:fldCharType="begin"/>
      </w:r>
      <w:r>
        <w:rPr>
          <w:rFonts w:hint="default"/>
          <w:b w:val="0"/>
          <w:bCs w:val="0"/>
          <w:lang w:val="en-US" w:eastAsia="zh-CN"/>
        </w:rPr>
        <w:instrText xml:space="preserve"> = 4 \* GB3 \* MERGEFORMAT </w:instrText>
      </w:r>
      <w:r>
        <w:rPr>
          <w:rFonts w:hint="default"/>
          <w:b w:val="0"/>
          <w:bCs w:val="0"/>
          <w:lang w:val="en-US" w:eastAsia="zh-CN"/>
        </w:rPr>
        <w:fldChar w:fldCharType="separate"/>
      </w:r>
      <w:r>
        <w:rPr>
          <w:b w:val="0"/>
          <w:bCs w:val="0"/>
        </w:rPr>
        <w:t>④</w:t>
      </w:r>
      <w:r>
        <w:rPr>
          <w:rFonts w:hint="default"/>
          <w:b w:val="0"/>
          <w:bCs w:val="0"/>
          <w:lang w:val="en-US" w:eastAsia="zh-CN"/>
        </w:rPr>
        <w:fldChar w:fldCharType="end"/>
      </w:r>
      <w:r>
        <w:rPr>
          <w:rFonts w:hint="eastAsia"/>
          <w:b w:val="0"/>
          <w:bCs w:val="0"/>
          <w:lang w:val="en-US" w:eastAsia="zh-CN"/>
        </w:rPr>
        <w:t>消防给水系统</w:t>
      </w:r>
    </w:p>
    <w:p>
      <w:pPr>
        <w:bidi w:val="0"/>
        <w:rPr>
          <w:rFonts w:hint="eastAsia"/>
        </w:rPr>
      </w:pPr>
      <w:r>
        <w:rPr>
          <w:rFonts w:hint="eastAsia"/>
        </w:rPr>
        <w:t>本次重点考察</w:t>
      </w:r>
      <w:r>
        <w:rPr>
          <w:rFonts w:hint="eastAsia"/>
          <w:lang w:eastAsia="zh-CN"/>
        </w:rPr>
        <w:t>车间</w:t>
      </w:r>
      <w:r>
        <w:rPr>
          <w:rFonts w:hint="eastAsia"/>
        </w:rPr>
        <w:t>发生火灾时产生的消防废水，参考《建筑设计防火规范》（</w:t>
      </w:r>
      <w:r>
        <w:t>GB50016-2014</w:t>
      </w:r>
      <w:r>
        <w:rPr>
          <w:rFonts w:hint="eastAsia"/>
        </w:rPr>
        <w:t>）（</w:t>
      </w:r>
      <w:r>
        <w:t>2018</w:t>
      </w:r>
      <w:r>
        <w:rPr>
          <w:rFonts w:hint="eastAsia"/>
        </w:rPr>
        <w:t>年版）和《消防给水及消火栓系统技术规范》</w:t>
      </w:r>
      <w:r>
        <w:t>(GB50974-2014)</w:t>
      </w:r>
      <w:r>
        <w:rPr>
          <w:rFonts w:hint="eastAsia"/>
        </w:rPr>
        <w:t>。车间消防用水量为</w:t>
      </w:r>
      <w:r>
        <w:t>35L/s</w:t>
      </w:r>
      <w:r>
        <w:rPr>
          <w:rFonts w:hint="eastAsia"/>
        </w:rPr>
        <w:t>，火灾延续时间参照</w:t>
      </w:r>
      <w:r>
        <w:rPr>
          <w:rFonts w:hint="eastAsia"/>
          <w:lang w:eastAsia="zh-CN"/>
        </w:rPr>
        <w:t>丁</w:t>
      </w:r>
      <w:r>
        <w:rPr>
          <w:rFonts w:hint="eastAsia"/>
        </w:rPr>
        <w:t>类厂房，取</w:t>
      </w:r>
      <w:r>
        <w:rPr>
          <w:rFonts w:hint="eastAsia"/>
          <w:lang w:val="en-US" w:eastAsia="zh-CN"/>
        </w:rPr>
        <w:t>2</w:t>
      </w:r>
      <w:r>
        <w:t>h</w:t>
      </w:r>
      <w:r>
        <w:rPr>
          <w:rFonts w:hint="eastAsia"/>
        </w:rPr>
        <w:t>，计算得</w:t>
      </w:r>
      <w:r>
        <w:rPr>
          <w:rFonts w:hint="eastAsia"/>
          <w:lang w:val="en-US" w:eastAsia="zh-CN"/>
        </w:rPr>
        <w:t>252</w:t>
      </w:r>
      <w:r>
        <w:t>m</w:t>
      </w:r>
      <w:r>
        <w:rPr>
          <w:vertAlign w:val="superscript"/>
        </w:rPr>
        <w:t>3</w:t>
      </w:r>
      <w:r>
        <w:rPr>
          <w:rFonts w:hint="eastAsia"/>
        </w:rPr>
        <w:t>。</w:t>
      </w:r>
    </w:p>
    <w:p>
      <w:pPr>
        <w:bidi w:val="0"/>
      </w:pPr>
      <w:r>
        <w:rPr>
          <w:rFonts w:hint="eastAsia"/>
          <w:lang w:eastAsia="zh-CN"/>
        </w:rPr>
        <w:t>本项目的循环水冷却水池兼顾消防水池，其容积为</w:t>
      </w:r>
      <w:r>
        <w:rPr>
          <w:rFonts w:hint="eastAsia"/>
          <w:lang w:val="en-US" w:eastAsia="zh-CN"/>
        </w:rPr>
        <w:t>616</w:t>
      </w:r>
      <w:r>
        <w:t>m</w:t>
      </w:r>
      <w:r>
        <w:rPr>
          <w:vertAlign w:val="superscript"/>
        </w:rPr>
        <w:t>3</w:t>
      </w:r>
      <w:r>
        <w:t>，</w:t>
      </w:r>
      <w:r>
        <w:rPr>
          <w:rFonts w:hint="eastAsia"/>
          <w:lang w:eastAsia="zh-CN"/>
        </w:rPr>
        <w:t>能够同时满足消防和冷却需求。</w:t>
      </w:r>
    </w:p>
    <w:p>
      <w:pPr>
        <w:bidi w:val="0"/>
        <w:rPr>
          <w:rFonts w:hint="eastAsia"/>
          <w:lang w:val="en-US" w:eastAsia="zh-CN"/>
        </w:rPr>
      </w:pPr>
      <w:r>
        <w:rPr>
          <w:rFonts w:hint="eastAsia"/>
          <w:lang w:eastAsia="zh-CN"/>
        </w:rPr>
        <w:fldChar w:fldCharType="begin"/>
      </w:r>
      <w:r>
        <w:rPr>
          <w:rFonts w:hint="eastAsia"/>
          <w:lang w:eastAsia="zh-CN"/>
        </w:rPr>
        <w:instrText xml:space="preserve"> = 6 \* GB3 \* MERGEFORMAT </w:instrText>
      </w:r>
      <w:r>
        <w:rPr>
          <w:rFonts w:hint="eastAsia"/>
          <w:lang w:eastAsia="zh-CN"/>
        </w:rPr>
        <w:fldChar w:fldCharType="separate"/>
      </w:r>
      <w:r>
        <w:t>⑥</w:t>
      </w:r>
      <w:r>
        <w:rPr>
          <w:rFonts w:hint="eastAsia"/>
          <w:lang w:eastAsia="zh-CN"/>
        </w:rPr>
        <w:fldChar w:fldCharType="end"/>
      </w:r>
      <w:r>
        <w:rPr>
          <w:rFonts w:hint="eastAsia"/>
          <w:lang w:eastAsia="zh-CN"/>
        </w:rPr>
        <w:t>绿化用水：</w:t>
      </w:r>
      <w:r>
        <w:rPr>
          <w:rFonts w:hint="eastAsia"/>
          <w:lang w:val="en-US" w:eastAsia="zh-CN"/>
        </w:rPr>
        <w:t>绿化面积约6534.62m</w:t>
      </w:r>
      <w:r>
        <w:rPr>
          <w:rFonts w:hint="eastAsia"/>
          <w:vertAlign w:val="superscript"/>
          <w:lang w:val="en-US" w:eastAsia="zh-CN"/>
        </w:rPr>
        <w:t>2</w:t>
      </w:r>
      <w:r>
        <w:rPr>
          <w:rFonts w:hint="eastAsia"/>
          <w:lang w:val="en-US" w:eastAsia="zh-CN"/>
        </w:rPr>
        <w:t>，绿化率15.0%，绿化用水量按2L/(m</w:t>
      </w:r>
      <w:r>
        <w:rPr>
          <w:rFonts w:hint="eastAsia"/>
          <w:vertAlign w:val="superscript"/>
          <w:lang w:val="en-US" w:eastAsia="zh-CN"/>
        </w:rPr>
        <w:t>2</w:t>
      </w:r>
      <w:r>
        <w:rPr>
          <w:rFonts w:hint="default" w:ascii="Times New Roman" w:hAnsi="Times New Roman" w:cs="Times New Roman"/>
          <w:lang w:val="en-US" w:eastAsia="zh-CN"/>
        </w:rPr>
        <w:t>·</w:t>
      </w:r>
      <w:r>
        <w:rPr>
          <w:rFonts w:hint="eastAsia"/>
          <w:lang w:val="en-US" w:eastAsia="zh-CN"/>
        </w:rPr>
        <w:t>d)，每年按250天计算，则用水量为3267.31m</w:t>
      </w:r>
      <w:r>
        <w:rPr>
          <w:rFonts w:hint="eastAsia"/>
          <w:vertAlign w:val="superscript"/>
          <w:lang w:val="en-US" w:eastAsia="zh-CN"/>
        </w:rPr>
        <w:t>3</w:t>
      </w:r>
      <w:r>
        <w:rPr>
          <w:rFonts w:hint="eastAsia"/>
          <w:lang w:val="en-US" w:eastAsia="zh-CN"/>
        </w:rPr>
        <w:t>/a。</w:t>
      </w:r>
    </w:p>
    <w:p>
      <w:pPr>
        <w:pStyle w:val="6"/>
        <w:bidi w:val="0"/>
        <w:rPr>
          <w:rFonts w:hint="eastAsia"/>
          <w:lang w:val="en-US" w:eastAsia="zh-CN"/>
        </w:rPr>
      </w:pPr>
      <w:r>
        <w:rPr>
          <w:rFonts w:hint="eastAsia"/>
          <w:lang w:val="en-US" w:eastAsia="zh-CN"/>
        </w:rPr>
        <w:t>3.2.2.2 排水工程</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循环冷却排水：主要含少量盐、SS，</w:t>
      </w:r>
      <w:r>
        <w:t>作为清下水排入区域雨水管网</w:t>
      </w:r>
      <w:r>
        <w:rPr>
          <w:rFonts w:hint="eastAsia"/>
          <w:lang w:val="en-US" w:eastAsia="zh-CN"/>
        </w:rPr>
        <w:t>。</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2 \* GB2 \* MERGEFORMAT </w:instrText>
      </w:r>
      <w:r>
        <w:rPr>
          <w:rFonts w:hint="eastAsia"/>
          <w:lang w:val="en-US" w:eastAsia="zh-CN"/>
        </w:rPr>
        <w:fldChar w:fldCharType="separate"/>
      </w:r>
      <w:r>
        <w:t>⑵</w:t>
      </w:r>
      <w:r>
        <w:rPr>
          <w:rFonts w:hint="eastAsia"/>
          <w:lang w:val="en-US" w:eastAsia="zh-CN"/>
        </w:rPr>
        <w:fldChar w:fldCharType="end"/>
      </w:r>
      <w:r>
        <w:rPr>
          <w:rFonts w:hint="eastAsia"/>
          <w:lang w:val="en-US" w:eastAsia="zh-CN"/>
        </w:rPr>
        <w:t>软水制备系统排水：项软水制备系统排水约825m</w:t>
      </w:r>
      <w:r>
        <w:rPr>
          <w:rFonts w:hint="eastAsia"/>
          <w:vertAlign w:val="superscript"/>
          <w:lang w:val="en-US" w:eastAsia="zh-CN"/>
        </w:rPr>
        <w:t>3</w:t>
      </w:r>
      <w:r>
        <w:rPr>
          <w:rFonts w:hint="eastAsia"/>
          <w:lang w:val="en-US" w:eastAsia="zh-CN"/>
        </w:rPr>
        <w:t>/a，单期工程软水制备排水分别为412.5m</w:t>
      </w:r>
      <w:r>
        <w:rPr>
          <w:rFonts w:hint="eastAsia"/>
          <w:vertAlign w:val="superscript"/>
          <w:lang w:val="en-US" w:eastAsia="zh-CN"/>
        </w:rPr>
        <w:t>3</w:t>
      </w:r>
      <w:r>
        <w:rPr>
          <w:rFonts w:hint="eastAsia"/>
          <w:lang w:val="en-US" w:eastAsia="zh-CN"/>
        </w:rPr>
        <w:t>/a，属于清净下水，主要含少量盐、SS，</w:t>
      </w:r>
      <w:r>
        <w:rPr>
          <w:rFonts w:hint="eastAsia"/>
          <w:vertAlign w:val="baseline"/>
          <w:lang w:val="en-US" w:eastAsia="zh-CN"/>
        </w:rPr>
        <w:t>部分作脱硫系统补充水使用，部分补充绿化系统用水，剩余部分作为清下水排放</w:t>
      </w:r>
      <w:r>
        <w:rPr>
          <w:rFonts w:hint="eastAsia"/>
          <w:lang w:val="en-US" w:eastAsia="zh-CN"/>
        </w:rPr>
        <w:t>。</w:t>
      </w:r>
    </w:p>
    <w:p>
      <w:pPr>
        <w:numPr>
          <w:ilvl w:val="0"/>
          <w:numId w:val="0"/>
        </w:numPr>
        <w:ind w:leftChars="200"/>
        <w:rPr>
          <w:rFonts w:hint="eastAsia"/>
          <w:lang w:val="en-US" w:eastAsia="zh-CN"/>
        </w:rPr>
      </w:pPr>
      <w:r>
        <w:rPr>
          <w:rFonts w:hint="eastAsia"/>
          <w:lang w:val="en-US" w:eastAsia="zh-CN"/>
        </w:rPr>
        <w:fldChar w:fldCharType="begin"/>
      </w:r>
      <w:r>
        <w:rPr>
          <w:rFonts w:hint="eastAsia"/>
          <w:lang w:val="en-US" w:eastAsia="zh-CN"/>
        </w:rPr>
        <w:instrText xml:space="preserve"> = 3 \* GB2 \* MERGEFORMAT </w:instrText>
      </w:r>
      <w:r>
        <w:rPr>
          <w:rFonts w:hint="eastAsia"/>
          <w:lang w:val="en-US" w:eastAsia="zh-CN"/>
        </w:rPr>
        <w:fldChar w:fldCharType="separate"/>
      </w:r>
      <w:r>
        <w:t>⑶</w:t>
      </w:r>
      <w:r>
        <w:rPr>
          <w:rFonts w:hint="eastAsia"/>
          <w:lang w:val="en-US" w:eastAsia="zh-CN"/>
        </w:rPr>
        <w:fldChar w:fldCharType="end"/>
      </w:r>
      <w:r>
        <w:rPr>
          <w:rFonts w:hint="eastAsia"/>
          <w:lang w:val="en-US" w:eastAsia="zh-CN"/>
        </w:rPr>
        <w:t>脱硫废水：无。损耗和进入脱硫石膏。</w:t>
      </w:r>
    </w:p>
    <w:p>
      <w:pPr>
        <w:numPr>
          <w:ilvl w:val="0"/>
          <w:numId w:val="0"/>
        </w:numPr>
        <w:ind w:leftChars="200"/>
        <w:rPr>
          <w:rFonts w:hint="eastAsia"/>
          <w:lang w:val="en-US" w:eastAsia="zh-CN"/>
        </w:rPr>
      </w:pPr>
      <w:r>
        <w:rPr>
          <w:rFonts w:hint="eastAsia"/>
          <w:lang w:val="en-US" w:eastAsia="zh-CN"/>
        </w:rPr>
        <w:fldChar w:fldCharType="begin"/>
      </w:r>
      <w:r>
        <w:rPr>
          <w:rFonts w:hint="eastAsia"/>
          <w:lang w:val="en-US" w:eastAsia="zh-CN"/>
        </w:rPr>
        <w:instrText xml:space="preserve"> = 4 \* GB2 \* MERGEFORMAT </w:instrText>
      </w:r>
      <w:r>
        <w:rPr>
          <w:rFonts w:hint="eastAsia"/>
          <w:lang w:val="en-US" w:eastAsia="zh-CN"/>
        </w:rPr>
        <w:fldChar w:fldCharType="separate"/>
      </w:r>
      <w:r>
        <w:t>⑷</w:t>
      </w:r>
      <w:r>
        <w:rPr>
          <w:rFonts w:hint="eastAsia"/>
          <w:lang w:val="en-US" w:eastAsia="zh-CN"/>
        </w:rPr>
        <w:fldChar w:fldCharType="end"/>
      </w:r>
      <w:r>
        <w:rPr>
          <w:rFonts w:hint="eastAsia"/>
          <w:lang w:val="en-US" w:eastAsia="zh-CN"/>
        </w:rPr>
        <w:t>生活污水、食堂废水</w:t>
      </w:r>
    </w:p>
    <w:p>
      <w:pPr>
        <w:bidi w:val="0"/>
        <w:rPr>
          <w:rFonts w:hint="eastAsia"/>
          <w:lang w:val="en-US" w:eastAsia="zh-CN"/>
        </w:rPr>
      </w:pPr>
      <w:r>
        <w:rPr>
          <w:rFonts w:hint="eastAsia"/>
          <w:lang w:val="en-US" w:eastAsia="zh-CN"/>
        </w:rPr>
        <w:t>生活污水的产生量为4.32m</w:t>
      </w:r>
      <w:r>
        <w:rPr>
          <w:rFonts w:hint="eastAsia"/>
          <w:vertAlign w:val="superscript"/>
          <w:lang w:val="en-US" w:eastAsia="zh-CN"/>
        </w:rPr>
        <w:t>3</w:t>
      </w:r>
      <w:r>
        <w:rPr>
          <w:rFonts w:hint="eastAsia"/>
          <w:lang w:val="en-US" w:eastAsia="zh-CN"/>
        </w:rPr>
        <w:t>/d(1425.6m</w:t>
      </w:r>
      <w:r>
        <w:rPr>
          <w:rFonts w:hint="eastAsia"/>
          <w:vertAlign w:val="superscript"/>
          <w:lang w:val="en-US" w:eastAsia="zh-CN"/>
        </w:rPr>
        <w:t>3</w:t>
      </w:r>
      <w:r>
        <w:rPr>
          <w:rFonts w:hint="eastAsia"/>
          <w:lang w:val="en-US" w:eastAsia="zh-CN"/>
        </w:rPr>
        <w:t>/a)，废水中所含的污染物主要是COD、BOD</w:t>
      </w:r>
      <w:r>
        <w:rPr>
          <w:rFonts w:hint="eastAsia"/>
          <w:vertAlign w:val="subscript"/>
          <w:lang w:val="en-US" w:eastAsia="zh-CN"/>
        </w:rPr>
        <w:t>5</w:t>
      </w:r>
      <w:r>
        <w:rPr>
          <w:rFonts w:hint="eastAsia"/>
          <w:lang w:val="en-US" w:eastAsia="zh-CN"/>
        </w:rPr>
        <w:t>、SS和氨氮等，</w:t>
      </w:r>
      <w:r>
        <w:rPr>
          <w:rFonts w:hint="eastAsia"/>
          <w:lang w:eastAsia="zh-CN"/>
        </w:rPr>
        <w:t>其中一期</w:t>
      </w:r>
      <w:r>
        <w:rPr>
          <w:rFonts w:hint="eastAsia"/>
        </w:rPr>
        <w:t>排水量</w:t>
      </w:r>
      <w:r>
        <w:rPr>
          <w:rFonts w:hint="eastAsia"/>
          <w:lang w:eastAsia="zh-CN"/>
        </w:rPr>
        <w:t>为</w:t>
      </w:r>
      <w:r>
        <w:rPr>
          <w:rFonts w:hint="eastAsia"/>
          <w:lang w:val="en-US" w:eastAsia="zh-CN"/>
        </w:rPr>
        <w:t>962.28</w:t>
      </w:r>
      <w:r>
        <w:rPr>
          <w:rFonts w:hint="eastAsia"/>
        </w:rPr>
        <w:t>m</w:t>
      </w:r>
      <w:r>
        <w:rPr>
          <w:rFonts w:hint="eastAsia"/>
          <w:vertAlign w:val="superscript"/>
        </w:rPr>
        <w:t>3</w:t>
      </w:r>
      <w:r>
        <w:rPr>
          <w:rFonts w:hint="eastAsia"/>
        </w:rPr>
        <w:t>/a</w:t>
      </w:r>
      <w:r>
        <w:rPr>
          <w:rFonts w:hint="eastAsia"/>
          <w:lang w:eastAsia="zh-CN"/>
        </w:rPr>
        <w:t>。二期</w:t>
      </w:r>
      <w:r>
        <w:rPr>
          <w:rFonts w:hint="eastAsia"/>
        </w:rPr>
        <w:t>排水量</w:t>
      </w:r>
      <w:r>
        <w:rPr>
          <w:rFonts w:hint="eastAsia"/>
          <w:lang w:eastAsia="zh-CN"/>
        </w:rPr>
        <w:t>为</w:t>
      </w:r>
      <w:r>
        <w:rPr>
          <w:rFonts w:hint="eastAsia"/>
          <w:lang w:val="en-US" w:eastAsia="zh-CN"/>
        </w:rPr>
        <w:t>463.32</w:t>
      </w:r>
      <w:r>
        <w:rPr>
          <w:rFonts w:hint="eastAsia"/>
        </w:rPr>
        <w:t>m</w:t>
      </w:r>
      <w:r>
        <w:rPr>
          <w:rFonts w:hint="eastAsia"/>
          <w:vertAlign w:val="superscript"/>
        </w:rPr>
        <w:t>3</w:t>
      </w:r>
      <w:r>
        <w:rPr>
          <w:rFonts w:hint="eastAsia"/>
        </w:rPr>
        <w:t>/a</w:t>
      </w:r>
      <w:r>
        <w:rPr>
          <w:rFonts w:hint="eastAsia"/>
          <w:lang w:eastAsia="zh-CN"/>
        </w:rPr>
        <w:t>。</w:t>
      </w:r>
      <w:r>
        <w:rPr>
          <w:rFonts w:hint="eastAsia"/>
          <w:lang w:val="en-US" w:eastAsia="zh-CN"/>
        </w:rPr>
        <w:t>生活污水经化粪池预处理后进青湖镇联村生活污水处理厂处理。</w:t>
      </w:r>
    </w:p>
    <w:p>
      <w:pPr>
        <w:bidi w:val="0"/>
        <w:rPr>
          <w:rFonts w:hint="eastAsia"/>
          <w:lang w:val="en-US" w:eastAsia="zh-CN"/>
        </w:rPr>
      </w:pPr>
      <w:r>
        <w:rPr>
          <w:rFonts w:hint="eastAsia"/>
        </w:rPr>
        <w:t>食堂废水排放量约</w:t>
      </w:r>
      <w:r>
        <w:rPr>
          <w:rFonts w:hint="eastAsia"/>
          <w:lang w:val="en-US" w:eastAsia="zh-CN"/>
        </w:rPr>
        <w:t>211.2</w:t>
      </w:r>
      <w:r>
        <w:rPr>
          <w:rFonts w:hint="eastAsia"/>
        </w:rPr>
        <w:t>m</w:t>
      </w:r>
      <w:r>
        <w:rPr>
          <w:rFonts w:hint="eastAsia"/>
          <w:vertAlign w:val="superscript"/>
        </w:rPr>
        <w:t>3</w:t>
      </w:r>
      <w:r>
        <w:rPr>
          <w:rFonts w:hint="eastAsia"/>
        </w:rPr>
        <w:t>/a。</w:t>
      </w:r>
      <w:r>
        <w:rPr>
          <w:rFonts w:hint="eastAsia"/>
          <w:lang w:eastAsia="zh-CN"/>
        </w:rPr>
        <w:t>其中一期</w:t>
      </w:r>
      <w:r>
        <w:rPr>
          <w:rFonts w:hint="eastAsia"/>
        </w:rPr>
        <w:t>排水量</w:t>
      </w:r>
      <w:r>
        <w:rPr>
          <w:rFonts w:hint="eastAsia"/>
          <w:lang w:eastAsia="zh-CN"/>
        </w:rPr>
        <w:t>为</w:t>
      </w:r>
      <w:r>
        <w:rPr>
          <w:rFonts w:hint="eastAsia"/>
          <w:lang w:val="en-US" w:eastAsia="zh-CN"/>
        </w:rPr>
        <w:t>142.56</w:t>
      </w:r>
      <w:r>
        <w:rPr>
          <w:rFonts w:hint="eastAsia"/>
        </w:rPr>
        <w:t>m</w:t>
      </w:r>
      <w:r>
        <w:rPr>
          <w:rFonts w:hint="eastAsia"/>
          <w:vertAlign w:val="superscript"/>
        </w:rPr>
        <w:t>3</w:t>
      </w:r>
      <w:r>
        <w:rPr>
          <w:rFonts w:hint="eastAsia"/>
        </w:rPr>
        <w:t>/a</w:t>
      </w:r>
      <w:r>
        <w:rPr>
          <w:rFonts w:hint="eastAsia"/>
          <w:lang w:eastAsia="zh-CN"/>
        </w:rPr>
        <w:t>。二期</w:t>
      </w:r>
      <w:r>
        <w:rPr>
          <w:rFonts w:hint="eastAsia"/>
        </w:rPr>
        <w:t>排水量</w:t>
      </w:r>
      <w:r>
        <w:rPr>
          <w:rFonts w:hint="eastAsia"/>
          <w:lang w:eastAsia="zh-CN"/>
        </w:rPr>
        <w:t>为</w:t>
      </w:r>
      <w:r>
        <w:rPr>
          <w:rFonts w:hint="eastAsia"/>
          <w:lang w:val="en-US" w:eastAsia="zh-CN"/>
        </w:rPr>
        <w:t>68.64</w:t>
      </w:r>
      <w:r>
        <w:rPr>
          <w:rFonts w:hint="eastAsia"/>
        </w:rPr>
        <w:t>m</w:t>
      </w:r>
      <w:r>
        <w:rPr>
          <w:rFonts w:hint="eastAsia"/>
          <w:vertAlign w:val="superscript"/>
        </w:rPr>
        <w:t>3</w:t>
      </w:r>
      <w:r>
        <w:rPr>
          <w:rFonts w:hint="eastAsia"/>
        </w:rPr>
        <w:t>/a</w:t>
      </w:r>
      <w:r>
        <w:rPr>
          <w:rFonts w:hint="eastAsia"/>
          <w:lang w:eastAsia="zh-CN"/>
        </w:rPr>
        <w:t>。食堂废水经隔油池处理后与生活污水一起进化粪池处理，</w:t>
      </w:r>
      <w:r>
        <w:rPr>
          <w:rFonts w:hint="eastAsia"/>
          <w:lang w:val="en-US" w:eastAsia="zh-CN"/>
        </w:rPr>
        <w:t>处理后进青湖镇联村生活污水处理厂处理。</w:t>
      </w:r>
    </w:p>
    <w:p>
      <w:pPr>
        <w:bidi w:val="0"/>
        <w:rPr>
          <w:rFonts w:hint="eastAsia"/>
          <w:lang w:eastAsia="zh-CN"/>
        </w:rPr>
      </w:pPr>
      <w:r>
        <w:fldChar w:fldCharType="begin"/>
      </w:r>
      <w:r>
        <w:instrText xml:space="preserve"> = 5 \* GB2 \* MERGEFORMAT </w:instrText>
      </w:r>
      <w:r>
        <w:fldChar w:fldCharType="separate"/>
      </w:r>
      <w:r>
        <w:t>⑸</w:t>
      </w:r>
      <w:r>
        <w:fldChar w:fldCharType="end"/>
      </w:r>
      <w:r>
        <w:rPr>
          <w:rFonts w:hint="eastAsia"/>
          <w:lang w:eastAsia="zh-CN"/>
        </w:rPr>
        <w:t>消防尾水</w:t>
      </w:r>
    </w:p>
    <w:p>
      <w:pPr>
        <w:bidi w:val="0"/>
        <w:rPr>
          <w:rFonts w:hint="default" w:eastAsia="宋体"/>
          <w:vertAlign w:val="baseline"/>
          <w:lang w:val="en-US" w:eastAsia="zh-CN"/>
        </w:rPr>
      </w:pPr>
      <w:r>
        <w:rPr>
          <w:rFonts w:hint="eastAsia"/>
          <w:lang w:eastAsia="zh-CN"/>
        </w:rPr>
        <w:t>消防水用量为</w:t>
      </w:r>
      <w:r>
        <w:rPr>
          <w:rFonts w:hint="eastAsia"/>
          <w:lang w:val="en-US" w:eastAsia="zh-CN"/>
        </w:rPr>
        <w:t>252</w:t>
      </w:r>
      <w:r>
        <w:t>m</w:t>
      </w:r>
      <w:r>
        <w:rPr>
          <w:vertAlign w:val="superscript"/>
        </w:rPr>
        <w:t>3</w:t>
      </w:r>
      <w:r>
        <w:rPr>
          <w:rFonts w:hint="eastAsia"/>
          <w:lang w:eastAsia="zh-CN"/>
        </w:rPr>
        <w:t>，消防尾水量以</w:t>
      </w:r>
      <w:r>
        <w:rPr>
          <w:rFonts w:hint="eastAsia"/>
          <w:lang w:val="en-US" w:eastAsia="zh-CN"/>
        </w:rPr>
        <w:t>90%计算，则消防尾量为226.8</w:t>
      </w:r>
      <w:r>
        <w:t>m</w:t>
      </w:r>
      <w:r>
        <w:rPr>
          <w:vertAlign w:val="superscript"/>
        </w:rPr>
        <w:t>3</w:t>
      </w:r>
      <w:r>
        <w:rPr>
          <w:rFonts w:hint="eastAsia"/>
          <w:vertAlign w:val="baseline"/>
          <w:lang w:eastAsia="zh-CN"/>
        </w:rPr>
        <w:t>，厂区建设</w:t>
      </w:r>
      <w:r>
        <w:rPr>
          <w:rFonts w:hint="eastAsia"/>
          <w:vertAlign w:val="baseline"/>
          <w:lang w:val="en-US" w:eastAsia="zh-CN"/>
        </w:rPr>
        <w:t>242</w:t>
      </w:r>
      <w:r>
        <w:t>m</w:t>
      </w:r>
      <w:r>
        <w:rPr>
          <w:vertAlign w:val="superscript"/>
        </w:rPr>
        <w:t>3</w:t>
      </w:r>
      <w:r>
        <w:rPr>
          <w:rFonts w:hint="eastAsia"/>
          <w:vertAlign w:val="baseline"/>
          <w:lang w:eastAsia="zh-CN"/>
        </w:rPr>
        <w:t>的消防尾水池进行暂存，消防尾水主要成份为</w:t>
      </w:r>
      <w:r>
        <w:rPr>
          <w:rFonts w:hint="eastAsia"/>
          <w:vertAlign w:val="baseline"/>
          <w:lang w:val="en-US" w:eastAsia="zh-CN"/>
        </w:rPr>
        <w:t>SS，消防尾水在消防尾水收集池暂存沉淀后，经检测达标后排入园区污水管网。</w:t>
      </w:r>
    </w:p>
    <w:p>
      <w:pPr>
        <w:pStyle w:val="6"/>
        <w:bidi w:val="0"/>
        <w:rPr>
          <w:rFonts w:hint="eastAsia"/>
          <w:lang w:val="en-US" w:eastAsia="zh-CN"/>
        </w:rPr>
      </w:pPr>
      <w:r>
        <w:rPr>
          <w:rFonts w:hint="eastAsia"/>
          <w:lang w:val="en-US" w:eastAsia="zh-CN"/>
        </w:rPr>
        <w:t>3.2.2.3 供电工程</w:t>
      </w:r>
    </w:p>
    <w:p>
      <w:pPr>
        <w:rPr>
          <w:rFonts w:hint="eastAsia"/>
          <w:lang w:val="en-US" w:eastAsia="zh-CN"/>
        </w:rPr>
      </w:pPr>
      <w:r>
        <w:rPr>
          <w:rFonts w:hint="eastAsia"/>
          <w:lang w:val="en-US" w:eastAsia="zh-CN"/>
        </w:rPr>
        <w:t>本项目用电供电系统来自青湖镇镇国家电网，电源电压为35KV-110KV线路架空引来，电力供应有保障。项目年用电量16000.00万kWh，配置一台SCB13干式电压器，可满足用电负荷要求。</w:t>
      </w:r>
    </w:p>
    <w:p>
      <w:pPr>
        <w:pStyle w:val="4"/>
        <w:bidi w:val="0"/>
        <w:rPr>
          <w:rFonts w:hint="eastAsia"/>
          <w:lang w:val="en-US" w:eastAsia="zh-CN"/>
        </w:rPr>
      </w:pPr>
      <w:bookmarkStart w:id="44" w:name="_Toc20829"/>
      <w:r>
        <w:rPr>
          <w:rFonts w:hint="eastAsia"/>
          <w:lang w:val="en-US" w:eastAsia="zh-CN"/>
        </w:rPr>
        <w:t>3.3污染源强核算</w:t>
      </w:r>
      <w:bookmarkEnd w:id="44"/>
    </w:p>
    <w:p>
      <w:pPr>
        <w:pStyle w:val="5"/>
        <w:bidi w:val="0"/>
        <w:rPr>
          <w:rFonts w:hint="eastAsia"/>
          <w:lang w:val="en-US" w:eastAsia="zh-CN"/>
        </w:rPr>
      </w:pPr>
      <w:r>
        <w:rPr>
          <w:rFonts w:hint="eastAsia"/>
          <w:lang w:val="en-US" w:eastAsia="zh-CN"/>
        </w:rPr>
        <w:t>3.3.1 运营期污染来源及治理措施</w:t>
      </w:r>
    </w:p>
    <w:p>
      <w:pPr>
        <w:rPr>
          <w:rFonts w:hint="eastAsia"/>
          <w:lang w:val="en-US" w:eastAsia="zh-CN"/>
        </w:rPr>
      </w:pPr>
      <w:r>
        <w:rPr>
          <w:rFonts w:hint="eastAsia"/>
          <w:lang w:val="en-US" w:eastAsia="zh-CN"/>
        </w:rPr>
        <w:t>根据工艺流程及产污环节分析，本项目生产期主要污染源汇总详见表3.3.1-1。</w:t>
      </w:r>
    </w:p>
    <w:p>
      <w:pPr>
        <w:pStyle w:val="27"/>
        <w:bidi w:val="0"/>
        <w:rPr>
          <w:rFonts w:hint="eastAsia"/>
          <w:lang w:val="en-US" w:eastAsia="zh-CN"/>
        </w:rPr>
      </w:pPr>
      <w:r>
        <w:rPr>
          <w:rFonts w:hint="eastAsia"/>
          <w:lang w:val="en-US" w:eastAsia="zh-CN"/>
        </w:rPr>
        <w:t>表3.3.1-1 一期/二期生产运营期产污环节分析一览表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47"/>
        <w:gridCol w:w="1197"/>
        <w:gridCol w:w="1518"/>
        <w:gridCol w:w="2470"/>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污染类别</w:t>
            </w: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污染源名称</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产生位置</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主要污染物</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拟采取措施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废气</w:t>
            </w:r>
          </w:p>
        </w:tc>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埋弧电煅炉</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进料粉尘废气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料仓</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粉尘</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集尘罩+布袋除尘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电煅废气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埋弧电煅炉</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烟尘、SO</w:t>
            </w:r>
            <w:r>
              <w:rPr>
                <w:rFonts w:hint="eastAsia"/>
                <w:vertAlign w:val="subscript"/>
                <w:lang w:val="en-US" w:eastAsia="zh-CN"/>
              </w:rPr>
              <w:t>2</w:t>
            </w:r>
            <w:r>
              <w:rPr>
                <w:rFonts w:hint="eastAsia"/>
                <w:vertAlign w:val="baseline"/>
                <w:lang w:val="en-US" w:eastAsia="zh-CN"/>
              </w:rPr>
              <w:t>、NOx</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default"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布袋除尘+氧化钙脱硫（二级）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排料粉尘废气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密闭排料器、运输机、斗提机</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粉尘</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中间包装粉尘废气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包装机</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粉尘</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集尘罩+布袋除尘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破碎、筛分粉尘废气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破碎机、斗提机、筛分机</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粉尘</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包装粉尘废气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包装机</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粉尘</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集尘罩+布袋除尘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cstheme="minorBidi"/>
                <w:b w:val="0"/>
                <w:kern w:val="2"/>
                <w:sz w:val="21"/>
                <w:szCs w:val="24"/>
                <w:vertAlign w:val="baseline"/>
                <w:lang w:val="en-US" w:eastAsia="zh-CN" w:bidi="ar-SA"/>
              </w:rPr>
              <w:t>食堂油烟废气</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cstheme="minorBidi"/>
                <w:b w:val="0"/>
                <w:kern w:val="2"/>
                <w:sz w:val="21"/>
                <w:szCs w:val="24"/>
                <w:vertAlign w:val="baseline"/>
                <w:lang w:val="en-US" w:eastAsia="zh-CN" w:bidi="ar-SA"/>
              </w:rPr>
              <w:t>食堂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cstheme="minorBidi"/>
                <w:b w:val="0"/>
                <w:kern w:val="2"/>
                <w:sz w:val="21"/>
                <w:szCs w:val="24"/>
                <w:vertAlign w:val="baseline"/>
                <w:lang w:val="en-US" w:eastAsia="zh-CN" w:bidi="ar-SA"/>
              </w:rPr>
              <w:t>油烟</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cstheme="minorBidi"/>
                <w:b w:val="0"/>
                <w:kern w:val="2"/>
                <w:sz w:val="21"/>
                <w:szCs w:val="24"/>
                <w:vertAlign w:val="baseline"/>
                <w:lang w:val="en-US" w:eastAsia="zh-CN" w:bidi="ar-SA"/>
              </w:rPr>
              <w:t>油烟净化装置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废水</w:t>
            </w: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生活污水</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职工生活</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pH、CODcr、BOD</w:t>
            </w:r>
            <w:r>
              <w:rPr>
                <w:rFonts w:hint="eastAsia"/>
                <w:vertAlign w:val="subscript"/>
                <w:lang w:val="en-US" w:eastAsia="zh-CN"/>
              </w:rPr>
              <w:t>5</w:t>
            </w:r>
            <w:r>
              <w:rPr>
                <w:rFonts w:hint="eastAsia"/>
                <w:vertAlign w:val="baseline"/>
                <w:lang w:val="en-US" w:eastAsia="zh-CN"/>
              </w:rPr>
              <w:t>、SS、NH</w:t>
            </w:r>
            <w:r>
              <w:rPr>
                <w:rFonts w:hint="eastAsia"/>
                <w:vertAlign w:val="subscript"/>
                <w:lang w:val="en-US" w:eastAsia="zh-CN"/>
              </w:rPr>
              <w:t>3</w:t>
            </w:r>
            <w:r>
              <w:rPr>
                <w:rFonts w:hint="eastAsia"/>
                <w:vertAlign w:val="baseline"/>
                <w:lang w:val="en-US" w:eastAsia="zh-CN"/>
              </w:rPr>
              <w:t>-N、TN</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经化粪池处理后排入青湖镇联村生活污水处理厂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食堂废水</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食堂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pH、CODcr、BOD</w:t>
            </w:r>
            <w:r>
              <w:rPr>
                <w:rFonts w:hint="eastAsia"/>
                <w:vertAlign w:val="subscript"/>
                <w:lang w:val="en-US" w:eastAsia="zh-CN"/>
              </w:rPr>
              <w:t>5</w:t>
            </w:r>
            <w:r>
              <w:rPr>
                <w:rFonts w:hint="eastAsia"/>
                <w:vertAlign w:val="baseline"/>
                <w:lang w:val="en-US" w:eastAsia="zh-CN"/>
              </w:rPr>
              <w:t>、SS、NH</w:t>
            </w:r>
            <w:r>
              <w:rPr>
                <w:rFonts w:hint="eastAsia"/>
                <w:vertAlign w:val="subscript"/>
                <w:lang w:val="en-US" w:eastAsia="zh-CN"/>
              </w:rPr>
              <w:t>3</w:t>
            </w:r>
            <w:r>
              <w:rPr>
                <w:rFonts w:hint="eastAsia"/>
                <w:vertAlign w:val="baseline"/>
                <w:lang w:val="en-US" w:eastAsia="zh-CN"/>
              </w:rPr>
              <w:t>-N、TN、动植物油</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经隔油池处理后与生活污水一起进化粪池处理，后排入青湖镇联村生活污水处理厂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变压器循环冷却水系统排水</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循环水系统盐分累计定期排放</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SS、盐分</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部分补充绿化系统用水，剩余部分作为清下水排放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软水制备系统排水</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软水制备系统</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SS、盐分</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部分作脱硫系统补充水使用，部分补充绿化系统用水，剩余部分作为清下水排放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lang w:val="en-US" w:eastAsia="zh-CN"/>
              </w:rPr>
              <w:t>电煅炉冷却系统排水</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循环水系统盐分累计定期排放</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SS、盐分</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部分补充绿化系统用水，剩余部分作为清下水排放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固废</w:t>
            </w: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进料除尘下灰</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除尘下灰</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vertAlign w:val="baseline"/>
                <w:lang w:val="en-US" w:eastAsia="zh-CN"/>
              </w:rPr>
            </w:pPr>
            <w:r>
              <w:rPr>
                <w:rFonts w:hint="eastAsia"/>
                <w:vertAlign w:val="baseline"/>
                <w:lang w:val="en-US" w:eastAsia="zh-CN"/>
              </w:rPr>
              <w:t>回用于生产-进料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电煅除尘下灰</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除尘下灰</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作为建材外售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排料除尘下灰</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除尘下灰</w:t>
            </w:r>
          </w:p>
        </w:tc>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收集后包装，作为增碳剂产品外卖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中间包装除尘下灰</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除尘下灰</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破碎、筛分除尘下灰</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除尘下灰</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包装除尘下灰</w:t>
            </w:r>
          </w:p>
        </w:tc>
        <w:tc>
          <w:tcPr>
            <w:tcW w:w="0" w:type="auto"/>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除尘器</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除尘下灰</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cstheme="minorBidi"/>
                <w:b w:val="0"/>
                <w:kern w:val="2"/>
                <w:sz w:val="21"/>
                <w:szCs w:val="24"/>
                <w:vertAlign w:val="baseline"/>
                <w:lang w:val="en-US" w:eastAsia="zh-CN" w:bidi="ar-SA"/>
              </w:rPr>
              <w:t>地面清扫降尘</w:t>
            </w:r>
          </w:p>
        </w:tc>
        <w:tc>
          <w:tcPr>
            <w:tcW w:w="0" w:type="auto"/>
            <w:vAlign w:val="center"/>
          </w:tcPr>
          <w:p>
            <w:pPr>
              <w:pStyle w:val="28"/>
              <w:suppressLineNumbers w:val="0"/>
              <w:bidi w:val="0"/>
              <w:spacing w:before="0" w:after="0"/>
              <w:ind w:left="0" w:right="0"/>
              <w:rPr>
                <w:rFonts w:hint="eastAsia"/>
                <w:lang w:val="en-US" w:eastAsia="zh-CN"/>
              </w:rPr>
            </w:pPr>
            <w:r>
              <w:rPr>
                <w:rFonts w:hint="eastAsia"/>
                <w:lang w:val="en-US" w:eastAsia="zh-CN"/>
              </w:rPr>
              <w:t>车间地面</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降落粉尘</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脱硫石膏</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废气脱硫处理系统</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脱硫石膏</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作为建材外售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废树脂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color w:val="auto"/>
                <w:vertAlign w:val="baseline"/>
                <w:lang w:val="en-US" w:eastAsia="zh-CN"/>
              </w:rPr>
            </w:pPr>
            <w:r>
              <w:rPr>
                <w:rFonts w:hint="eastAsia"/>
                <w:color w:val="auto"/>
                <w:vertAlign w:val="baseline"/>
                <w:lang w:val="en-US" w:eastAsia="zh-CN"/>
              </w:rPr>
              <w:t>水净化</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离子、树脂</w:t>
            </w:r>
          </w:p>
        </w:tc>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废试剂瓶</w:t>
            </w:r>
          </w:p>
        </w:tc>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实验室</w:t>
            </w:r>
          </w:p>
        </w:tc>
        <w:tc>
          <w:tcPr>
            <w:tcW w:w="0" w:type="auto"/>
            <w:vMerge w:val="restart"/>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default"/>
                <w:color w:val="auto"/>
                <w:vertAlign w:val="baseline"/>
                <w:lang w:val="en-US" w:eastAsia="zh-CN"/>
              </w:rPr>
            </w:pPr>
            <w:r>
              <w:rPr>
                <w:rFonts w:hint="eastAsia"/>
                <w:color w:val="auto"/>
                <w:vertAlign w:val="baseline"/>
                <w:lang w:val="en-US" w:eastAsia="zh-CN"/>
              </w:rPr>
              <w:t>/</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化验室废液</w:t>
            </w: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color w:val="auto"/>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color w:val="auto"/>
                <w:vertAlign w:val="baseline"/>
                <w:lang w:val="en-US" w:eastAsia="zh-CN"/>
              </w:rPr>
            </w:pPr>
          </w:p>
        </w:tc>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lang w:eastAsia="zh-CN"/>
              </w:rPr>
              <w:t>废原料包装袋</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包装</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编织物</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color w:val="auto"/>
                <w:vertAlign w:val="baseline"/>
                <w:lang w:val="en-US" w:eastAsia="zh-CN"/>
              </w:rPr>
            </w:pPr>
            <w:r>
              <w:rPr>
                <w:rFonts w:hint="eastAsia"/>
                <w:color w:val="auto"/>
                <w:vertAlign w:val="baseline"/>
                <w:lang w:val="en-US"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生活垃圾</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办公区</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果皮、纸张等</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餐厨垃圾</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食堂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食物残渣</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ascii="Times New Roman" w:hAnsi="Times New Roman" w:eastAsia="宋体"/>
                <w:szCs w:val="21"/>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0" w:type="auto"/>
            <w:vMerge w:val="continue"/>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outlineLvl w:val="9"/>
              <w:rPr>
                <w:rFonts w:hint="eastAsia"/>
                <w:vertAlign w:val="baseline"/>
                <w:lang w:val="en-US" w:eastAsia="zh-CN"/>
              </w:rPr>
            </w:pP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隔油池废油</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食堂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动植物油脂</w:t>
            </w:r>
          </w:p>
        </w:tc>
        <w:tc>
          <w:tcPr>
            <w:tcW w:w="0" w:type="auto"/>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jc w:val="center"/>
              <w:rPr>
                <w:rFonts w:hint="eastAsia"/>
                <w:vertAlign w:val="baseline"/>
                <w:lang w:val="en-US" w:eastAsia="zh-CN"/>
              </w:rPr>
            </w:pPr>
            <w:r>
              <w:rPr>
                <w:rFonts w:hint="eastAsia"/>
                <w:vertAlign w:val="baseline"/>
                <w:lang w:val="en-US" w:eastAsia="zh-CN"/>
              </w:rPr>
              <w:t>委托处理</w:t>
            </w:r>
          </w:p>
        </w:tc>
      </w:tr>
    </w:tbl>
    <w:p>
      <w:pPr>
        <w:pStyle w:val="5"/>
        <w:bidi w:val="0"/>
        <w:rPr>
          <w:rFonts w:hint="eastAsia"/>
          <w:lang w:val="en-US" w:eastAsia="zh-CN"/>
        </w:rPr>
      </w:pPr>
      <w:r>
        <w:rPr>
          <w:rFonts w:hint="eastAsia"/>
          <w:lang w:val="en-US" w:eastAsia="zh-CN"/>
        </w:rPr>
        <w:t>3.3.2 平衡分析</w:t>
      </w:r>
    </w:p>
    <w:p>
      <w:pPr>
        <w:pStyle w:val="6"/>
        <w:bidi w:val="0"/>
        <w:rPr>
          <w:rFonts w:hint="default"/>
          <w:lang w:val="en-US" w:eastAsia="zh-CN"/>
        </w:rPr>
      </w:pPr>
      <w:r>
        <w:rPr>
          <w:rFonts w:hint="eastAsia"/>
          <w:lang w:val="en-US" w:eastAsia="zh-CN"/>
        </w:rPr>
        <w:t>3.3.2.1 物料平衡分析</w:t>
      </w:r>
    </w:p>
    <w:p>
      <w:pPr>
        <w:pStyle w:val="27"/>
        <w:bidi w:val="0"/>
        <w:rPr>
          <w:rFonts w:hint="eastAsia"/>
        </w:rPr>
      </w:pPr>
      <w:r>
        <w:rPr>
          <w:rFonts w:hint="eastAsia"/>
        </w:rPr>
        <w:t>表</w:t>
      </w:r>
      <w:r>
        <w:rPr>
          <w:rFonts w:hint="eastAsia"/>
          <w:lang w:val="en-US" w:eastAsia="zh-CN"/>
        </w:rPr>
        <w:t>3.3.2-1</w:t>
      </w:r>
      <w:r>
        <w:t xml:space="preserve">  </w:t>
      </w:r>
      <w:r>
        <w:rPr>
          <w:rFonts w:hint="eastAsia"/>
          <w:lang w:eastAsia="zh-CN"/>
        </w:rPr>
        <w:t>一期</w:t>
      </w:r>
      <w:r>
        <w:rPr>
          <w:rFonts w:hint="eastAsia"/>
          <w:lang w:val="en-US" w:eastAsia="zh-CN"/>
        </w:rPr>
        <w:t>/二期</w:t>
      </w:r>
      <w:r>
        <w:rPr>
          <w:rFonts w:hint="eastAsia"/>
        </w:rPr>
        <w:t>物料平衡表</w:t>
      </w:r>
    </w:p>
    <w:tbl>
      <w:tblPr>
        <w:tblStyle w:val="21"/>
        <w:tblW w:w="4992" w:type="pct"/>
        <w:tblInd w:w="0" w:type="dxa"/>
        <w:shd w:val="clear" w:color="auto" w:fill="auto"/>
        <w:tblLayout w:type="autofit"/>
        <w:tblCellMar>
          <w:top w:w="0" w:type="dxa"/>
          <w:left w:w="0" w:type="dxa"/>
          <w:bottom w:w="0" w:type="dxa"/>
          <w:right w:w="0" w:type="dxa"/>
        </w:tblCellMar>
      </w:tblPr>
      <w:tblGrid>
        <w:gridCol w:w="687"/>
        <w:gridCol w:w="1718"/>
        <w:gridCol w:w="1941"/>
        <w:gridCol w:w="1179"/>
        <w:gridCol w:w="519"/>
        <w:gridCol w:w="1335"/>
        <w:gridCol w:w="802"/>
        <w:gridCol w:w="752"/>
        <w:gridCol w:w="607"/>
        <w:gridCol w:w="220"/>
      </w:tblGrid>
      <w:tr>
        <w:tblPrEx>
          <w:shd w:val="clear" w:color="auto" w:fill="auto"/>
          <w:tblCellMar>
            <w:top w:w="0" w:type="dxa"/>
            <w:left w:w="0" w:type="dxa"/>
            <w:bottom w:w="0" w:type="dxa"/>
            <w:right w:w="0" w:type="dxa"/>
          </w:tblCellMar>
        </w:tblPrEx>
        <w:trPr>
          <w:trHeight w:val="23" w:hRule="atLeast"/>
        </w:trPr>
        <w:tc>
          <w:tcPr>
            <w:tcW w:w="352"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序号</w:t>
            </w:r>
          </w:p>
        </w:tc>
        <w:tc>
          <w:tcPr>
            <w:tcW w:w="1873" w:type="pct"/>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入方</w:t>
            </w:r>
          </w:p>
        </w:tc>
        <w:tc>
          <w:tcPr>
            <w:tcW w:w="2773" w:type="pct"/>
            <w:gridSpan w:val="7"/>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default" w:ascii="Times New Roman" w:hAnsi="Times New Roman" w:eastAsia="宋体"/>
                <w:sz w:val="21"/>
                <w:lang w:val="en-US" w:eastAsia="zh-CN"/>
              </w:rPr>
              <w:t>出方</w:t>
            </w:r>
          </w:p>
        </w:tc>
      </w:tr>
      <w:tr>
        <w:tblPrEx>
          <w:tblCellMar>
            <w:top w:w="0" w:type="dxa"/>
            <w:left w:w="0" w:type="dxa"/>
            <w:bottom w:w="0" w:type="dxa"/>
            <w:right w:w="0" w:type="dxa"/>
          </w:tblCellMar>
        </w:tblPrEx>
        <w:trPr>
          <w:trHeight w:val="23" w:hRule="atLeast"/>
        </w:trPr>
        <w:tc>
          <w:tcPr>
            <w:tcW w:w="352"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87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物料名称</w:t>
            </w:r>
          </w:p>
        </w:tc>
        <w:tc>
          <w:tcPr>
            <w:tcW w:w="99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数量</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产品</w:t>
            </w:r>
          </w:p>
        </w:tc>
        <w:tc>
          <w:tcPr>
            <w:tcW w:w="950" w:type="pct"/>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有组织废气</w:t>
            </w:r>
          </w:p>
        </w:tc>
        <w:tc>
          <w:tcPr>
            <w:tcW w:w="796" w:type="pct"/>
            <w:gridSpan w:val="2"/>
            <w:tcBorders>
              <w:top w:val="single" w:color="000000" w:sz="8" w:space="0"/>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无组织废气</w:t>
            </w:r>
          </w:p>
        </w:tc>
        <w:tc>
          <w:tcPr>
            <w:tcW w:w="422" w:type="pct"/>
            <w:gridSpan w:val="2"/>
            <w:tcBorders>
              <w:top w:val="single" w:color="000000" w:sz="8" w:space="0"/>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固废</w:t>
            </w:r>
          </w:p>
        </w:tc>
      </w:tr>
      <w:tr>
        <w:tblPrEx>
          <w:tblCellMar>
            <w:top w:w="0" w:type="dxa"/>
            <w:left w:w="0" w:type="dxa"/>
            <w:bottom w:w="0" w:type="dxa"/>
            <w:right w:w="0" w:type="dxa"/>
          </w:tblCellMar>
        </w:tblPrEx>
        <w:trPr>
          <w:trHeight w:val="23" w:hRule="atLeast"/>
        </w:trPr>
        <w:tc>
          <w:tcPr>
            <w:tcW w:w="35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1</w:t>
            </w:r>
          </w:p>
        </w:tc>
        <w:tc>
          <w:tcPr>
            <w:tcW w:w="87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空气</w:t>
            </w:r>
          </w:p>
        </w:tc>
        <w:tc>
          <w:tcPr>
            <w:tcW w:w="99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 xml:space="preserve">288625.00 </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50000.00 </w:t>
            </w: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G</w:t>
            </w:r>
            <w:r>
              <w:rPr>
                <w:rFonts w:hint="default" w:ascii="Times New Roman" w:hAnsi="Times New Roman" w:eastAsia="宋体"/>
                <w:sz w:val="21"/>
                <w:vertAlign w:val="subscript"/>
                <w:lang w:val="en-US" w:eastAsia="zh-CN"/>
              </w:rPr>
              <w:t>1</w:t>
            </w:r>
            <w:r>
              <w:rPr>
                <w:rFonts w:ascii="Times New Roman" w:hAnsi="Times New Roman" w:eastAsia="宋体"/>
                <w:sz w:val="21"/>
                <w:vertAlign w:val="subscript"/>
                <w:lang w:val="en-US" w:eastAsia="zh-CN"/>
              </w:rPr>
              <w:t>-1</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23.75 </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G</w:t>
            </w:r>
            <w:r>
              <w:rPr>
                <w:rFonts w:hint="eastAsia" w:ascii="Times New Roman" w:hAnsi="Times New Roman" w:eastAsia="宋体"/>
                <w:sz w:val="21"/>
                <w:vertAlign w:val="subscript"/>
                <w:lang w:val="en-US" w:eastAsia="zh-CN"/>
              </w:rPr>
              <w:t>U</w:t>
            </w:r>
            <w:r>
              <w:rPr>
                <w:rFonts w:hint="default" w:ascii="Times New Roman" w:hAnsi="Times New Roman" w:eastAsia="宋体"/>
                <w:sz w:val="21"/>
                <w:vertAlign w:val="subscript"/>
                <w:lang w:val="en-US" w:eastAsia="zh-CN"/>
              </w:rPr>
              <w:t>1-1</w:t>
            </w:r>
          </w:p>
        </w:tc>
        <w:tc>
          <w:tcPr>
            <w:tcW w:w="385" w:type="pct"/>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1.25 </w:t>
            </w:r>
          </w:p>
        </w:tc>
        <w:tc>
          <w:tcPr>
            <w:tcW w:w="311" w:type="pct"/>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S</w:t>
            </w:r>
            <w:r>
              <w:rPr>
                <w:rFonts w:hint="eastAsia" w:ascii="Times New Roman" w:hAnsi="Times New Roman" w:eastAsia="宋体"/>
                <w:sz w:val="21"/>
                <w:vertAlign w:val="subscript"/>
                <w:lang w:val="en-US" w:eastAsia="zh-CN"/>
              </w:rPr>
              <w:t>1-1</w:t>
            </w:r>
          </w:p>
        </w:tc>
        <w:tc>
          <w:tcPr>
            <w:tcW w:w="110" w:type="pct"/>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5</w:t>
            </w:r>
          </w:p>
        </w:tc>
      </w:tr>
      <w:tr>
        <w:tblPrEx>
          <w:tblCellMar>
            <w:top w:w="0" w:type="dxa"/>
            <w:left w:w="0" w:type="dxa"/>
            <w:bottom w:w="0" w:type="dxa"/>
            <w:right w:w="0" w:type="dxa"/>
          </w:tblCellMar>
        </w:tblPrEx>
        <w:trPr>
          <w:trHeight w:val="23" w:hRule="atLeast"/>
        </w:trPr>
        <w:tc>
          <w:tcPr>
            <w:tcW w:w="352" w:type="pct"/>
            <w:vMerge w:val="restart"/>
            <w:tcBorders>
              <w:top w:val="nil"/>
              <w:left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2</w:t>
            </w:r>
          </w:p>
        </w:tc>
        <w:tc>
          <w:tcPr>
            <w:tcW w:w="879"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煅后焦</w:t>
            </w:r>
          </w:p>
        </w:tc>
        <w:tc>
          <w:tcPr>
            <w:tcW w:w="99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eastAsia"/>
                <w:sz w:val="21"/>
                <w:lang w:val="en-US" w:eastAsia="zh-CN"/>
              </w:rPr>
              <w:t>50589.95</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G</w:t>
            </w:r>
            <w:r>
              <w:rPr>
                <w:rFonts w:hint="default" w:ascii="Times New Roman" w:hAnsi="Times New Roman" w:eastAsia="宋体"/>
                <w:sz w:val="21"/>
                <w:vertAlign w:val="subscript"/>
                <w:lang w:val="en-US" w:eastAsia="zh-CN"/>
              </w:rPr>
              <w:t>1-2</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289</w:t>
            </w:r>
            <w:r>
              <w:rPr>
                <w:rFonts w:hint="eastAsia" w:ascii="Times New Roman" w:hAnsi="Times New Roman"/>
                <w:sz w:val="21"/>
                <w:lang w:val="en-US" w:eastAsia="zh-CN"/>
              </w:rPr>
              <w:t>213.18</w:t>
            </w:r>
            <w:r>
              <w:rPr>
                <w:rFonts w:hint="default" w:ascii="Times New Roman" w:hAnsi="Times New Roman" w:eastAsia="宋体"/>
                <w:sz w:val="21"/>
                <w:lang w:val="en-US" w:eastAsia="zh-CN"/>
              </w:rPr>
              <w:t xml:space="preserve"> </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G</w:t>
            </w:r>
            <w:r>
              <w:rPr>
                <w:rFonts w:hint="eastAsia" w:ascii="Times New Roman" w:hAnsi="Times New Roman" w:eastAsia="宋体"/>
                <w:sz w:val="21"/>
                <w:vertAlign w:val="subscript"/>
                <w:lang w:val="en-US" w:eastAsia="zh-CN"/>
              </w:rPr>
              <w:t>U</w:t>
            </w:r>
            <w:r>
              <w:rPr>
                <w:rFonts w:hint="default" w:ascii="Times New Roman" w:hAnsi="Times New Roman" w:eastAsia="宋体"/>
                <w:sz w:val="21"/>
                <w:vertAlign w:val="subscript"/>
                <w:lang w:val="en-US" w:eastAsia="zh-CN"/>
              </w:rPr>
              <w:t>1-2</w:t>
            </w:r>
          </w:p>
        </w:tc>
        <w:tc>
          <w:tcPr>
            <w:tcW w:w="385" w:type="pct"/>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1.25 </w:t>
            </w: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val="en-US" w:eastAsia="zh-CN"/>
              </w:rPr>
            </w:pPr>
          </w:p>
        </w:tc>
      </w:tr>
      <w:tr>
        <w:tblPrEx>
          <w:tblCellMar>
            <w:top w:w="0" w:type="dxa"/>
            <w:left w:w="0" w:type="dxa"/>
            <w:bottom w:w="0" w:type="dxa"/>
            <w:right w:w="0" w:type="dxa"/>
          </w:tblCellMar>
        </w:tblPrEx>
        <w:trPr>
          <w:trHeight w:val="23" w:hRule="atLeast"/>
        </w:trPr>
        <w:tc>
          <w:tcPr>
            <w:tcW w:w="352" w:type="pct"/>
            <w:vMerge w:val="continue"/>
            <w:tcBorders>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lang w:val="en-US" w:eastAsia="zh-CN"/>
              </w:rPr>
            </w:pPr>
          </w:p>
        </w:tc>
        <w:tc>
          <w:tcPr>
            <w:tcW w:w="879"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包装袋</w:t>
            </w:r>
          </w:p>
        </w:tc>
        <w:tc>
          <w:tcPr>
            <w:tcW w:w="994" w:type="pct"/>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5</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sz w:val="21"/>
                <w:lang w:val="en-US" w:eastAsia="zh-CN"/>
              </w:rPr>
              <w:t>G</w:t>
            </w:r>
            <w:r>
              <w:rPr>
                <w:rFonts w:hint="default" w:ascii="Times New Roman" w:hAnsi="Times New Roman" w:eastAsia="宋体"/>
                <w:sz w:val="21"/>
                <w:vertAlign w:val="subscript"/>
                <w:lang w:val="en-US" w:eastAsia="zh-CN"/>
              </w:rPr>
              <w:t>1-3</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 xml:space="preserve">25.00 </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sz w:val="21"/>
                <w:vertAlign w:val="baseline"/>
                <w:lang w:val="en-US" w:eastAsia="zh-CN"/>
              </w:rPr>
              <w:t>G</w:t>
            </w:r>
            <w:r>
              <w:rPr>
                <w:rFonts w:hint="eastAsia" w:ascii="Times New Roman" w:hAnsi="Times New Roman" w:eastAsia="宋体"/>
                <w:sz w:val="21"/>
                <w:vertAlign w:val="subscript"/>
                <w:lang w:val="en-US" w:eastAsia="zh-CN"/>
              </w:rPr>
              <w:t>U</w:t>
            </w:r>
            <w:r>
              <w:rPr>
                <w:rFonts w:hint="default" w:ascii="Times New Roman" w:hAnsi="Times New Roman" w:eastAsia="宋体"/>
                <w:sz w:val="21"/>
                <w:vertAlign w:val="subscript"/>
                <w:lang w:val="en-US" w:eastAsia="zh-CN"/>
              </w:rPr>
              <w:t>1-3</w:t>
            </w:r>
          </w:p>
        </w:tc>
        <w:tc>
          <w:tcPr>
            <w:tcW w:w="385" w:type="pct"/>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 xml:space="preserve">1.25 </w:t>
            </w: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val="en-US" w:eastAsia="zh-CN"/>
              </w:rPr>
            </w:pPr>
          </w:p>
        </w:tc>
      </w:tr>
      <w:tr>
        <w:tblPrEx>
          <w:tblCellMar>
            <w:top w:w="0" w:type="dxa"/>
            <w:left w:w="0" w:type="dxa"/>
            <w:bottom w:w="0" w:type="dxa"/>
            <w:right w:w="0" w:type="dxa"/>
          </w:tblCellMar>
        </w:tblPrEx>
        <w:trPr>
          <w:trHeight w:val="23" w:hRule="atLeast"/>
        </w:trPr>
        <w:tc>
          <w:tcPr>
            <w:tcW w:w="35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3</w:t>
            </w:r>
          </w:p>
        </w:tc>
        <w:tc>
          <w:tcPr>
            <w:tcW w:w="879"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eastAsia" w:ascii="Times New Roman" w:hAnsi="Times New Roman" w:eastAsia="宋体"/>
                <w:sz w:val="21"/>
                <w:lang w:val="en-US" w:eastAsia="zh-CN"/>
              </w:rPr>
              <w:t>除尘器粉尘</w:t>
            </w:r>
          </w:p>
        </w:tc>
        <w:tc>
          <w:tcPr>
            <w:tcW w:w="994" w:type="pct"/>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default" w:ascii="Times New Roman" w:hAnsi="Times New Roman" w:eastAsia="宋体"/>
                <w:sz w:val="21"/>
                <w:lang w:val="en-US" w:eastAsia="zh-CN"/>
              </w:rPr>
              <w:t xml:space="preserve">144.28 </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sz w:val="21"/>
                <w:lang w:val="en-US" w:eastAsia="zh-CN"/>
              </w:rPr>
              <w:t>G</w:t>
            </w:r>
            <w:r>
              <w:rPr>
                <w:rFonts w:hint="default" w:ascii="Times New Roman" w:hAnsi="Times New Roman" w:eastAsia="宋体"/>
                <w:sz w:val="21"/>
                <w:vertAlign w:val="subscript"/>
                <w:lang w:val="en-US" w:eastAsia="zh-CN"/>
              </w:rPr>
              <w:t>1-4</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23.75 </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sz w:val="21"/>
                <w:lang w:val="en-US" w:eastAsia="zh-CN"/>
              </w:rPr>
              <w:t>G</w:t>
            </w:r>
            <w:r>
              <w:rPr>
                <w:rFonts w:hint="eastAsia" w:ascii="Times New Roman" w:hAnsi="Times New Roman" w:eastAsia="宋体"/>
                <w:sz w:val="21"/>
                <w:vertAlign w:val="subscript"/>
                <w:lang w:val="en-US" w:eastAsia="zh-CN"/>
              </w:rPr>
              <w:t>U</w:t>
            </w:r>
            <w:r>
              <w:rPr>
                <w:rFonts w:hint="default" w:ascii="Times New Roman" w:hAnsi="Times New Roman" w:eastAsia="宋体"/>
                <w:sz w:val="21"/>
                <w:vertAlign w:val="subscript"/>
                <w:lang w:val="en-US" w:eastAsia="zh-CN"/>
              </w:rPr>
              <w:t>1-4</w:t>
            </w:r>
          </w:p>
        </w:tc>
        <w:tc>
          <w:tcPr>
            <w:tcW w:w="385" w:type="pct"/>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 xml:space="preserve">1.25 </w:t>
            </w: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val="en-US" w:eastAsia="zh-CN"/>
              </w:rPr>
            </w:pPr>
          </w:p>
        </w:tc>
      </w:tr>
      <w:tr>
        <w:tblPrEx>
          <w:tblCellMar>
            <w:top w:w="0" w:type="dxa"/>
            <w:left w:w="0" w:type="dxa"/>
            <w:bottom w:w="0" w:type="dxa"/>
            <w:right w:w="0" w:type="dxa"/>
          </w:tblCellMar>
        </w:tblPrEx>
        <w:trPr>
          <w:trHeight w:val="23" w:hRule="atLeast"/>
        </w:trPr>
        <w:tc>
          <w:tcPr>
            <w:tcW w:w="35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4</w:t>
            </w:r>
          </w:p>
        </w:tc>
        <w:tc>
          <w:tcPr>
            <w:tcW w:w="87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地面清扫降尘</w:t>
            </w:r>
          </w:p>
        </w:tc>
        <w:tc>
          <w:tcPr>
            <w:tcW w:w="99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eastAsia"/>
                <w:sz w:val="21"/>
                <w:lang w:val="en-US" w:eastAsia="zh-CN"/>
              </w:rPr>
              <w:t>4</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G</w:t>
            </w:r>
            <w:r>
              <w:rPr>
                <w:rFonts w:hint="eastAsia" w:ascii="Times New Roman" w:hAnsi="Times New Roman" w:eastAsia="宋体"/>
                <w:sz w:val="21"/>
                <w:vertAlign w:val="subscript"/>
                <w:lang w:val="en-US" w:eastAsia="zh-CN"/>
              </w:rPr>
              <w:t>1-5</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23.75 </w:t>
            </w:r>
          </w:p>
        </w:tc>
        <w:tc>
          <w:tcPr>
            <w:tcW w:w="411"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385" w:type="pct"/>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rPr>
            </w:pP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val="en-US" w:eastAsia="zh-CN"/>
              </w:rPr>
            </w:pPr>
          </w:p>
        </w:tc>
      </w:tr>
      <w:tr>
        <w:tblPrEx>
          <w:tblCellMar>
            <w:top w:w="0" w:type="dxa"/>
            <w:left w:w="0" w:type="dxa"/>
            <w:bottom w:w="0" w:type="dxa"/>
            <w:right w:w="0" w:type="dxa"/>
          </w:tblCellMar>
        </w:tblPrEx>
        <w:trPr>
          <w:trHeight w:val="284" w:hRule="atLeast"/>
        </w:trPr>
        <w:tc>
          <w:tcPr>
            <w:tcW w:w="35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val="en-US" w:eastAsia="zh-CN"/>
              </w:rPr>
            </w:pPr>
          </w:p>
        </w:tc>
        <w:tc>
          <w:tcPr>
            <w:tcW w:w="87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eastAsia" w:ascii="Times New Roman" w:hAnsi="Times New Roman" w:eastAsia="宋体"/>
                <w:sz w:val="21"/>
                <w:lang w:eastAsia="zh-CN"/>
              </w:rPr>
            </w:pPr>
          </w:p>
        </w:tc>
        <w:tc>
          <w:tcPr>
            <w:tcW w:w="99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firstLine="0" w:firstLineChars="0"/>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G</w:t>
            </w:r>
            <w:r>
              <w:rPr>
                <w:rFonts w:hint="eastAsia" w:ascii="Times New Roman" w:hAnsi="Times New Roman" w:eastAsia="宋体"/>
                <w:sz w:val="21"/>
                <w:vertAlign w:val="subscript"/>
                <w:lang w:val="en-US" w:eastAsia="zh-CN"/>
              </w:rPr>
              <w:t>1-6</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25.00 </w:t>
            </w:r>
          </w:p>
        </w:tc>
        <w:tc>
          <w:tcPr>
            <w:tcW w:w="796" w:type="pct"/>
            <w:gridSpan w:val="2"/>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r>
      <w:tr>
        <w:tblPrEx>
          <w:tblCellMar>
            <w:top w:w="0" w:type="dxa"/>
            <w:left w:w="0" w:type="dxa"/>
            <w:bottom w:w="0" w:type="dxa"/>
            <w:right w:w="0" w:type="dxa"/>
          </w:tblCellMar>
        </w:tblPrEx>
        <w:trPr>
          <w:trHeight w:val="23" w:hRule="atLeast"/>
        </w:trPr>
        <w:tc>
          <w:tcPr>
            <w:tcW w:w="352"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879"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99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66"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G</w:t>
            </w:r>
            <w:r>
              <w:rPr>
                <w:rFonts w:hint="eastAsia" w:ascii="Times New Roman" w:hAnsi="Times New Roman" w:eastAsia="宋体"/>
                <w:sz w:val="21"/>
                <w:vertAlign w:val="subscript"/>
                <w:lang w:val="en-US" w:eastAsia="zh-CN"/>
              </w:rPr>
              <w:t>1-7</w:t>
            </w:r>
          </w:p>
        </w:tc>
        <w:tc>
          <w:tcPr>
            <w:tcW w:w="68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23.75 </w:t>
            </w:r>
          </w:p>
        </w:tc>
        <w:tc>
          <w:tcPr>
            <w:tcW w:w="796" w:type="pct"/>
            <w:gridSpan w:val="2"/>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r>
      <w:tr>
        <w:tblPrEx>
          <w:tblCellMar>
            <w:top w:w="0" w:type="dxa"/>
            <w:left w:w="0" w:type="dxa"/>
            <w:bottom w:w="0" w:type="dxa"/>
            <w:right w:w="0" w:type="dxa"/>
          </w:tblCellMar>
        </w:tblPrEx>
        <w:trPr>
          <w:trHeight w:val="23" w:hRule="atLeast"/>
        </w:trPr>
        <w:tc>
          <w:tcPr>
            <w:tcW w:w="1232" w:type="pct"/>
            <w:gridSpan w:val="2"/>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合计</w:t>
            </w:r>
          </w:p>
        </w:tc>
        <w:tc>
          <w:tcPr>
            <w:tcW w:w="994" w:type="pct"/>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eastAsia" w:ascii="Times New Roman" w:hAnsi="Times New Roman" w:eastAsia="宋体"/>
                <w:sz w:val="21"/>
                <w:lang w:val="en-US" w:eastAsia="zh-CN"/>
              </w:rPr>
              <w:t>339</w:t>
            </w:r>
            <w:r>
              <w:rPr>
                <w:rFonts w:hint="eastAsia" w:ascii="Times New Roman" w:hAnsi="Times New Roman"/>
                <w:sz w:val="21"/>
                <w:lang w:val="en-US" w:eastAsia="zh-CN"/>
              </w:rPr>
              <w:t>368.18</w:t>
            </w:r>
          </w:p>
        </w:tc>
        <w:tc>
          <w:tcPr>
            <w:tcW w:w="604"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eastAsia" w:ascii="Times New Roman" w:hAnsi="Times New Roman" w:eastAsia="宋体"/>
                <w:sz w:val="21"/>
              </w:rPr>
            </w:pPr>
            <w:r>
              <w:rPr>
                <w:rFonts w:hint="eastAsia" w:ascii="Times New Roman" w:hAnsi="Times New Roman" w:eastAsia="宋体"/>
                <w:sz w:val="21"/>
                <w:lang w:val="en-US" w:eastAsia="zh-CN"/>
              </w:rPr>
              <w:t xml:space="preserve">50000.00 </w:t>
            </w:r>
          </w:p>
        </w:tc>
        <w:tc>
          <w:tcPr>
            <w:tcW w:w="950" w:type="pct"/>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rPr>
            </w:pPr>
            <w:r>
              <w:rPr>
                <w:rFonts w:hint="default" w:ascii="Times New Roman" w:hAnsi="Times New Roman" w:eastAsia="宋体"/>
                <w:sz w:val="21"/>
                <w:lang w:val="en-US" w:eastAsia="zh-CN"/>
              </w:rPr>
              <w:t>289</w:t>
            </w:r>
            <w:r>
              <w:rPr>
                <w:rFonts w:hint="eastAsia" w:ascii="Times New Roman" w:hAnsi="Times New Roman"/>
                <w:sz w:val="21"/>
                <w:lang w:val="en-US" w:eastAsia="zh-CN"/>
              </w:rPr>
              <w:t>358.18</w:t>
            </w:r>
          </w:p>
        </w:tc>
        <w:tc>
          <w:tcPr>
            <w:tcW w:w="796" w:type="pct"/>
            <w:gridSpan w:val="2"/>
            <w:tcBorders>
              <w:top w:val="nil"/>
              <w:left w:val="nil"/>
              <w:bottom w:val="single" w:color="000000" w:sz="8" w:space="0"/>
              <w:right w:val="single" w:color="auto" w:sz="4"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rPr>
            </w:pPr>
            <w:r>
              <w:rPr>
                <w:rFonts w:hint="default" w:ascii="Times New Roman" w:hAnsi="Times New Roman" w:eastAsia="宋体"/>
                <w:sz w:val="21"/>
                <w:lang w:val="en-US" w:eastAsia="zh-CN"/>
              </w:rPr>
              <w:t xml:space="preserve">5.00 </w:t>
            </w:r>
          </w:p>
        </w:tc>
        <w:tc>
          <w:tcPr>
            <w:tcW w:w="422" w:type="pct"/>
            <w:gridSpan w:val="2"/>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5</w:t>
            </w:r>
          </w:p>
        </w:tc>
      </w:tr>
      <w:tr>
        <w:tblPrEx>
          <w:tblCellMar>
            <w:top w:w="0" w:type="dxa"/>
            <w:left w:w="0" w:type="dxa"/>
            <w:bottom w:w="0" w:type="dxa"/>
            <w:right w:w="0" w:type="dxa"/>
          </w:tblCellMar>
        </w:tblPrEx>
        <w:trPr>
          <w:trHeight w:val="23" w:hRule="atLeast"/>
        </w:trPr>
        <w:tc>
          <w:tcPr>
            <w:tcW w:w="1232" w:type="pct"/>
            <w:gridSpan w:val="2"/>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994" w:type="pct"/>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outlineLvl w:val="9"/>
              <w:rPr>
                <w:rFonts w:hint="default" w:ascii="Times New Roman" w:hAnsi="Times New Roman" w:eastAsia="宋体"/>
                <w:sz w:val="21"/>
              </w:rPr>
            </w:pPr>
          </w:p>
        </w:tc>
        <w:tc>
          <w:tcPr>
            <w:tcW w:w="2773" w:type="pct"/>
            <w:gridSpan w:val="7"/>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line="240" w:lineRule="exact"/>
              <w:ind w:left="0" w:right="0"/>
              <w:textAlignment w:val="auto"/>
              <w:rPr>
                <w:rFonts w:hint="default" w:ascii="Times New Roman" w:hAnsi="Times New Roman" w:eastAsia="宋体"/>
                <w:sz w:val="21"/>
                <w:lang w:val="en-US"/>
              </w:rPr>
            </w:pPr>
            <w:r>
              <w:rPr>
                <w:rFonts w:hint="eastAsia" w:ascii="Times New Roman" w:hAnsi="Times New Roman" w:eastAsia="宋体"/>
                <w:sz w:val="21"/>
                <w:lang w:val="en-US" w:eastAsia="zh-CN"/>
              </w:rPr>
              <w:t>339</w:t>
            </w:r>
            <w:r>
              <w:rPr>
                <w:rFonts w:hint="eastAsia" w:ascii="Times New Roman" w:hAnsi="Times New Roman"/>
                <w:sz w:val="21"/>
                <w:lang w:val="en-US" w:eastAsia="zh-CN"/>
              </w:rPr>
              <w:t>368.18</w:t>
            </w:r>
          </w:p>
        </w:tc>
      </w:tr>
    </w:tbl>
    <w:p>
      <w:pPr>
        <w:rPr>
          <w:rFonts w:hint="eastAsia"/>
          <w:lang w:val="en-US" w:eastAsia="zh-CN"/>
        </w:rPr>
      </w:pPr>
    </w:p>
    <w:p>
      <w:pPr>
        <w:rPr>
          <w:rFonts w:hint="eastAsia"/>
          <w:lang w:val="en-US" w:eastAsia="zh-CN"/>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rFonts w:hint="eastAsia"/>
          <w:sz w:val="28"/>
          <w:lang w:val="en-US" w:eastAsia="zh-CN"/>
        </w:rPr>
      </w:pPr>
      <w:r>
        <w:rPr>
          <w:sz w:val="28"/>
        </w:rPr>
        <mc:AlternateContent>
          <mc:Choice Requires="wpc">
            <w:drawing>
              <wp:inline distT="0" distB="0" distL="114300" distR="114300">
                <wp:extent cx="6023610" cy="8469630"/>
                <wp:effectExtent l="0" t="0" r="0" b="0"/>
                <wp:docPr id="69" name="画布 69"/>
                <wp:cNvGraphicFramePr/>
                <a:graphic xmlns:a="http://schemas.openxmlformats.org/drawingml/2006/main">
                  <a:graphicData uri="http://schemas.microsoft.com/office/word/2010/wordprocessingCanvas">
                    <wpc:wpc>
                      <wpc:bg/>
                      <wpc:whole/>
                      <wps:wsp>
                        <wps:cNvPr id="15" name="文本框 8"/>
                        <wps:cNvSpPr txBox="1"/>
                        <wps:spPr>
                          <a:xfrm>
                            <a:off x="934085" y="165100"/>
                            <a:ext cx="3576320" cy="335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吨袋煅后焦原料</w:t>
                              </w:r>
                              <w:r>
                                <w:rPr>
                                  <w:rFonts w:hint="eastAsia"/>
                                  <w:sz w:val="21"/>
                                  <w:lang w:val="en-US" w:eastAsia="zh-CN"/>
                                </w:rPr>
                                <w:t>50594.95（煅后焦：50589.95，包装袋5）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连接符 9"/>
                        <wps:cNvCnPr/>
                        <wps:spPr>
                          <a:xfrm>
                            <a:off x="2832735" y="508000"/>
                            <a:ext cx="0" cy="3981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7" name="文本框 10"/>
                        <wps:cNvSpPr txBox="1"/>
                        <wps:spPr>
                          <a:xfrm>
                            <a:off x="2621280" y="517525"/>
                            <a:ext cx="511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航吊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1"/>
                        <wps:cNvSpPr txBox="1"/>
                        <wps:spPr>
                          <a:xfrm>
                            <a:off x="2604135" y="88963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进料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连接符 12"/>
                        <wps:cNvCnPr>
                          <a:stCxn id="11" idx="3"/>
                        </wps:cNvCnPr>
                        <wps:spPr>
                          <a:xfrm flipV="1">
                            <a:off x="3072765" y="101854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 name="文本框 13"/>
                        <wps:cNvSpPr txBox="1"/>
                        <wps:spPr>
                          <a:xfrm>
                            <a:off x="3686810" y="898525"/>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连接符 16"/>
                        <wps:cNvCnPr>
                          <a:stCxn id="11" idx="2"/>
                        </wps:cNvCnPr>
                        <wps:spPr>
                          <a:xfrm>
                            <a:off x="2838450" y="1149350"/>
                            <a:ext cx="3175" cy="3968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2" name="文本框 17"/>
                        <wps:cNvSpPr txBox="1"/>
                        <wps:spPr>
                          <a:xfrm>
                            <a:off x="2604135" y="154813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电煅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直接连接符 18"/>
                        <wps:cNvCnPr/>
                        <wps:spPr>
                          <a:xfrm flipH="1" flipV="1">
                            <a:off x="486410" y="946150"/>
                            <a:ext cx="2129155"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4" name="直接连接符 19"/>
                        <wps:cNvCnPr>
                          <a:stCxn id="13" idx="3"/>
                        </wps:cNvCnPr>
                        <wps:spPr>
                          <a:xfrm flipV="1">
                            <a:off x="4311015" y="102743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5" name="文本框 20"/>
                        <wps:cNvSpPr txBox="1"/>
                        <wps:spPr>
                          <a:xfrm>
                            <a:off x="4794885" y="88074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1-1</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直接连接符 21"/>
                        <wps:cNvCnPr>
                          <a:stCxn id="13" idx="0"/>
                        </wps:cNvCnPr>
                        <wps:spPr>
                          <a:xfrm flipV="1">
                            <a:off x="3999230" y="66357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 name="文本框 22"/>
                        <wps:cNvSpPr txBox="1"/>
                        <wps:spPr>
                          <a:xfrm>
                            <a:off x="3756025" y="413385"/>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U1-1</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连接符 23"/>
                        <wps:cNvCnPr/>
                        <wps:spPr>
                          <a:xfrm>
                            <a:off x="3505835" y="1964055"/>
                            <a:ext cx="57404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9" name="文本框 24"/>
                        <wps:cNvSpPr txBox="1"/>
                        <wps:spPr>
                          <a:xfrm>
                            <a:off x="4023360" y="1626235"/>
                            <a:ext cx="1966595" cy="987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1-2</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 xml:space="preserve"> 252.57</w:t>
                              </w:r>
                              <w:r>
                                <w:rPr>
                                  <w:rFonts w:hint="eastAsia"/>
                                  <w:sz w:val="21"/>
                                  <w:lang w:val="en-US" w:eastAsia="zh-CN"/>
                                </w:rPr>
                                <w:t>、NOx15、烟尘185、CO</w:t>
                              </w:r>
                              <w:r>
                                <w:rPr>
                                  <w:rFonts w:hint="eastAsia"/>
                                  <w:sz w:val="21"/>
                                  <w:vertAlign w:val="subscript"/>
                                  <w:lang w:val="en-US" w:eastAsia="zh-CN"/>
                                </w:rPr>
                                <w:t>2</w:t>
                              </w:r>
                              <w:r>
                                <w:rPr>
                                  <w:rFonts w:hint="eastAsia"/>
                                  <w:sz w:val="21"/>
                                  <w:lang w:val="en-US" w:eastAsia="zh-CN"/>
                                </w:rPr>
                                <w:t xml:space="preserve"> 303.08、水分81.95、N</w:t>
                              </w:r>
                              <w:r>
                                <w:rPr>
                                  <w:rFonts w:hint="eastAsia"/>
                                  <w:sz w:val="21"/>
                                  <w:vertAlign w:val="subscript"/>
                                  <w:lang w:val="en-US" w:eastAsia="zh-CN"/>
                                </w:rPr>
                                <w:t xml:space="preserve">2 </w:t>
                              </w:r>
                              <w:r>
                                <w:rPr>
                                  <w:rFonts w:hint="eastAsia"/>
                                  <w:sz w:val="21"/>
                                  <w:lang w:val="en-US" w:eastAsia="zh-CN"/>
                                </w:rPr>
                                <w:t>225384.11、O</w:t>
                              </w:r>
                              <w:r>
                                <w:rPr>
                                  <w:rFonts w:hint="eastAsia"/>
                                  <w:sz w:val="21"/>
                                  <w:vertAlign w:val="subscript"/>
                                  <w:lang w:val="en-US" w:eastAsia="zh-CN"/>
                                </w:rPr>
                                <w:t>2</w:t>
                              </w:r>
                              <w:r>
                                <w:rPr>
                                  <w:rFonts w:hint="eastAsia"/>
                                  <w:sz w:val="21"/>
                                  <w:lang w:val="en-US" w:eastAsia="zh-CN"/>
                                </w:rPr>
                                <w:t>60323.91、其他2666.84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连接符 25"/>
                        <wps:cNvCnPr>
                          <a:stCxn id="17" idx="2"/>
                        </wps:cNvCnPr>
                        <wps:spPr>
                          <a:xfrm>
                            <a:off x="2838450" y="1807845"/>
                            <a:ext cx="3175" cy="42799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2" name="文本框 30"/>
                        <wps:cNvSpPr txBox="1"/>
                        <wps:spPr>
                          <a:xfrm>
                            <a:off x="2595245" y="222313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矩形 31"/>
                        <wps:cNvSpPr/>
                        <wps:spPr>
                          <a:xfrm>
                            <a:off x="2261235" y="1261110"/>
                            <a:ext cx="1238250" cy="1367790"/>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2"/>
                        <wps:cNvSpPr txBox="1"/>
                        <wps:spPr>
                          <a:xfrm>
                            <a:off x="2595245" y="2898775"/>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连接符 33"/>
                        <wps:cNvCnPr/>
                        <wps:spPr>
                          <a:xfrm flipV="1">
                            <a:off x="3071495" y="305435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6" name="文本框 34"/>
                        <wps:cNvSpPr txBox="1"/>
                        <wps:spPr>
                          <a:xfrm>
                            <a:off x="3625850" y="292417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1-3</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连接符 35"/>
                        <wps:cNvCnPr>
                          <a:endCxn id="40" idx="0"/>
                        </wps:cNvCnPr>
                        <wps:spPr>
                          <a:xfrm>
                            <a:off x="2837180" y="3166745"/>
                            <a:ext cx="13970" cy="10477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8" name="文本框 36"/>
                        <wps:cNvSpPr txBox="1"/>
                        <wps:spPr>
                          <a:xfrm>
                            <a:off x="2368550" y="3362960"/>
                            <a:ext cx="95250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运输机、斗提机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38"/>
                        <wps:cNvSpPr txBox="1"/>
                        <wps:spPr>
                          <a:xfrm>
                            <a:off x="2404745" y="4214495"/>
                            <a:ext cx="89217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中间包装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连接符 39"/>
                        <wps:cNvCnPr/>
                        <wps:spPr>
                          <a:xfrm flipV="1">
                            <a:off x="3305810" y="435356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 name="文本框 40"/>
                        <wps:cNvSpPr txBox="1"/>
                        <wps:spPr>
                          <a:xfrm>
                            <a:off x="3894455" y="424942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直接连接符 41"/>
                        <wps:cNvCnPr/>
                        <wps:spPr>
                          <a:xfrm flipV="1">
                            <a:off x="4223385" y="4006850"/>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 name="文本框 42"/>
                        <wps:cNvSpPr txBox="1"/>
                        <wps:spPr>
                          <a:xfrm>
                            <a:off x="3859530" y="3782060"/>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U1-2</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连接符 43"/>
                        <wps:cNvCnPr/>
                        <wps:spPr>
                          <a:xfrm flipV="1">
                            <a:off x="4526280" y="4362450"/>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 name="文本框 44"/>
                        <wps:cNvSpPr txBox="1"/>
                        <wps:spPr>
                          <a:xfrm>
                            <a:off x="5071745" y="423227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1-4</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6"/>
                        <wps:cNvSpPr txBox="1"/>
                        <wps:spPr>
                          <a:xfrm>
                            <a:off x="2387600" y="4916170"/>
                            <a:ext cx="89217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半成品仓</w:t>
                              </w:r>
                              <w:r>
                                <w:rPr>
                                  <w:rFonts w:hint="eastAsia"/>
                                  <w:sz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直接连接符 47"/>
                        <wps:cNvCnPr/>
                        <wps:spPr>
                          <a:xfrm flipH="1">
                            <a:off x="2846705" y="4465955"/>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文本框 48"/>
                        <wps:cNvSpPr txBox="1"/>
                        <wps:spPr>
                          <a:xfrm>
                            <a:off x="2474595" y="4552950"/>
                            <a:ext cx="80581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叉车、航吊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直接连接符 49"/>
                        <wps:cNvCnPr/>
                        <wps:spPr>
                          <a:xfrm flipH="1">
                            <a:off x="487680" y="952500"/>
                            <a:ext cx="1270" cy="345313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 name="直接连接符 50"/>
                        <wps:cNvCnPr/>
                        <wps:spPr>
                          <a:xfrm flipV="1">
                            <a:off x="487680" y="4371340"/>
                            <a:ext cx="1934845"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2" name="文本框 51"/>
                        <wps:cNvSpPr txBox="1"/>
                        <wps:spPr>
                          <a:xfrm>
                            <a:off x="1348105" y="732790"/>
                            <a:ext cx="12045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1-1</w:t>
                              </w:r>
                              <w:r>
                                <w:rPr>
                                  <w:rFonts w:hint="eastAsia"/>
                                  <w:sz w:val="21"/>
                                  <w:vertAlign w:val="baseline"/>
                                  <w:lang w:val="en-US" w:eastAsia="zh-CN"/>
                                </w:rPr>
                                <w:t>废包装袋5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连接符 52"/>
                        <wps:cNvCnPr/>
                        <wps:spPr>
                          <a:xfrm flipV="1">
                            <a:off x="3288665" y="5046345"/>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4" name="文本框 53"/>
                        <wps:cNvSpPr txBox="1"/>
                        <wps:spPr>
                          <a:xfrm>
                            <a:off x="3886835" y="496824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4"/>
                        <wps:cNvSpPr txBox="1"/>
                        <wps:spPr>
                          <a:xfrm>
                            <a:off x="3808095" y="4544060"/>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U1-3</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连接符 55"/>
                        <wps:cNvCnPr/>
                        <wps:spPr>
                          <a:xfrm flipV="1">
                            <a:off x="4180205" y="475170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 name="直接连接符 56"/>
                        <wps:cNvCnPr/>
                        <wps:spPr>
                          <a:xfrm flipV="1">
                            <a:off x="4518025" y="5089525"/>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8" name="文本框 57"/>
                        <wps:cNvSpPr txBox="1"/>
                        <wps:spPr>
                          <a:xfrm>
                            <a:off x="5081270" y="4950460"/>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1-5</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连接符 58"/>
                        <wps:cNvCnPr>
                          <a:stCxn id="46" idx="1"/>
                        </wps:cNvCnPr>
                        <wps:spPr>
                          <a:xfrm flipH="1" flipV="1">
                            <a:off x="1941195" y="5044440"/>
                            <a:ext cx="446405" cy="1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 name="文本框 59"/>
                        <wps:cNvSpPr txBox="1"/>
                        <wps:spPr>
                          <a:xfrm>
                            <a:off x="1114425" y="4907280"/>
                            <a:ext cx="12045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1-2</w:t>
                              </w:r>
                              <w:r>
                                <w:rPr>
                                  <w:rFonts w:hint="eastAsia"/>
                                  <w:sz w:val="21"/>
                                  <w:vertAlign w:val="baseline"/>
                                  <w:lang w:val="en-US" w:eastAsia="zh-CN"/>
                                </w:rPr>
                                <w:t>废包装袋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直接连接符 60"/>
                        <wps:cNvCnPr/>
                        <wps:spPr>
                          <a:xfrm flipV="1">
                            <a:off x="2032635" y="1677670"/>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2" name="文本框 61"/>
                        <wps:cNvSpPr txBox="1"/>
                        <wps:spPr>
                          <a:xfrm>
                            <a:off x="1565910" y="1521460"/>
                            <a:ext cx="65849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空气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直接连接符 62"/>
                        <wps:cNvCnPr/>
                        <wps:spPr>
                          <a:xfrm flipH="1">
                            <a:off x="2838450" y="5184775"/>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 name="文本框 63"/>
                        <wps:cNvSpPr txBox="1"/>
                        <wps:spPr>
                          <a:xfrm>
                            <a:off x="2595880" y="563499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破碎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直接连接符 64"/>
                        <wps:cNvCnPr/>
                        <wps:spPr>
                          <a:xfrm flipV="1">
                            <a:off x="3063240" y="5790565"/>
                            <a:ext cx="59118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6" name="文本框 65"/>
                        <wps:cNvSpPr txBox="1"/>
                        <wps:spPr>
                          <a:xfrm>
                            <a:off x="3643630" y="5652770"/>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1-6</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直接连接符 66"/>
                        <wps:cNvCnPr/>
                        <wps:spPr>
                          <a:xfrm flipH="1">
                            <a:off x="2846705" y="590296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8" name="文本框 67"/>
                        <wps:cNvSpPr txBox="1"/>
                        <wps:spPr>
                          <a:xfrm>
                            <a:off x="2612390" y="6353810"/>
                            <a:ext cx="468630"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筛分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连接符 68"/>
                        <wps:cNvCnPr/>
                        <wps:spPr>
                          <a:xfrm flipV="1">
                            <a:off x="3080385" y="6466205"/>
                            <a:ext cx="24574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1" name="直接连接符 70"/>
                        <wps:cNvCnPr/>
                        <wps:spPr>
                          <a:xfrm>
                            <a:off x="2829560" y="2483485"/>
                            <a:ext cx="3175" cy="42799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2" name="直接连接符 71"/>
                        <wps:cNvCnPr/>
                        <wps:spPr>
                          <a:xfrm flipH="1">
                            <a:off x="2837815" y="663067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 name="文本框 72"/>
                        <wps:cNvSpPr txBox="1"/>
                        <wps:spPr>
                          <a:xfrm>
                            <a:off x="2262505" y="7089775"/>
                            <a:ext cx="984250" cy="2686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检测和包装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连接符 73"/>
                        <wps:cNvCnPr/>
                        <wps:spPr>
                          <a:xfrm>
                            <a:off x="3252470" y="7213600"/>
                            <a:ext cx="419735" cy="63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5" name="文本框 74"/>
                        <wps:cNvSpPr txBox="1"/>
                        <wps:spPr>
                          <a:xfrm>
                            <a:off x="3677285" y="7090410"/>
                            <a:ext cx="624205" cy="2597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直接连接符 75"/>
                        <wps:cNvCnPr/>
                        <wps:spPr>
                          <a:xfrm flipV="1">
                            <a:off x="4318635" y="7210425"/>
                            <a:ext cx="54800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7" name="文本框 76"/>
                        <wps:cNvSpPr txBox="1"/>
                        <wps:spPr>
                          <a:xfrm>
                            <a:off x="4864100" y="707199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1-7</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连接符 77"/>
                        <wps:cNvCnPr/>
                        <wps:spPr>
                          <a:xfrm flipV="1">
                            <a:off x="3972560" y="6872605"/>
                            <a:ext cx="2540" cy="234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 name="文本框 78"/>
                        <wps:cNvSpPr txBox="1"/>
                        <wps:spPr>
                          <a:xfrm>
                            <a:off x="3652520" y="6656705"/>
                            <a:ext cx="892810"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U1-4</w:t>
                              </w:r>
                              <w:r>
                                <w:rPr>
                                  <w:rFonts w:hint="eastAsia"/>
                                  <w:sz w:val="21"/>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直接连接符 79"/>
                        <wps:cNvCnPr/>
                        <wps:spPr>
                          <a:xfrm flipH="1">
                            <a:off x="2837815" y="7349490"/>
                            <a:ext cx="1270" cy="4489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1" name="文本框 80"/>
                        <wps:cNvSpPr txBox="1"/>
                        <wps:spPr>
                          <a:xfrm>
                            <a:off x="2516505" y="7747635"/>
                            <a:ext cx="69405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val="en-US"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1"/>
                        <wps:cNvSpPr txBox="1"/>
                        <wps:spPr>
                          <a:xfrm>
                            <a:off x="1670050" y="7990205"/>
                            <a:ext cx="3133090"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sz w:val="24"/>
                                  <w:szCs w:val="24"/>
                                  <w:lang w:val="en-US" w:eastAsia="zh-CN"/>
                                </w:rPr>
                              </w:pPr>
                              <w:r>
                                <w:rPr>
                                  <w:rFonts w:hint="eastAsia"/>
                                  <w:b/>
                                  <w:bCs/>
                                  <w:sz w:val="24"/>
                                  <w:szCs w:val="24"/>
                                  <w:lang w:val="en-US" w:eastAsia="zh-CN"/>
                                </w:rPr>
                                <w:t>图3.3.2-1 一期/二期项目物料平衡图 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直接连接符 14"/>
                        <wps:cNvCnPr/>
                        <wps:spPr>
                          <a:xfrm>
                            <a:off x="2202815" y="1108075"/>
                            <a:ext cx="42354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 name="文本框 15"/>
                        <wps:cNvSpPr txBox="1"/>
                        <wps:spPr>
                          <a:xfrm>
                            <a:off x="521335" y="951230"/>
                            <a:ext cx="177165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进料工段布袋除尘器除尘下灰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直接连接符 45"/>
                        <wps:cNvCnPr/>
                        <wps:spPr>
                          <a:xfrm flipV="1">
                            <a:off x="3319145" y="5777865"/>
                            <a:ext cx="0" cy="68135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9" name="文本框 15"/>
                        <wps:cNvSpPr txBox="1"/>
                        <wps:spPr>
                          <a:xfrm>
                            <a:off x="64135" y="6672580"/>
                            <a:ext cx="1651635" cy="1075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排料、中间包装、半成品仓2、破碎筛分和包装工段布袋除尘器除尘下灰120.65、地面清扫降尘4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直接连接符 14"/>
                        <wps:cNvCnPr/>
                        <wps:spPr>
                          <a:xfrm>
                            <a:off x="1830070" y="7220585"/>
                            <a:ext cx="42354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51" name="文本框 15"/>
                        <wps:cNvSpPr txBox="1"/>
                        <wps:spPr>
                          <a:xfrm>
                            <a:off x="2127885" y="890270"/>
                            <a:ext cx="498475" cy="293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23.63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文本框 15"/>
                        <wps:cNvSpPr txBox="1"/>
                        <wps:spPr>
                          <a:xfrm>
                            <a:off x="3963035" y="647065"/>
                            <a:ext cx="49847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15"/>
                        <wps:cNvSpPr txBox="1"/>
                        <wps:spPr>
                          <a:xfrm>
                            <a:off x="4301490" y="811530"/>
                            <a:ext cx="49847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15"/>
                        <wps:cNvSpPr txBox="1"/>
                        <wps:spPr>
                          <a:xfrm>
                            <a:off x="3426460" y="1712595"/>
                            <a:ext cx="73977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289213.18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文本框 15"/>
                        <wps:cNvSpPr txBox="1"/>
                        <wps:spPr>
                          <a:xfrm>
                            <a:off x="3072765" y="2863850"/>
                            <a:ext cx="47180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6" name="文本框 15"/>
                        <wps:cNvSpPr txBox="1"/>
                        <wps:spPr>
                          <a:xfrm>
                            <a:off x="4544060" y="4137660"/>
                            <a:ext cx="47180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8" name="文本框 15"/>
                        <wps:cNvSpPr txBox="1"/>
                        <wps:spPr>
                          <a:xfrm>
                            <a:off x="4153535" y="4007485"/>
                            <a:ext cx="47180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文本框 15"/>
                        <wps:cNvSpPr txBox="1"/>
                        <wps:spPr>
                          <a:xfrm>
                            <a:off x="4110355" y="4759960"/>
                            <a:ext cx="47180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0" name="文本框 15"/>
                        <wps:cNvSpPr txBox="1"/>
                        <wps:spPr>
                          <a:xfrm>
                            <a:off x="4518660" y="4881880"/>
                            <a:ext cx="47180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1" name="文本框 15"/>
                        <wps:cNvSpPr txBox="1"/>
                        <wps:spPr>
                          <a:xfrm>
                            <a:off x="3236595" y="5573395"/>
                            <a:ext cx="47180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2" name="文本框 15"/>
                        <wps:cNvSpPr txBox="1"/>
                        <wps:spPr>
                          <a:xfrm>
                            <a:off x="3885565" y="6890385"/>
                            <a:ext cx="47180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3" name="文本框 15"/>
                        <wps:cNvSpPr txBox="1"/>
                        <wps:spPr>
                          <a:xfrm>
                            <a:off x="4352925" y="6969125"/>
                            <a:ext cx="471805"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4" name="文本框 15"/>
                        <wps:cNvSpPr txBox="1"/>
                        <wps:spPr>
                          <a:xfrm>
                            <a:off x="1938020" y="1478280"/>
                            <a:ext cx="739775"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288625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5" name="文本框 15"/>
                        <wps:cNvSpPr txBox="1"/>
                        <wps:spPr>
                          <a:xfrm>
                            <a:off x="2799080" y="7398385"/>
                            <a:ext cx="641350" cy="274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50000</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666.9pt;width:474.3pt;" coordsize="6023610,8469630" editas="canvas" o:gfxdata="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">
                <o:lock v:ext="edit" aspectratio="f"/>
                <v:shape id="_x0000_s1026" o:spid="_x0000_s1026" style="position:absolute;left:0;top:0;height:8469630;width:6023610;" filled="f" stroked="f" coordsize="21600,21600" o:gfxdata="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">
                  <v:fill on="f" focussize="0,0"/>
                  <v:stroke on="f"/>
                  <v:imagedata o:title=""/>
                  <o:lock v:ext="edit" aspectratio="f"/>
                </v:shape>
                <v:shape id="文本框 8" o:spid="_x0000_s1026" o:spt="202" type="#_x0000_t202" style="position:absolute;left:934085;top:165100;height:335280;width:357632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42+7rYAAAABgEAAA8AAAAAAAAAAQAgAAAAIgAAAGRycy9kb3ducmV2LnhtbFBLAQIUABQA&#10;AAAIAIdO4kDer4OrKQIAACMEAAAOAAAAAAAAAAEAIAAAACc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吨袋煅后焦原料</w:t>
                        </w:r>
                        <w:r>
                          <w:rPr>
                            <w:rFonts w:hint="eastAsia"/>
                            <w:sz w:val="21"/>
                            <w:lang w:val="en-US" w:eastAsia="zh-CN"/>
                          </w:rPr>
                          <w:t>50594.95（煅后焦：50589.95，包装袋5）</w:t>
                        </w:r>
                      </w:p>
                    </w:txbxContent>
                  </v:textbox>
                </v:shape>
                <v:line id="直接连接符 9" o:spid="_x0000_s1026" o:spt="20" style="position:absolute;left:2832735;top:508000;height:398145;width:0;"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cLuctUAAAAGAQAADwAAAAAAAAABACAAAAAiAAAAZHJzL2Rvd25yZXYueG1sUEsBAhQAFAAAAAgA&#10;h07iQJ3hQ8HvAQAAmgMAAA4AAAAAAAAAAQAgAAAAJAEAAGRycy9lMm9Eb2MueG1sUEsFBgAAAAAG&#10;AAYAWQEAAIUFAAAAAA==&#10;">
                  <v:fill on="f" focussize="0,0"/>
                  <v:stroke weight="0.5pt" color="#000000 [3213]" miterlimit="8" joinstyle="miter" endarrow="block" endarrowwidth="narrow" endarrowlength="long"/>
                  <v:imagedata o:title=""/>
                  <o:lock v:ext="edit" aspectratio="f"/>
                </v:line>
                <v:shape id="文本框 10" o:spid="_x0000_s1026" o:spt="202" type="#_x0000_t202" style="position:absolute;left:2621280;top:517525;height:259715;width:51181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42+7rYAAAABgEAAA8AAAAAAAAAAQAgAAAAIgAAAGRycy9kb3ducmV2LnhtbFBLAQIUABQA&#10;AAAIAIdO4kC9mQIQKQIAACQEAAAOAAAAAAAAAAEAIAAAACc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航吊</w:t>
                        </w:r>
                      </w:p>
                    </w:txbxContent>
                  </v:textbox>
                </v:shape>
                <v:shape id="文本框 11" o:spid="_x0000_s1026" o:spt="202" type="#_x0000_t202" style="position:absolute;left:2604135;top:889635;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34KA1wAAAAYBAAAPAAAAAAAAAAEAIAAAACIAAABkcnMv&#10;ZG93bnJldi54bWxQSwECFAAUAAAACACHTuJAJa0feT0CAABNBAAADgAAAAAAAAABACAAAAAmAQAA&#10;ZHJzL2Uyb0RvYy54bWxQSwUGAAAAAAYABgBZAQAA1Q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进料</w:t>
                        </w:r>
                      </w:p>
                    </w:txbxContent>
                  </v:textbox>
                </v:shape>
                <v:line id="直接连接符 12" o:spid="_x0000_s1026" o:spt="20" style="position:absolute;left:3072765;top:1018540;flip:y;height:1270;width:59118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z7ACLXAAAABgEAAA8AAAAAAAAAAQAgAAAAIgAA&#10;AGRycy9kb3ducmV2LnhtbFBLAQIUABQAAAAIAIdO4kCGiKB/CQIAANADAAAOAAAAAAAAAAEAIAAA&#10;ACYBAABkcnMvZTJvRG9jLnhtbFBLBQYAAAAABgAGAFkBAAChBQAAAAA=&#10;">
                  <v:fill on="f" focussize="0,0"/>
                  <v:stroke weight="0.5pt" color="#000000 [3213]" miterlimit="8" joinstyle="miter" endarrow="block" endarrowwidth="narrow" endarrowlength="long"/>
                  <v:imagedata o:title=""/>
                  <o:lock v:ext="edit" aspectratio="f"/>
                </v:line>
                <v:shape id="文本框 13" o:spid="_x0000_s1026" o:spt="202" type="#_x0000_t202" style="position:absolute;left:3686810;top:898525;height:259715;width:62420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9+CgNcAAAAGAQAADwAAAAAAAAABACAAAAAiAAAA&#10;ZHJzL2Rvd25yZXYueG1sUEsBAhQAFAAAAAgAh07iQMd0b99BAgAATQQAAA4AAAAAAAAAAQAgAAAA&#10;Jg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16" o:spid="_x0000_s1026" o:spt="20" style="position:absolute;left:2838450;top:1149350;height:396875;width:317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cLuctUAAAAGAQAADwAAAAAAAAABACAAAAAiAAAAZHJzL2Rvd25y&#10;ZXYueG1sUEsBAhQAFAAAAAgAh07iQMNikJoBAgAAxgMAAA4AAAAAAAAAAQAgAAAAJAEAAGRycy9l&#10;Mm9Eb2MueG1sUEsFBgAAAAAGAAYAWQEAAJcFAAAAAA==&#10;">
                  <v:fill on="f" focussize="0,0"/>
                  <v:stroke weight="0.5pt" color="#000000 [3213]" miterlimit="8" joinstyle="miter" endarrow="block" endarrowwidth="narrow" endarrowlength="long"/>
                  <v:imagedata o:title=""/>
                  <o:lock v:ext="edit" aspectratio="f"/>
                </v:line>
                <v:shape id="文本框 17" o:spid="_x0000_s1026" o:spt="202" type="#_x0000_t202" style="position:absolute;left:2604135;top:1548130;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&#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34KA1wAAAAYBAAAPAAAAAAAAAAEAIAAAACIAAABk&#10;cnMvZG93bnJldi54bWxQSwECFAAUAAAACACHTuJASZVdWE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电煅</w:t>
                        </w:r>
                      </w:p>
                    </w:txbxContent>
                  </v:textbox>
                </v:shape>
                <v:line id="直接连接符 18" o:spid="_x0000_s1026" o:spt="20" style="position:absolute;left:486410;top:946150;flip:x y;height:3175;width:2129155;" filled="f" stroked="t" coordsize="21600,21600" o:gfxdata="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W22Gv1gAAAAYBAAAPAAAAAAAAAAEAIAAAACIAAABkcnMvZG93bnJl&#10;di54bWxQSwECFAAUAAAACACHTuJAemC8H/8BAACyAwAADgAAAAAAAAABACAAAAAlAQAAZHJzL2Uy&#10;b0RvYy54bWxQSwUGAAAAAAYABgBZAQAAlgUAAAAA&#10;">
                  <v:fill on="f" focussize="0,0"/>
                  <v:stroke weight="0.5pt" color="#000000 [3213]" miterlimit="8" joinstyle="miter" endarrow="block" endarrowwidth="narrow" endarrowlength="long"/>
                  <v:imagedata o:title=""/>
                  <o:lock v:ext="edit" aspectratio="f"/>
                </v:line>
                <v:line id="直接连接符 19" o:spid="_x0000_s1026" o:spt="20" style="position:absolute;left:4311015;top:1027430;flip:y;height:1270;width:54800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7ACLXAAAABgEAAA8AAAAAAAAAAQAgAAAA&#10;IgAAAGRycy9kb3ducmV2LnhtbFBLAQIUABQAAAAIAIdO4kDNDaMkDAIAANADAAAOAAAAAAAAAAEA&#10;IAAAACYBAABkcnMvZTJvRG9jLnhtbFBLBQYAAAAABgAGAFkBAACkBQAAAAA=&#10;">
                  <v:fill on="f" focussize="0,0"/>
                  <v:stroke weight="0.5pt" color="#000000 [3213]" miterlimit="8" joinstyle="miter" endarrow="block" endarrowwidth="narrow" endarrowlength="long"/>
                  <v:imagedata o:title=""/>
                  <o:lock v:ext="edit" aspectratio="f"/>
                </v:line>
                <v:shape id="文本框 20" o:spid="_x0000_s1026" o:spt="202" type="#_x0000_t202" style="position:absolute;left:4794885;top:880745;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ssK1AyoCAAAk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1-1</w:t>
                        </w:r>
                        <w:r>
                          <w:rPr>
                            <w:rFonts w:hint="eastAsia"/>
                            <w:sz w:val="21"/>
                            <w:lang w:val="en-US" w:eastAsia="zh-CN"/>
                          </w:rPr>
                          <w:t>粉尘</w:t>
                        </w:r>
                      </w:p>
                    </w:txbxContent>
                  </v:textbox>
                </v:shape>
                <v:line id="直接连接符 21" o:spid="_x0000_s1026" o:spt="20" style="position:absolute;left:3999230;top:663575;flip:y;height:234950;width:254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sAItcAAAAGAQAADwAAAAAAAAABACAAAAAi&#10;AAAAZHJzL2Rvd25yZXYueG1sUEsBAhQAFAAAAAgAh07iQDQSyHULAgAAzwMAAA4AAAAAAAAAAQAg&#10;AAAAJgEAAGRycy9lMm9Eb2MueG1sUEsFBgAAAAAGAAYAWQEAAKMFAAAAAA==&#10;">
                  <v:fill on="f" focussize="0,0"/>
                  <v:stroke weight="0.5pt" color="#000000 [3213]" miterlimit="8" joinstyle="miter" endarrow="block" endarrowwidth="narrow" endarrowlength="long"/>
                  <v:imagedata o:title=""/>
                  <o:lock v:ext="edit" aspectratio="f"/>
                </v:line>
                <v:shape id="文本框 22" o:spid="_x0000_s1026" o:spt="202" type="#_x0000_t202" style="position:absolute;left:3756025;top:413385;height:259715;width:89281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O2fmN0rAgAAJA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U1-1</w:t>
                        </w:r>
                        <w:r>
                          <w:rPr>
                            <w:rFonts w:hint="eastAsia"/>
                            <w:sz w:val="21"/>
                            <w:lang w:val="en-US" w:eastAsia="zh-CN"/>
                          </w:rPr>
                          <w:t>粉尘</w:t>
                        </w:r>
                      </w:p>
                    </w:txbxContent>
                  </v:textbox>
                </v:shape>
                <v:line id="直接连接符 23" o:spid="_x0000_s1026" o:spt="20" style="position:absolute;left:3505835;top:1964055;height:3175;width:574040;"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wu5y1QAAAAYBAAAPAAAAAAAAAAEAIAAAACIAAABkcnMvZG93bnJldi54bWxQSwECFAAU&#10;AAAACACHTuJAnxAK9vQBAACfAwAADgAAAAAAAAABACAAAAAkAQAAZHJzL2Uyb0RvYy54bWxQSwUG&#10;AAAAAAYABgBZAQAAigUAAAAA&#10;">
                  <v:fill on="f" focussize="0,0"/>
                  <v:stroke weight="0.5pt" color="#000000 [3213]" miterlimit="8" joinstyle="miter" endarrow="block" endarrowwidth="narrow" endarrowlength="long"/>
                  <v:imagedata o:title=""/>
                  <o:lock v:ext="edit" aspectratio="f"/>
                </v:line>
                <v:shape id="文本框 24" o:spid="_x0000_s1026" o:spt="202" type="#_x0000_t202" style="position:absolute;left:4023360;top:1626235;height:987425;width:196659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Nvu62AAAAAYBAAAPAAAAAAAAAAEAIAAAACIAAABkcnMvZG93bnJldi54bWxQSwEC&#10;FAAUAAAACACHTuJAfPfB4S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1-2</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 xml:space="preserve"> 252.57</w:t>
                        </w:r>
                        <w:r>
                          <w:rPr>
                            <w:rFonts w:hint="eastAsia"/>
                            <w:sz w:val="21"/>
                            <w:lang w:val="en-US" w:eastAsia="zh-CN"/>
                          </w:rPr>
                          <w:t>、NOx15、烟尘185、CO</w:t>
                        </w:r>
                        <w:r>
                          <w:rPr>
                            <w:rFonts w:hint="eastAsia"/>
                            <w:sz w:val="21"/>
                            <w:vertAlign w:val="subscript"/>
                            <w:lang w:val="en-US" w:eastAsia="zh-CN"/>
                          </w:rPr>
                          <w:t>2</w:t>
                        </w:r>
                        <w:r>
                          <w:rPr>
                            <w:rFonts w:hint="eastAsia"/>
                            <w:sz w:val="21"/>
                            <w:lang w:val="en-US" w:eastAsia="zh-CN"/>
                          </w:rPr>
                          <w:t xml:space="preserve"> 303.08、水分81.95、N</w:t>
                        </w:r>
                        <w:r>
                          <w:rPr>
                            <w:rFonts w:hint="eastAsia"/>
                            <w:sz w:val="21"/>
                            <w:vertAlign w:val="subscript"/>
                            <w:lang w:val="en-US" w:eastAsia="zh-CN"/>
                          </w:rPr>
                          <w:t xml:space="preserve">2 </w:t>
                        </w:r>
                        <w:r>
                          <w:rPr>
                            <w:rFonts w:hint="eastAsia"/>
                            <w:sz w:val="21"/>
                            <w:lang w:val="en-US" w:eastAsia="zh-CN"/>
                          </w:rPr>
                          <w:t>225384.11、O</w:t>
                        </w:r>
                        <w:r>
                          <w:rPr>
                            <w:rFonts w:hint="eastAsia"/>
                            <w:sz w:val="21"/>
                            <w:vertAlign w:val="subscript"/>
                            <w:lang w:val="en-US" w:eastAsia="zh-CN"/>
                          </w:rPr>
                          <w:t>2</w:t>
                        </w:r>
                        <w:r>
                          <w:rPr>
                            <w:rFonts w:hint="eastAsia"/>
                            <w:sz w:val="21"/>
                            <w:lang w:val="en-US" w:eastAsia="zh-CN"/>
                          </w:rPr>
                          <w:t>60323.91、其他2666.84</w:t>
                        </w:r>
                      </w:p>
                    </w:txbxContent>
                  </v:textbox>
                </v:shape>
                <v:line id="直接连接符 25" o:spid="_x0000_s1026" o:spt="20" style="position:absolute;left:2838450;top:1807845;height:427990;width:317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wu5y1QAAAAYBAAAPAAAAAAAAAAEAIAAAACIAAABkcnMvZG93&#10;bnJldi54bWxQSwECFAAUAAAACACHTuJADFCIzQMCAADGAwAADgAAAAAAAAABACAAAAAkAQAAZHJz&#10;L2Uyb0RvYy54bWxQSwUGAAAAAAYABgBZAQAAmQUAAAAA&#10;">
                  <v:fill on="f" focussize="0,0"/>
                  <v:stroke weight="0.5pt" color="#000000 [3213]" miterlimit="8" joinstyle="miter" endarrow="block" endarrowwidth="narrow" endarrowlength="long"/>
                  <v:imagedata o:title=""/>
                  <o:lock v:ext="edit" aspectratio="f"/>
                </v:line>
                <v:shape id="文本框 30" o:spid="_x0000_s1026" o:spt="202" type="#_x0000_t202" style="position:absolute;left:2595245;top:2223135;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34KA1wAAAAYBAAAPAAAAAAAAAAEAIAAAACIAAABk&#10;cnMvZG93bnJldi54bWxQSwECFAAUAAAACACHTuJAOwnFI0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冷却</w:t>
                        </w:r>
                      </w:p>
                    </w:txbxContent>
                  </v:textbox>
                </v:shape>
                <v:rect id="矩形 31" o:spid="_x0000_s1026" o:spt="1" style="position:absolute;left:2261235;top:1261110;height:1367790;width:1238250;v-text-anchor:middle;" filled="f" stroked="t" coordsize="21600,21600" o:gfxdata="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1gCvjUAAAABgEAAA8AAAAAAAAAAQAgAAAAIgAAAGRycy9kb3ducmV2LnhtbFBLAQIU&#10;ABQAAAAIAIdO4kBoRSNeaQIAAKsEAAAOAAAAAAAAAAEAIAAAACMBAABkcnMvZTJvRG9jLnhtbFBL&#10;BQYAAAAABgAGAFkBAAD+BQAAAAA=&#10;">
                  <v:fill on="f" focussize="0,0"/>
                  <v:stroke weight="0.5pt" color="#41719C [3204]" miterlimit="8" joinstyle="miter" dashstyle="dash"/>
                  <v:imagedata o:title=""/>
                  <o:lock v:ext="edit" aspectratio="f"/>
                </v:rect>
                <v:shape id="文本框 32" o:spid="_x0000_s1026" o:spt="202" type="#_x0000_t202" style="position:absolute;left:2595245;top:2898775;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ffgoDXAAAABgEAAA8AAAAAAAAAAQAgAAAAIgAA&#10;AGRycy9kb3ducmV2LnhtbFBLAQIUABQAAAAIAIdO4kBI12l7QgIAAE4EAAAOAAAAAAAAAAEAIAAA&#10;ACY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排料</w:t>
                        </w:r>
                      </w:p>
                    </w:txbxContent>
                  </v:textbox>
                </v:shape>
                <v:line id="直接连接符 33" o:spid="_x0000_s1026" o:spt="20" style="position:absolute;left:3071495;top:3054350;flip:y;height:1270;width:54800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JaPE7L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34" o:spid="_x0000_s1026" o:spt="202" type="#_x0000_t202" style="position:absolute;left:3625850;top:2924175;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JIa+C8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1-3</w:t>
                        </w:r>
                        <w:r>
                          <w:rPr>
                            <w:rFonts w:hint="eastAsia"/>
                            <w:sz w:val="21"/>
                            <w:lang w:val="en-US" w:eastAsia="zh-CN"/>
                          </w:rPr>
                          <w:t>粉尘</w:t>
                        </w:r>
                      </w:p>
                    </w:txbxContent>
                  </v:textbox>
                </v:shape>
                <v:line id="直接连接符 35" o:spid="_x0000_s1026" o:spt="20" style="position:absolute;left:2837180;top:3166745;height:1047750;width:13970;"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wu5y1QAAAAYBAAAPAAAAAAAAAAEAIAAAACIAAABkcnMv&#10;ZG93bnJldi54bWxQSwECFAAUAAAACACHTuJA/5FBTQYCAADJAwAADgAAAAAAAAABACAAAAAkAQAA&#10;ZHJzL2Uyb0RvYy54bWxQSwUGAAAAAAYABgBZAQAAnAUAAAAA&#10;">
                  <v:fill on="f" focussize="0,0"/>
                  <v:stroke weight="0.5pt" color="#000000 [3213]" miterlimit="8" joinstyle="miter" endarrow="block" endarrowwidth="narrow" endarrowlength="long"/>
                  <v:imagedata o:title=""/>
                  <o:lock v:ext="edit" aspectratio="f"/>
                </v:line>
                <v:shape id="文本框 36" o:spid="_x0000_s1026" o:spt="202" type="#_x0000_t202" style="position:absolute;left:2368550;top:3362960;height:259715;width:95250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fEp21y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运输机、斗提机</w:t>
                        </w:r>
                      </w:p>
                    </w:txbxContent>
                  </v:textbox>
                </v:shape>
                <v:shape id="文本框 38" o:spid="_x0000_s1026" o:spt="202" type="#_x0000_t202" style="position:absolute;left:2404745;top:4214495;height:259715;width:89217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ffgoDXAAAABgEAAA8AAAAAAAAAAQAgAAAAIgAA&#10;AGRycy9kb3ducmV2LnhtbFBLAQIUABQAAAAIAIdO4kCP24NKQgIAAE4EAAAOAAAAAAAAAAEAIAAA&#10;ACY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中间包装</w:t>
                        </w:r>
                      </w:p>
                    </w:txbxContent>
                  </v:textbox>
                </v:shape>
                <v:line id="直接连接符 39" o:spid="_x0000_s1026" o:spt="20" style="position:absolute;left:3305810;top:4353560;flip:y;height:1270;width:59118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AfVUtv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40" o:spid="_x0000_s1026" o:spt="202" type="#_x0000_t202" style="position:absolute;left:3894455;top:4249420;height:259715;width:62420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9+CgNcAAAAGAQAADwAAAAAAAAABACAAAAAiAAAAZHJz&#10;L2Rvd25yZXYueG1sUEsBAhQAFAAAAAgAh07iQCnqRto+AgAATgQAAA4AAAAAAAAAAQAgAAAAJg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41" o:spid="_x0000_s1026" o:spt="20" style="position:absolute;left:4223385;top:4006850;flip:y;height:234950;width:254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CCkpgX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42" o:spid="_x0000_s1026" o:spt="202" type="#_x0000_t202" style="position:absolute;left:3859530;top:3782060;height:259715;width:89281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tMpjZS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U1-2</w:t>
                        </w:r>
                        <w:r>
                          <w:rPr>
                            <w:rFonts w:hint="eastAsia"/>
                            <w:sz w:val="21"/>
                            <w:lang w:val="en-US" w:eastAsia="zh-CN"/>
                          </w:rPr>
                          <w:t>粉尘</w:t>
                        </w:r>
                      </w:p>
                    </w:txbxContent>
                  </v:textbox>
                </v:shape>
                <v:line id="直接连接符 43" o:spid="_x0000_s1026" o:spt="20" style="position:absolute;left:4526280;top:4362450;flip:y;height:1270;width:54800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HIjfV/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44" o:spid="_x0000_s1026" o:spt="202" type="#_x0000_t202" style="position:absolute;left:5071745;top:4232275;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NjzT4i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1-4</w:t>
                        </w:r>
                        <w:r>
                          <w:rPr>
                            <w:rFonts w:hint="eastAsia"/>
                            <w:sz w:val="21"/>
                            <w:lang w:val="en-US" w:eastAsia="zh-CN"/>
                          </w:rPr>
                          <w:t>粉尘</w:t>
                        </w:r>
                      </w:p>
                    </w:txbxContent>
                  </v:textbox>
                </v:shape>
                <v:shape id="文本框 46" o:spid="_x0000_s1026" o:spt="202" type="#_x0000_t202" style="position:absolute;left:2387600;top:4916170;height:259715;width:89217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&#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34KA1wAAAAYBAAAPAAAAAAAAAAEAIAAAACIAAABk&#10;cnMvZG93bnJldi54bWxQSwECFAAUAAAACACHTuJAjWLiQE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eastAsia="zh-CN"/>
                          </w:rPr>
                          <w:t>半成品仓</w:t>
                        </w:r>
                        <w:r>
                          <w:rPr>
                            <w:rFonts w:hint="eastAsia"/>
                            <w:sz w:val="21"/>
                            <w:lang w:val="en-US" w:eastAsia="zh-CN"/>
                          </w:rPr>
                          <w:t>2</w:t>
                        </w:r>
                      </w:p>
                    </w:txbxContent>
                  </v:textbox>
                </v:shape>
                <v:line id="直接连接符 47" o:spid="_x0000_s1026" o:spt="20" style="position:absolute;left:2846705;top:4465955;flip:x;height:448945;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EvhVMf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48" o:spid="_x0000_s1026" o:spt="202" type="#_x0000_t202" style="position:absolute;left:2474595;top:4552950;height:259715;width:80581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SgiCKS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18"/>
                            <w:szCs w:val="18"/>
                            <w:lang w:eastAsia="zh-CN"/>
                          </w:rPr>
                        </w:pPr>
                        <w:r>
                          <w:rPr>
                            <w:rFonts w:hint="eastAsia"/>
                            <w:sz w:val="18"/>
                            <w:szCs w:val="18"/>
                            <w:lang w:eastAsia="zh-CN"/>
                          </w:rPr>
                          <w:t>叉车、航吊</w:t>
                        </w:r>
                      </w:p>
                    </w:txbxContent>
                  </v:textbox>
                </v:shape>
                <v:line id="直接连接符 49" o:spid="_x0000_s1026" o:spt="20" style="position:absolute;left:487680;top:952500;flip:x;height:3453130;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wAi1wAAAAYBAAAPAAAAAAAAAAEAIAAAACIAAABkcnMvZG93bnJldi54bWxQ&#10;SwECFAAUAAAACACHTuJAPu2rr/gBAACoAwAADgAAAAAAAAABACAAAAAmAQAAZHJzL2Uyb0RvYy54&#10;bWxQSwUGAAAAAAYABgBZAQAAkAUAAAAA&#10;">
                  <v:fill on="f" focussize="0,0"/>
                  <v:stroke weight="0.5pt" color="#000000 [3213]" miterlimit="8" joinstyle="miter" endarrow="block" endarrowwidth="narrow" endarrowlength="long"/>
                  <v:imagedata o:title=""/>
                  <o:lock v:ext="edit" aspectratio="f"/>
                </v:line>
                <v:line id="直接连接符 50" o:spid="_x0000_s1026" o:spt="20" style="position:absolute;left:487680;top:4371340;flip:y;height:2540;width:193484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DqXJSn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51" o:spid="_x0000_s1026" o:spt="202" type="#_x0000_t202" style="position:absolute;left:1348105;top:732790;height:259715;width:120459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xb0N3C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1-1</w:t>
                        </w:r>
                        <w:r>
                          <w:rPr>
                            <w:rFonts w:hint="eastAsia"/>
                            <w:sz w:val="21"/>
                            <w:vertAlign w:val="baseline"/>
                            <w:lang w:val="en-US" w:eastAsia="zh-CN"/>
                          </w:rPr>
                          <w:t>废包装袋5</w:t>
                        </w:r>
                      </w:p>
                    </w:txbxContent>
                  </v:textbox>
                </v:shape>
                <v:line id="直接连接符 52" o:spid="_x0000_s1026" o:spt="20" style="position:absolute;left:3288665;top:5046345;flip:y;height:1270;width:59118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PsAItcAAAAGAQAADwAAAAAAAAABACAAAAAiAAAAZHJzL2Rvd25yZXYu&#10;eG1sUEsBAhQAFAAAAAgAh07iQPYkUgf8AQAAqQ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53" o:spid="_x0000_s1026" o:spt="202" type="#_x0000_t202" style="position:absolute;left:3886835;top:4968240;height:259715;width:62420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9+CgNcAAAAGAQAADwAAAAAAAAABACAAAAAiAAAA&#10;ZHJzL2Rvd25yZXYueG1sUEsBAhQAFAAAAAgAh07iQK/KJcFBAgAATgQAAA4AAAAAAAAAAQAgAAAA&#10;Jg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shape id="文本框 54" o:spid="_x0000_s1026" o:spt="202" type="#_x0000_t202" style="position:absolute;left:3808095;top:4544060;height:259715;width:89281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BRmgP7LAIAACU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U1-3</w:t>
                        </w:r>
                        <w:r>
                          <w:rPr>
                            <w:rFonts w:hint="eastAsia"/>
                            <w:sz w:val="21"/>
                            <w:lang w:val="en-US" w:eastAsia="zh-CN"/>
                          </w:rPr>
                          <w:t>粉尘</w:t>
                        </w:r>
                      </w:p>
                    </w:txbxContent>
                  </v:textbox>
                </v:shape>
                <v:line id="直接连接符 55" o:spid="_x0000_s1026" o:spt="20" style="position:absolute;left:4180205;top:4751705;flip:y;height:234950;width:254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PsAItcAAAAGAQAADwAAAAAAAAABACAAAAAiAAAAZHJzL2Rvd25yZXYu&#10;eG1sUEsBAhQAFAAAAAgAh07iQLbyeP78AQAAqQMAAA4AAAAAAAAAAQAgAAAAJgEAAGRycy9lMm9E&#10;b2MueG1sUEsFBgAAAAAGAAYAWQEAAJQFAAAAAA==&#10;">
                  <v:fill on="f" focussize="0,0"/>
                  <v:stroke weight="0.5pt" color="#000000 [3213]" miterlimit="8" joinstyle="miter" endarrow="block" endarrowwidth="narrow" endarrowlength="long"/>
                  <v:imagedata o:title=""/>
                  <o:lock v:ext="edit" aspectratio="f"/>
                </v:line>
                <v:line id="直接连接符 56" o:spid="_x0000_s1026" o:spt="20" style="position:absolute;left:4518025;top:5089525;flip:y;height:1270;width:54800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rvBjUP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57" o:spid="_x0000_s1026" o:spt="202" type="#_x0000_t202" style="position:absolute;left:5081270;top:4950460;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JaaI+M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1-5</w:t>
                        </w:r>
                        <w:r>
                          <w:rPr>
                            <w:rFonts w:hint="eastAsia"/>
                            <w:sz w:val="21"/>
                            <w:lang w:val="en-US" w:eastAsia="zh-CN"/>
                          </w:rPr>
                          <w:t>粉尘</w:t>
                        </w:r>
                      </w:p>
                    </w:txbxContent>
                  </v:textbox>
                </v:shape>
                <v:line id="直接连接符 58" o:spid="_x0000_s1026" o:spt="20" style="position:absolute;left:1941195;top:5044440;flip:x y;height:1905;width:446405;" filled="f" stroked="t" coordsize="21600,21600" o:gfxdata="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bYa/WAAAABgEAAA8AAAAAAAAAAQAgAAAA&#10;IgAAAGRycy9kb3ducmV2LnhtbFBLAQIUABQAAAAIAIdO4kD+NK49DQIAANo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59" o:spid="_x0000_s1026" o:spt="202" type="#_x0000_t202" style="position:absolute;left:1114425;top:4907280;height:259715;width:120459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hxRQ7yoCAAAm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S</w:t>
                        </w:r>
                        <w:r>
                          <w:rPr>
                            <w:rFonts w:hint="eastAsia"/>
                            <w:sz w:val="21"/>
                            <w:vertAlign w:val="subscript"/>
                            <w:lang w:val="en-US" w:eastAsia="zh-CN"/>
                          </w:rPr>
                          <w:t>1-2</w:t>
                        </w:r>
                        <w:r>
                          <w:rPr>
                            <w:rFonts w:hint="eastAsia"/>
                            <w:sz w:val="21"/>
                            <w:vertAlign w:val="baseline"/>
                            <w:lang w:val="en-US" w:eastAsia="zh-CN"/>
                          </w:rPr>
                          <w:t>废包装袋</w:t>
                        </w:r>
                      </w:p>
                    </w:txbxContent>
                  </v:textbox>
                </v:shape>
                <v:line id="直接连接符 60" o:spid="_x0000_s1026" o:spt="20" style="position:absolute;left:2032635;top:1677670;flip:y;height:1270;width:59118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I2412D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61" o:spid="_x0000_s1026" o:spt="202" type="#_x0000_t202" style="position:absolute;left:1565910;top:1521460;height:259715;width:65849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42+7rYAAAABgEAAA8AAAAAAAAAAQAgAAAAIgAAAGRycy9kb3ducmV2LnhtbFBLAQIUABQA&#10;AAAIAIdO4kBmjtjTKQIAACUEAAAOAAAAAAAAAAEAIAAAACc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空气</w:t>
                        </w:r>
                      </w:p>
                    </w:txbxContent>
                  </v:textbox>
                </v:shape>
                <v:line id="直接连接符 62" o:spid="_x0000_s1026" o:spt="20" style="position:absolute;left:2838450;top:5184775;flip:x;height:448945;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7ACLXAAAABgEAAA8AAAAAAAAAAQAgAAAAIgAAAGRycy9kb3ducmV2Lnht&#10;bFBLAQIUABQAAAAIAIdO4kBcJhKz+gEAAKkDAAAOAAAAAAAAAAEAIAAAACYBAABkcnMvZTJvRG9j&#10;LnhtbFBLBQYAAAAABgAGAFkBAACSBQAAAAA=&#10;">
                  <v:fill on="f" focussize="0,0"/>
                  <v:stroke weight="0.5pt" color="#000000 [3213]" miterlimit="8" joinstyle="miter" endarrow="block" endarrowwidth="narrow" endarrowlength="long"/>
                  <v:imagedata o:title=""/>
                  <o:lock v:ext="edit" aspectratio="f"/>
                </v:line>
                <v:shape id="文本框 63" o:spid="_x0000_s1026" o:spt="202" type="#_x0000_t202" style="position:absolute;left:2595880;top:5634990;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&#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34KA1wAAAAYBAAAPAAAAAAAAAAEAIAAAACIAAABk&#10;cnMvZG93bnJldi54bWxQSwECFAAUAAAACACHTuJAmRCgJU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破碎</w:t>
                        </w:r>
                      </w:p>
                    </w:txbxContent>
                  </v:textbox>
                </v:shape>
                <v:line id="直接连接符 64" o:spid="_x0000_s1026" o:spt="20" style="position:absolute;left:3063240;top:5790565;flip:y;height:1270;width:59118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7frJjv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65" o:spid="_x0000_s1026" o:spt="202" type="#_x0000_t202" style="position:absolute;left:3643630;top:5652770;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B2xqRzLAIAACU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1-6</w:t>
                        </w:r>
                        <w:r>
                          <w:rPr>
                            <w:rFonts w:hint="eastAsia"/>
                            <w:sz w:val="21"/>
                            <w:lang w:val="en-US" w:eastAsia="zh-CN"/>
                          </w:rPr>
                          <w:t>粉尘</w:t>
                        </w:r>
                      </w:p>
                    </w:txbxContent>
                  </v:textbox>
                </v:shape>
                <v:line id="直接连接符 66" o:spid="_x0000_s1026" o:spt="20" style="position:absolute;left:2846705;top:5902960;flip:x;height:448945;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ck6Nkf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67" o:spid="_x0000_s1026" o:spt="202" type="#_x0000_t202" style="position:absolute;left:2612390;top:6353810;height:259715;width:46863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34KA1wAAAAYBAAAPAAAAAAAAAAEAIAAAACIAAABkcnMv&#10;ZG93bnJldi54bWxQSwECFAAUAAAACACHTuJAq/K1nj0CAABOBAAADgAAAAAAAAABACAAAAAmAQAA&#10;ZHJzL2Uyb0RvYy54bWxQSwUGAAAAAAYABgBZAQAA1Q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筛分</w:t>
                        </w:r>
                      </w:p>
                    </w:txbxContent>
                  </v:textbox>
                </v:shape>
                <v:line id="直接连接符 68" o:spid="_x0000_s1026" o:spt="20" style="position:absolute;left:3080385;top:6466205;flip:y;height:1270;width:24574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7ACLXAAAABgEAAA8AAAAAAAAAAQAgAAAAIgAAAGRycy9kb3ducmV2Lnht&#10;bFBLAQIUABQAAAAIAIdO4kCbX1ha+gEAAKkDAAAOAAAAAAAAAAEAIAAAACYBAABkcnMvZTJvRG9j&#10;LnhtbFBLBQYAAAAABgAGAFkBAACSBQAAAAA=&#10;">
                  <v:fill on="f" focussize="0,0"/>
                  <v:stroke weight="0.5pt" color="#000000 [3213]" miterlimit="8" joinstyle="miter" endarrow="block" endarrowwidth="narrow" endarrowlength="long"/>
                  <v:imagedata o:title=""/>
                  <o:lock v:ext="edit" aspectratio="f"/>
                </v:line>
                <v:line id="直接连接符 70" o:spid="_x0000_s1026" o:spt="20" style="position:absolute;left:2829560;top:2483485;height:427990;width:317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cLuctUAAAAGAQAADwAAAAAAAAABACAAAAAiAAAAZHJzL2Rvd25yZXYueG1sUEsBAhQAFAAA&#10;AAgAh07iQHrWv0PyAQAAnwMAAA4AAAAAAAAAAQAgAAAAJAEAAGRycy9lMm9Eb2MueG1sUEsFBgAA&#10;AAAGAAYAWQEAAIgFAAAAAA==&#10;">
                  <v:fill on="f" focussize="0,0"/>
                  <v:stroke weight="0.5pt" color="#000000 [3213]" miterlimit="8" joinstyle="miter" endarrow="block" endarrowwidth="narrow" endarrowlength="long"/>
                  <v:imagedata o:title=""/>
                  <o:lock v:ext="edit" aspectratio="f"/>
                </v:line>
                <v:line id="直接连接符 71" o:spid="_x0000_s1026" o:spt="20" style="position:absolute;left:2837815;top:6630670;flip:x;height:448945;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PsAItcAAAAGAQAADwAAAAAAAAABACAAAAAiAAAAZHJzL2Rvd25yZXYueG1s&#10;UEsBAhQAFAAAAAgAh07iQJMb/9j5AQAAqQMAAA4AAAAAAAAAAQAgAAAAJgEAAGRycy9lMm9Eb2Mu&#10;eG1sUEsFBgAAAAAGAAYAWQEAAJEFAAAAAA==&#10;">
                  <v:fill on="f" focussize="0,0"/>
                  <v:stroke weight="0.5pt" color="#000000 [3213]" miterlimit="8" joinstyle="miter" endarrow="block" endarrowwidth="narrow" endarrowlength="long"/>
                  <v:imagedata o:title=""/>
                  <o:lock v:ext="edit" aspectratio="f"/>
                </v:line>
                <v:shape id="文本框 72" o:spid="_x0000_s1026" o:spt="202" type="#_x0000_t202" style="position:absolute;left:2262505;top:7089775;height:268605;width:984250;"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fgoDXAAAABgEAAA8AAAAAAAAAAQAgAAAAIgAAAGRy&#10;cy9kb3ducmV2LnhtbFBLAQIUABQAAAAIAIdO4kD67ahGPwIAAE4EAAAOAAAAAAAAAAEAIAAAACY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检测和包装</w:t>
                        </w:r>
                      </w:p>
                    </w:txbxContent>
                  </v:textbox>
                </v:shape>
                <v:line id="直接连接符 73" o:spid="_x0000_s1026" o:spt="20" style="position:absolute;left:3252470;top:7213600;height:6350;width:41973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XC7nLVAAAABgEAAA8AAAAAAAAAAQAgAAAAIgAAAGRycy9kb3ducmV2LnhtbFBLAQIUABQAAAAI&#10;AIdO4kCBEPuJ8AEAAJ8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74" o:spid="_x0000_s1026" o:spt="202" type="#_x0000_t202" style="position:absolute;left:3677285;top:7090410;height:259715;width:624205;" filled="f" stroked="t" coordsize="21600,21600" o:gfxdata="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34KA1wAAAAYBAAAPAAAAAAAAAAEAIAAAACIAAABk&#10;cnMvZG93bnJldi54bWxQSwECFAAUAAAACACHTuJATlRdYE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lang w:eastAsia="zh-CN"/>
                          </w:rPr>
                        </w:pPr>
                        <w:r>
                          <w:rPr>
                            <w:rFonts w:hint="eastAsia"/>
                            <w:sz w:val="21"/>
                            <w:lang w:eastAsia="zh-CN"/>
                          </w:rPr>
                          <w:t>集尘罩</w:t>
                        </w:r>
                      </w:p>
                    </w:txbxContent>
                  </v:textbox>
                </v:shape>
                <v:line id="直接连接符 75" o:spid="_x0000_s1026" o:spt="20" style="position:absolute;left:4318635;top:7210425;flip:y;height:1270;width:548005;"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wAi1wAAAAYBAAAPAAAAAAAAAAEAIAAAACIAAABkcnMvZG93bnJldi54&#10;bWxQSwECFAAUAAAACACHTuJAQyNGxvsBAACpAwAADgAAAAAAAAABACAAAAAmAQAAZHJzL2Uyb0Rv&#10;Yy54bWxQSwUGAAAAAAYABgBZAQAAkwUAAAAA&#10;">
                  <v:fill on="f" focussize="0,0"/>
                  <v:stroke weight="0.5pt" color="#000000 [3213]" miterlimit="8" joinstyle="miter" endarrow="block" endarrowwidth="narrow" endarrowlength="long"/>
                  <v:imagedata o:title=""/>
                  <o:lock v:ext="edit" aspectratio="f"/>
                </v:line>
                <v:shape id="文本框 76" o:spid="_x0000_s1026" o:spt="202" type="#_x0000_t202" style="position:absolute;left:4864100;top:7071995;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BHy5xuLAIAACU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1-7</w:t>
                        </w:r>
                        <w:r>
                          <w:rPr>
                            <w:rFonts w:hint="eastAsia"/>
                            <w:sz w:val="21"/>
                            <w:lang w:val="en-US" w:eastAsia="zh-CN"/>
                          </w:rPr>
                          <w:t>粉尘</w:t>
                        </w:r>
                      </w:p>
                    </w:txbxContent>
                  </v:textbox>
                </v:shape>
                <v:line id="直接连接符 77" o:spid="_x0000_s1026" o:spt="20" style="position:absolute;left:3972560;top:6872605;flip:y;height:234950;width:254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PsAItcAAAAGAQAADwAAAAAAAAABACAAAAAiAAAAZHJzL2Rvd25yZXYu&#10;eG1sUEsBAhQAFAAAAAgAh07iQCffJD78AQAAqQMAAA4AAAAAAAAAAQAgAAAAJgEAAGRycy9lMm9E&#10;b2MueG1sUEsFBgAAAAAGAAYAWQEAAJQFAAAAAA==&#10;">
                  <v:fill on="f" focussize="0,0"/>
                  <v:stroke weight="0.5pt" color="#000000 [3213]" miterlimit="8" joinstyle="miter" endarrow="block" endarrowwidth="narrow" endarrowlength="long"/>
                  <v:imagedata o:title=""/>
                  <o:lock v:ext="edit" aspectratio="f"/>
                </v:line>
                <v:shape id="文本框 78" o:spid="_x0000_s1026" o:spt="202" type="#_x0000_t202" style="position:absolute;left:3652520;top:6656705;height:259715;width:89281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E0YlRw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lang w:val="en-US" w:eastAsia="zh-CN"/>
                          </w:rPr>
                        </w:pPr>
                        <w:r>
                          <w:rPr>
                            <w:rFonts w:hint="eastAsia"/>
                            <w:sz w:val="21"/>
                            <w:lang w:val="en-US" w:eastAsia="zh-CN"/>
                          </w:rPr>
                          <w:t>G</w:t>
                        </w:r>
                        <w:r>
                          <w:rPr>
                            <w:rFonts w:hint="eastAsia"/>
                            <w:sz w:val="21"/>
                            <w:vertAlign w:val="subscript"/>
                            <w:lang w:val="en-US" w:eastAsia="zh-CN"/>
                          </w:rPr>
                          <w:t>U1-4</w:t>
                        </w:r>
                        <w:r>
                          <w:rPr>
                            <w:rFonts w:hint="eastAsia"/>
                            <w:sz w:val="21"/>
                            <w:lang w:val="en-US" w:eastAsia="zh-CN"/>
                          </w:rPr>
                          <w:t>粉尘</w:t>
                        </w:r>
                      </w:p>
                    </w:txbxContent>
                  </v:textbox>
                </v:shape>
                <v:line id="直接连接符 79" o:spid="_x0000_s1026" o:spt="20" style="position:absolute;left:2837815;top:7349490;flip:x;height:448945;width:127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7ACLXAAAABgEAAA8AAAAAAAAAAQAgAAAAIgAAAGRycy9kb3ducmV2Lnht&#10;bFBLAQIUABQAAAAIAIdO4kAbwDHH+gEAAKkDAAAOAAAAAAAAAAEAIAAAACYBAABkcnMvZTJvRG9j&#10;LnhtbFBLBQYAAAAABgAGAFkBAACSBQAAAAA=&#10;">
                  <v:fill on="f" focussize="0,0"/>
                  <v:stroke weight="0.5pt" color="#000000 [3213]" miterlimit="8" joinstyle="miter" endarrow="block" endarrowwidth="narrow" endarrowlength="long"/>
                  <v:imagedata o:title=""/>
                  <o:lock v:ext="edit" aspectratio="f"/>
                </v:line>
                <v:shape id="文本框 80" o:spid="_x0000_s1026" o:spt="202" type="#_x0000_t202" style="position:absolute;left:2516505;top:7747635;height:259715;width:69405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Fuy6Ty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lang w:val="en-US" w:eastAsia="zh-CN"/>
                          </w:rPr>
                        </w:pPr>
                        <w:r>
                          <w:rPr>
                            <w:rFonts w:hint="eastAsia"/>
                            <w:sz w:val="21"/>
                            <w:lang w:val="en-US" w:eastAsia="zh-CN"/>
                          </w:rPr>
                          <w:t>产品</w:t>
                        </w:r>
                      </w:p>
                    </w:txbxContent>
                  </v:textbox>
                </v:shape>
                <v:shape id="文本框 81" o:spid="_x0000_s1026" o:spt="202" type="#_x0000_t202" style="position:absolute;left:1670050;top:7990205;height:410210;width:313309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FgZwbUrAgAAJg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bCs/>
                            <w:sz w:val="24"/>
                            <w:szCs w:val="24"/>
                            <w:lang w:val="en-US" w:eastAsia="zh-CN"/>
                          </w:rPr>
                        </w:pPr>
                        <w:r>
                          <w:rPr>
                            <w:rFonts w:hint="eastAsia"/>
                            <w:b/>
                            <w:bCs/>
                            <w:sz w:val="24"/>
                            <w:szCs w:val="24"/>
                            <w:lang w:val="en-US" w:eastAsia="zh-CN"/>
                          </w:rPr>
                          <w:t>图3.3.2-1 一期/二期项目物料平衡图 t/a</w:t>
                        </w:r>
                      </w:p>
                    </w:txbxContent>
                  </v:textbox>
                </v:shape>
                <v:line id="直接连接符 14" o:spid="_x0000_s1026" o:spt="20" style="position:absolute;left:2202815;top:1108075;height:0;width:42354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cLuctUAAAAGAQAADwAAAAAAAAABACAAAAAiAAAAZHJzL2Rvd25yZXYueG1sUEsBAhQAFAAA&#10;AAgAh07iQHk0YovyAQAAnAMAAA4AAAAAAAAAAQAgAAAAJAEAAGRycy9lMm9Eb2MueG1sUEsFBgAA&#10;AAAGAAYAWQEAAIgFAAAAAA==&#10;">
                  <v:fill on="f" focussize="0,0"/>
                  <v:stroke weight="0.5pt" color="#000000 [3213]" miterlimit="8" joinstyle="miter" endarrow="block" endarrowwidth="narrow" endarrowlength="long"/>
                  <v:imagedata o:title=""/>
                  <o:lock v:ext="edit" aspectratio="f"/>
                </v:line>
                <v:shape id="文本框 15" o:spid="_x0000_s1026" o:spt="202" type="#_x0000_t202" style="position:absolute;left:521335;top:951230;height:260350;width:177165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42+7rYAAAABgEAAA8AAAAAAAAAAQAgAAAAIgAAAGRycy9kb3ducmV2LnhtbFBLAQIUABQA&#10;AAAIAIdO4kCUQMhGKQIAACQEAAAOAAAAAAAAAAEAIAAAACc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进料工段布袋除尘器除尘下灰</w:t>
                        </w:r>
                      </w:p>
                    </w:txbxContent>
                  </v:textbox>
                </v:shape>
                <v:line id="直接连接符 45" o:spid="_x0000_s1026" o:spt="20" style="position:absolute;left:3319145;top:5777865;flip:y;height:681355;width:0;" filled="f" stroked="t" coordsize="21600,21600" o:gfxdata="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z7ACLXAAAABgEAAA8AAAAAAAAAAQAgAAAAIgAAAGRycy9kb3ducmV2LnhtbFBL&#10;AQIUABQAAAAIAIdO4kBLLi6P9wEAAKYDAAAOAAAAAAAAAAEAIAAAACYBAABkcnMvZTJvRG9jLnht&#10;bFBLBQYAAAAABgAGAFkBAACPBQAAAAA=&#10;">
                  <v:fill on="f" focussize="0,0"/>
                  <v:stroke weight="0.5pt" color="#000000 [3213]" miterlimit="8" joinstyle="miter" endarrow="block" endarrowwidth="narrow" endarrowlength="long"/>
                  <v:imagedata o:title=""/>
                  <o:lock v:ext="edit" aspectratio="f"/>
                </v:line>
                <v:shape id="文本框 15" o:spid="_x0000_s1026" o:spt="202" type="#_x0000_t202" style="position:absolute;left:64135;top:6672580;height:1075690;width:165163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RB+yRCoCAAAm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排料、中间包装、半成品仓2、破碎筛分和包装工段布袋除尘器除尘下灰120.65、地面清扫降尘4</w:t>
                        </w:r>
                      </w:p>
                    </w:txbxContent>
                  </v:textbox>
                </v:shape>
                <v:line id="直接连接符 14" o:spid="_x0000_s1026" o:spt="20" style="position:absolute;left:1830070;top:7220585;height:0;width:423545;" filled="f" stroked="t" coordsize="21600,21600" o:gfxdata="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wu5y1QAAAAYBAAAPAAAAAAAAAAEAIAAAACIAAABkcnMvZG93bnJldi54bWxQSwECFAAUAAAA&#10;CACHTuJAF+Pv2fEBAACdAwAADgAAAAAAAAABACAAAAAkAQAAZHJzL2Uyb0RvYy54bWxQSwUGAAAA&#10;AAYABgBZAQAAhwUAAAAA&#10;">
                  <v:fill on="f" focussize="0,0"/>
                  <v:stroke weight="0.5pt" color="#000000 [3213]" miterlimit="8" joinstyle="miter" endarrow="block" endarrowwidth="narrow" endarrowlength="long"/>
                  <v:imagedata o:title=""/>
                  <o:lock v:ext="edit" aspectratio="f"/>
                </v:line>
                <v:shape id="文本框 15" o:spid="_x0000_s1026" o:spt="202" type="#_x0000_t202" style="position:absolute;left:2127885;top:890270;height:293370;width:49847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vu62AAAAAYBAAAPAAAAAAAAAAEAIAAAACIAAABkcnMvZG93bnJldi54bWxQSwECFAAU&#10;AAAACACHTuJATyZbSSoCAAAlBAAADgAAAAAAAAABACAAAAAn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23.63</w:t>
                        </w:r>
                      </w:p>
                    </w:txbxContent>
                  </v:textbox>
                </v:shape>
                <v:shape id="文本框 15" o:spid="_x0000_s1026" o:spt="202" type="#_x0000_t202" style="position:absolute;left:3963035;top:647065;height:257810;width:49847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Bw+ZJELAIAACU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v:textbox>
                </v:shape>
                <v:shape id="文本框 15" o:spid="_x0000_s1026" o:spt="202" type="#_x0000_t202" style="position:absolute;left:4301490;top:811530;height:257810;width:49847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HHq5nsrAgAAJQ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v:textbox>
                </v:shape>
                <v:shape id="文本框 15" o:spid="_x0000_s1026" o:spt="202" type="#_x0000_t202" style="position:absolute;left:3426460;top:1712595;height:257810;width:73977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42+7rYAAAABgEAAA8AAAAAAAAAAQAgAAAAIgAAAGRycy9kb3ducmV2LnhtbFBL&#10;AQIUABQAAAAIAIdO4kAxFX+SLwIAACYEAAAOAAAAAAAAAAEAIAAAACcBAABkcnMvZTJvRG9jLnht&#10;bFBLBQYAAAAABgAGAFkBAADI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289213.18</w:t>
                        </w:r>
                      </w:p>
                    </w:txbxContent>
                  </v:textbox>
                </v:shape>
                <v:shape id="文本框 15" o:spid="_x0000_s1026" o:spt="202" type="#_x0000_t202" style="position:absolute;left:3072765;top:2863850;height:25781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Nvu62AAAAAYBAAAPAAAAAAAAAAEAIAAAACIAAABkcnMvZG93bnJldi54bWxQSwECFAAUAAAA&#10;CACHTuJAm7t17ScCAAAmBAAADgAAAAAAAAABACAAAAAn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25</w:t>
                        </w:r>
                      </w:p>
                    </w:txbxContent>
                  </v:textbox>
                </v:shape>
                <v:shape id="文本框 15" o:spid="_x0000_s1026" o:spt="202" type="#_x0000_t202" style="position:absolute;left:4544060;top:4137660;height:27432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AaSkbM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v:textbox>
                </v:shape>
                <v:shape id="文本框 15" o:spid="_x0000_s1026" o:spt="202" type="#_x0000_t202" style="position:absolute;left:4153535;top:4007485;height:25781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DfWb6g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v:textbox>
                </v:shape>
                <v:shape id="文本框 15" o:spid="_x0000_s1026" o:spt="202" type="#_x0000_t202" style="position:absolute;left:4110355;top:4759960;height:25781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KRRtGIrAgAAJg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v:textbox>
                </v:shape>
                <v:shape id="文本框 15" o:spid="_x0000_s1026" o:spt="202" type="#_x0000_t202" style="position:absolute;left:4518660;top:4881880;height:27432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jb7utgAAAAGAQAADwAAAAAAAAABACAAAAAiAAAAZHJzL2Rvd25yZXYueG1sUEsBAhQA&#10;FAAAAAgAh07iQBijsrUrAgAAJgQAAA4AAAAAAAAAAQAgAAAAJw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v:textbox>
                </v:shape>
                <v:shape id="文本框 15" o:spid="_x0000_s1026" o:spt="202" type="#_x0000_t202" style="position:absolute;left:3236595;top:5573395;height:27432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Az+i1G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25</w:t>
                        </w:r>
                      </w:p>
                    </w:txbxContent>
                  </v:textbox>
                </v:shape>
                <v:shape id="文本框 15" o:spid="_x0000_s1026" o:spt="202" type="#_x0000_t202" style="position:absolute;left:3885565;top:6890385;height:25781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jb7utgAAAAGAQAADwAAAAAAAAABACAAAAAiAAAAZHJzL2Rvd25yZXYueG1sUEsB&#10;AhQAFAAAAAgAh07iQCgAA04uAgAAJgQAAA4AAAAAAAAAAQAgAAAAJw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1.25</w:t>
                        </w:r>
                      </w:p>
                    </w:txbxContent>
                  </v:textbox>
                </v:shape>
                <v:shape id="文本框 15" o:spid="_x0000_s1026" o:spt="202" type="#_x0000_t202" style="position:absolute;left:4352925;top:6969125;height:274320;width:47180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Nvu62AAAAAYBAAAPAAAAAAAAAAEAIAAAACIAAABkcnMvZG93bnJldi54bWxQSwEC&#10;FAAUAAAACACHTuJA72/qbC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23.75</w:t>
                        </w:r>
                      </w:p>
                    </w:txbxContent>
                  </v:textbox>
                </v:shape>
                <v:shape id="文本框 15" o:spid="_x0000_s1026" o:spt="202" type="#_x0000_t202" style="position:absolute;left:1938020;top:1478280;height:257810;width:739775;"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42+7rYAAAABgEAAA8AAAAAAAAAAQAgAAAAIgAAAGRycy9kb3ducmV2LnhtbFBLAQIU&#10;ABQAAAAIAIdO4kDUYfreLAIAACYEAAAOAAAAAAAAAAEAIAAAACc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288625</w:t>
                        </w:r>
                      </w:p>
                    </w:txbxContent>
                  </v:textbox>
                </v:shape>
                <v:shape id="文本框 15" o:spid="_x0000_s1026" o:spt="202" type="#_x0000_t202" style="position:absolute;left:2799080;top:7398385;height:274320;width:641350;" filled="f" stroked="f" coordsize="21600,21600" o:gfxdata="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Nvu62AAAAAYBAAAPAAAAAAAAAAEAIAAAACIAAABkcnMvZG93bnJldi54bWxQSwEC&#10;FAAUAAAACACHTuJA2dZdeC0CAAAmBAAADgAAAAAAAAABACAAAAAn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18"/>
                            <w:szCs w:val="18"/>
                            <w:lang w:val="en-US" w:eastAsia="zh-CN"/>
                          </w:rPr>
                        </w:pPr>
                        <w:r>
                          <w:rPr>
                            <w:rFonts w:hint="eastAsia"/>
                            <w:color w:val="auto"/>
                            <w:sz w:val="18"/>
                            <w:szCs w:val="18"/>
                            <w:lang w:val="en-US" w:eastAsia="zh-CN"/>
                          </w:rPr>
                          <w:t>50000</w:t>
                        </w:r>
                      </w:p>
                    </w:txbxContent>
                  </v:textbox>
                </v:shape>
                <w10:wrap type="none"/>
                <w10:anchorlock/>
              </v:group>
            </w:pict>
          </mc:Fallback>
        </mc:AlternateContent>
      </w:r>
    </w:p>
    <w:p>
      <w:pPr>
        <w:bidi w:val="0"/>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default"/>
          <w:lang w:val="en-US" w:eastAsia="zh-CN"/>
        </w:rPr>
      </w:pPr>
      <w:r>
        <w:rPr>
          <w:rFonts w:hint="eastAsia"/>
          <w:lang w:val="en-US" w:eastAsia="zh-CN"/>
        </w:rPr>
        <w:t>3.3.2.2 水平衡分析</w:t>
      </w:r>
    </w:p>
    <w:p>
      <w:pPr>
        <w:keepNext w:val="0"/>
        <w:keepLines w:val="0"/>
        <w:pageBreakBefore w:val="0"/>
        <w:widowControl w:val="0"/>
        <w:kinsoku/>
        <w:wordWrap/>
        <w:overflowPunct/>
        <w:topLinePunct w:val="0"/>
        <w:autoSpaceDE/>
        <w:autoSpaceDN/>
        <w:bidi w:val="0"/>
        <w:adjustRightInd/>
        <w:snapToGrid/>
        <w:textAlignment w:val="auto"/>
        <w:rPr>
          <w:rFonts w:hint="eastAsia"/>
          <w:sz w:val="28"/>
          <w:lang w:val="en-US" w:eastAsia="zh-CN"/>
        </w:rPr>
      </w:pPr>
      <w:r>
        <w:rPr>
          <w:rFonts w:hint="eastAsia"/>
          <w:sz w:val="28"/>
          <w:lang w:eastAsia="zh-CN"/>
        </w:rPr>
        <w:t>本项目生产、生活用水全部由园区管网集中供给，总新鲜水量为</w:t>
      </w:r>
      <w:r>
        <w:rPr>
          <w:rFonts w:hint="eastAsia"/>
          <w:sz w:val="28"/>
          <w:lang w:val="en-US" w:eastAsia="zh-CN"/>
        </w:rPr>
        <w:t>148533m</w:t>
      </w:r>
      <w:r>
        <w:rPr>
          <w:rFonts w:hint="eastAsia"/>
          <w:sz w:val="28"/>
          <w:vertAlign w:val="superscript"/>
          <w:lang w:val="en-US" w:eastAsia="zh-CN"/>
        </w:rPr>
        <w:t>3</w:t>
      </w:r>
      <w:r>
        <w:rPr>
          <w:rFonts w:hint="eastAsia"/>
          <w:sz w:val="28"/>
          <w:lang w:val="en-US" w:eastAsia="zh-CN"/>
        </w:rPr>
        <w:t>/a，其中一期总新鲜用水量为74589.9m</w:t>
      </w:r>
      <w:r>
        <w:rPr>
          <w:rFonts w:hint="eastAsia"/>
          <w:sz w:val="28"/>
          <w:vertAlign w:val="superscript"/>
          <w:lang w:val="en-US" w:eastAsia="zh-CN"/>
        </w:rPr>
        <w:t>3</w:t>
      </w:r>
      <w:r>
        <w:rPr>
          <w:rFonts w:hint="eastAsia"/>
          <w:sz w:val="28"/>
          <w:lang w:val="en-US" w:eastAsia="zh-CN"/>
        </w:rPr>
        <w:t>/a，二期总新鲜用水量为73943.1m</w:t>
      </w:r>
      <w:r>
        <w:rPr>
          <w:rFonts w:hint="eastAsia"/>
          <w:sz w:val="28"/>
          <w:vertAlign w:val="superscript"/>
          <w:lang w:val="en-US" w:eastAsia="zh-CN"/>
        </w:rPr>
        <w:t>3</w:t>
      </w:r>
      <w:r>
        <w:rPr>
          <w:rFonts w:hint="eastAsia"/>
          <w:sz w:val="28"/>
          <w:lang w:val="en-US" w:eastAsia="zh-CN"/>
        </w:rPr>
        <w:t>/a，本项目运营期产生的废水主要有循环冷却排污水、软水制备系统排水、生活污水、食堂废水。</w:t>
      </w:r>
      <w:r>
        <w:rPr>
          <w:rFonts w:hint="eastAsia" w:ascii="Times New Roman" w:hAnsi="Times New Roman" w:eastAsia="宋体"/>
          <w:sz w:val="28"/>
          <w:lang w:eastAsia="zh-CN"/>
        </w:rPr>
        <w:t>食堂废水经隔油池处理后与生活污水一起进化粪池处理，</w:t>
      </w:r>
      <w:r>
        <w:rPr>
          <w:rFonts w:hint="eastAsia" w:ascii="Times New Roman" w:hAnsi="Times New Roman" w:eastAsia="宋体"/>
          <w:sz w:val="28"/>
          <w:lang w:val="en-US" w:eastAsia="zh-CN"/>
        </w:rPr>
        <w:t>处理后</w:t>
      </w:r>
      <w:r>
        <w:rPr>
          <w:rFonts w:hint="eastAsia" w:ascii="Times New Roman" w:hAnsi="Times New Roman" w:eastAsia="宋体"/>
          <w:sz w:val="28"/>
          <w:lang w:eastAsia="zh-CN"/>
        </w:rPr>
        <w:t>近期接入青湖镇联村生活污水处理厂</w:t>
      </w:r>
      <w:r>
        <w:rPr>
          <w:rFonts w:hint="eastAsia"/>
          <w:sz w:val="28"/>
          <w:lang w:val="en-US" w:eastAsia="zh-CN"/>
        </w:rPr>
        <w:t>。软水制备系统排水可直接作为脱硫系统补充水使用，部分软水制备系统排水、变压器循环冷却用水排水和电煅炉冷却用水排水用作绿化用水，其他作为清下水外排。</w:t>
      </w:r>
    </w:p>
    <w:p>
      <w:pPr>
        <w:pStyle w:val="27"/>
        <w:bidi w:val="0"/>
        <w:rPr>
          <w:rFonts w:hint="eastAsia"/>
          <w:lang w:val="en-US" w:eastAsia="zh-CN"/>
        </w:rPr>
      </w:pPr>
      <w:r>
        <w:rPr>
          <w:rFonts w:hint="eastAsia"/>
          <w:lang w:val="en-US" w:eastAsia="zh-CN"/>
        </w:rPr>
        <w:t>表3.3.2-2一期项目用排水一览表 单位：m</w:t>
      </w:r>
      <w:r>
        <w:rPr>
          <w:rFonts w:hint="eastAsia"/>
          <w:vertAlign w:val="superscript"/>
          <w:lang w:val="en-US" w:eastAsia="zh-CN"/>
        </w:rPr>
        <w:t>3</w:t>
      </w:r>
      <w:r>
        <w:rPr>
          <w:rFonts w:hint="eastAsia"/>
          <w:lang w:val="en-US" w:eastAsia="zh-CN"/>
        </w:rPr>
        <w:t>/a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319"/>
        <w:gridCol w:w="1004"/>
        <w:gridCol w:w="1659"/>
        <w:gridCol w:w="1004"/>
        <w:gridCol w:w="1545"/>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用水单元</w:t>
            </w:r>
          </w:p>
        </w:tc>
        <w:tc>
          <w:tcPr>
            <w:tcW w:w="0" w:type="auto"/>
            <w:gridSpan w:val="3"/>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用水量</w:t>
            </w:r>
          </w:p>
        </w:tc>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损耗</w:t>
            </w:r>
          </w:p>
        </w:tc>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排放</w:t>
            </w:r>
          </w:p>
        </w:tc>
        <w:tc>
          <w:tcPr>
            <w:tcW w:w="0" w:type="auto"/>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ascii="Times New Roman" w:hAnsi="Times New Roman" w:eastAsia="宋体"/>
                <w:sz w:val="21"/>
                <w:lang w:val="en-US" w:eastAsia="zh-CN"/>
              </w:rPr>
            </w:pP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总用水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新鲜水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回用水</w:t>
            </w:r>
          </w:p>
        </w:tc>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ascii="Times New Roman" w:hAnsi="Times New Roman" w:eastAsia="宋体"/>
                <w:sz w:val="21"/>
                <w:lang w:val="en-US" w:eastAsia="zh-CN"/>
              </w:rPr>
            </w:pPr>
          </w:p>
        </w:tc>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ascii="Times New Roman" w:hAnsi="Times New Roman" w:eastAsia="宋体"/>
                <w:sz w:val="21"/>
                <w:lang w:val="en-US" w:eastAsia="zh-CN"/>
              </w:rPr>
            </w:pPr>
          </w:p>
        </w:tc>
        <w:tc>
          <w:tcPr>
            <w:tcW w:w="0" w:type="auto"/>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ascii="Times New Roman" w:hAnsi="Times New Roman" w:eastAsia="宋体"/>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生活用水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1069.2</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1069.2</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106.92</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962.28</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经化粪池预处理后排入清湖村联村生活污水处理厂进行处理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ascii="Times New Roman" w:hAnsi="Times New Roman" w:eastAsia="宋体"/>
                <w:sz w:val="21"/>
                <w:lang w:val="en-US" w:eastAsia="zh-CN"/>
              </w:rPr>
            </w:pPr>
            <w:r>
              <w:rPr>
                <w:rFonts w:hint="eastAsia" w:ascii="Times New Roman" w:hAnsi="Times New Roman"/>
                <w:sz w:val="21"/>
                <w:lang w:val="en-US" w:eastAsia="zh-CN"/>
              </w:rPr>
              <w:t>食堂用水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178.2</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178.2</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35.64</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sz w:val="21"/>
                <w:lang w:val="en-US" w:eastAsia="zh-CN"/>
              </w:rPr>
              <w:t>142.56</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ascii="Times New Roman" w:hAnsi="Times New Roman" w:eastAsia="宋体"/>
                <w:sz w:val="21"/>
                <w:lang w:val="en-US" w:eastAsia="zh-CN"/>
              </w:rPr>
            </w:pPr>
            <w:r>
              <w:rPr>
                <w:rFonts w:hint="eastAsia" w:ascii="Times New Roman" w:hAnsi="Times New Roman"/>
                <w:sz w:val="21"/>
                <w:lang w:val="en-US" w:eastAsia="zh-CN"/>
              </w:rPr>
              <w:t>经隔油池处理后与生活污水一起进入化粪池处理，后</w:t>
            </w:r>
            <w:r>
              <w:rPr>
                <w:rFonts w:hint="eastAsia" w:ascii="Times New Roman" w:hAnsi="Times New Roman" w:eastAsia="宋体"/>
                <w:sz w:val="21"/>
                <w:lang w:val="en-US" w:eastAsia="zh-CN"/>
              </w:rPr>
              <w:t>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软水制备系统</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2062.5</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2062.5</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2062.5（软水1650、清下水412.5）</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清下水中137.73作为脱硫系统补充水，清下水中274.77作为绿化系统用水</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软水1650回用于变压器循环冷却用水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变压器循环冷却用水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1900800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1900800，其中1650软水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1320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330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作为绿化系统用水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电煅炉冷却用水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sz w:val="21"/>
                <w:lang w:val="en-US" w:eastAsia="zh-CN"/>
              </w:rPr>
              <w:t>11880000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sz w:val="21"/>
                <w:lang w:val="en-US" w:eastAsia="zh-CN"/>
              </w:rPr>
              <w:t>71280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sz w:val="21"/>
                <w:lang w:val="en-US" w:eastAsia="zh-CN"/>
              </w:rPr>
              <w:t>118080720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sz w:val="21"/>
                <w:lang w:val="en-US" w:eastAsia="zh-CN"/>
              </w:rPr>
              <w:t>59400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sz w:val="21"/>
                <w:lang w:val="en-US" w:eastAsia="zh-CN"/>
              </w:rPr>
              <w:t>11880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其中</w:t>
            </w:r>
            <w:r>
              <w:rPr>
                <w:rFonts w:hint="eastAsia"/>
                <w:sz w:val="21"/>
                <w:lang w:val="en-US" w:eastAsia="zh-CN"/>
              </w:rPr>
              <w:t>2595.19</w:t>
            </w:r>
            <w:r>
              <w:rPr>
                <w:rFonts w:hint="eastAsia" w:ascii="Times New Roman" w:hAnsi="Times New Roman" w:eastAsia="宋体"/>
                <w:sz w:val="21"/>
                <w:lang w:val="en-US" w:eastAsia="zh-CN"/>
              </w:rPr>
              <w:t>作为绿化系统用水，</w:t>
            </w:r>
            <w:r>
              <w:rPr>
                <w:rFonts w:hint="eastAsia"/>
                <w:sz w:val="21"/>
                <w:lang w:val="en-US" w:eastAsia="zh-CN"/>
              </w:rPr>
              <w:t>9284.81</w:t>
            </w:r>
            <w:r>
              <w:rPr>
                <w:rFonts w:hint="eastAsia" w:ascii="Times New Roman" w:hAnsi="Times New Roman" w:eastAsia="宋体"/>
                <w:sz w:val="21"/>
                <w:lang w:val="en-US" w:eastAsia="zh-CN"/>
              </w:rPr>
              <w:t>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脱硫系统补充水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sz w:val="21"/>
                <w:lang w:val="en-US" w:eastAsia="zh-CN"/>
              </w:rPr>
              <w:t>152.33</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 xml:space="preserve">0.00 </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sz w:val="21"/>
                <w:lang w:val="en-US" w:eastAsia="zh-CN"/>
              </w:rPr>
              <w:t>152.33</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sz w:val="21"/>
                <w:lang w:val="en-US" w:eastAsia="zh-CN"/>
              </w:rPr>
              <w:t>152.33</w:t>
            </w:r>
            <w:r>
              <w:rPr>
                <w:rFonts w:hint="eastAsia" w:ascii="Times New Roman" w:hAnsi="Times New Roman" w:eastAsia="宋体"/>
                <w:sz w:val="21"/>
                <w:lang w:val="en-US" w:eastAsia="zh-CN"/>
              </w:rPr>
              <w:t xml:space="preserve"> </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 xml:space="preserve">其中进入脱硫石膏 </w:t>
            </w:r>
            <w:r>
              <w:rPr>
                <w:rFonts w:hint="eastAsia"/>
                <w:sz w:val="21"/>
                <w:lang w:val="en-US" w:eastAsia="zh-CN"/>
              </w:rPr>
              <w:t>133.07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绿化系统用水</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sz w:val="21"/>
                <w:lang w:val="en-US" w:eastAsia="zh-CN"/>
              </w:rPr>
            </w:pPr>
            <w:r>
              <w:rPr>
                <w:rFonts w:hint="eastAsia"/>
                <w:sz w:val="21"/>
                <w:lang w:val="en-US" w:eastAsia="zh-CN"/>
              </w:rPr>
              <w:t>3267.31</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sz w:val="21"/>
                <w:lang w:val="en-US" w:eastAsia="zh-CN"/>
              </w:rPr>
            </w:pPr>
            <w:r>
              <w:rPr>
                <w:rFonts w:hint="eastAsia"/>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sz w:val="21"/>
                <w:lang w:val="en-US" w:eastAsia="zh-CN"/>
              </w:rPr>
            </w:pPr>
            <w:r>
              <w:rPr>
                <w:rFonts w:hint="eastAsia"/>
                <w:sz w:val="21"/>
                <w:lang w:val="en-US" w:eastAsia="zh-CN"/>
              </w:rPr>
              <w:t>3267.31</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sz w:val="21"/>
                <w:lang w:val="en-US" w:eastAsia="zh-CN"/>
              </w:rPr>
            </w:pPr>
            <w:r>
              <w:rPr>
                <w:rFonts w:hint="eastAsia"/>
                <w:sz w:val="21"/>
                <w:lang w:val="en-US" w:eastAsia="zh-CN"/>
              </w:rPr>
              <w:t>3267.31</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sz w:val="21"/>
                <w:lang w:val="en-US" w:eastAsia="zh-CN"/>
              </w:rPr>
            </w:pPr>
            <w:r>
              <w:rPr>
                <w:rFonts w:hint="eastAsia"/>
                <w:sz w:val="21"/>
                <w:lang w:val="en-US" w:eastAsia="zh-CN"/>
              </w:rPr>
              <w:t>0</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合计</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13787529.54 </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74589.90 </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119984939.64 </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64129.87 </w:t>
            </w:r>
          </w:p>
        </w:tc>
        <w:tc>
          <w:tcPr>
            <w:tcW w:w="0" w:type="auto"/>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15377.34 </w:t>
            </w:r>
          </w:p>
        </w:tc>
        <w:tc>
          <w:tcPr>
            <w:tcW w:w="0" w:type="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w:t>
            </w:r>
          </w:p>
        </w:tc>
      </w:tr>
    </w:tbl>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sz w:val="28"/>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p>
    <w:p>
      <w:pPr>
        <w:ind w:left="0" w:leftChars="0" w:firstLine="0" w:firstLineChars="0"/>
        <w:rPr>
          <w:rFonts w:hint="default"/>
          <w:sz w:val="28"/>
          <w:lang w:val="en-US" w:eastAsia="zh-CN"/>
        </w:rPr>
      </w:pPr>
      <w:r>
        <w:rPr>
          <w:rFonts w:hint="default"/>
          <w:sz w:val="28"/>
          <w:lang w:val="en-US"/>
        </w:rPr>
        <mc:AlternateContent>
          <mc:Choice Requires="wpc">
            <w:drawing>
              <wp:inline distT="0" distB="0" distL="114300" distR="114300">
                <wp:extent cx="6112510" cy="6506210"/>
                <wp:effectExtent l="0" t="0" r="0" b="0"/>
                <wp:docPr id="553" name="画布 553"/>
                <wp:cNvGraphicFramePr/>
                <a:graphic xmlns:a="http://schemas.openxmlformats.org/drawingml/2006/main">
                  <a:graphicData uri="http://schemas.microsoft.com/office/word/2010/wordprocessingCanvas">
                    <wpc:wpc>
                      <wpc:bg/>
                      <wpc:whole/>
                      <wps:wsp>
                        <wps:cNvPr id="674" name="文本框 554"/>
                        <wps:cNvSpPr txBox="1"/>
                        <wps:spPr>
                          <a:xfrm>
                            <a:off x="367665" y="8890"/>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5" name="直接连接符 555"/>
                        <wps:cNvCnPr>
                          <a:stCxn id="554" idx="3"/>
                        </wps:cNvCnPr>
                        <wps:spPr>
                          <a:xfrm>
                            <a:off x="1383665" y="140335"/>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76" name="文本框 556"/>
                        <wps:cNvSpPr txBox="1"/>
                        <wps:spPr>
                          <a:xfrm>
                            <a:off x="1442085" y="952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101.18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7" name="文本框 557"/>
                        <wps:cNvSpPr txBox="1"/>
                        <wps:spPr>
                          <a:xfrm>
                            <a:off x="2275205" y="20955"/>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8" name="直接连接符 558"/>
                        <wps:cNvCnPr>
                          <a:stCxn id="557" idx="3"/>
                        </wps:cNvCnPr>
                        <wps:spPr>
                          <a:xfrm flipV="1">
                            <a:off x="2957830" y="142875"/>
                            <a:ext cx="1581785" cy="95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79" name="文本框 559"/>
                        <wps:cNvSpPr txBox="1"/>
                        <wps:spPr>
                          <a:xfrm>
                            <a:off x="4545330" y="4445"/>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0" name="文本框 560"/>
                        <wps:cNvSpPr txBox="1"/>
                        <wps:spPr>
                          <a:xfrm>
                            <a:off x="608330" y="600710"/>
                            <a:ext cx="83439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81" name="直接连接符 561"/>
                        <wps:cNvCnPr/>
                        <wps:spPr>
                          <a:xfrm>
                            <a:off x="1401445" y="731520"/>
                            <a:ext cx="129667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0" name="直接连接符 562"/>
                        <wps:cNvCnPr/>
                        <wps:spPr>
                          <a:xfrm flipV="1">
                            <a:off x="2673985" y="295910"/>
                            <a:ext cx="0" cy="4362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1" name="文本框 563"/>
                        <wps:cNvSpPr txBox="1"/>
                        <wps:spPr>
                          <a:xfrm>
                            <a:off x="1885950" y="5289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5.77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2" name="文本框 564"/>
                        <wps:cNvSpPr txBox="1"/>
                        <wps:spPr>
                          <a:xfrm>
                            <a:off x="3799205" y="92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81.95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3" name="直接连接符 565"/>
                        <wps:cNvCnPr/>
                        <wps:spPr>
                          <a:xfrm flipH="1">
                            <a:off x="3717290" y="152400"/>
                            <a:ext cx="4445" cy="3956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4" name="文本框 566"/>
                        <wps:cNvSpPr txBox="1"/>
                        <wps:spPr>
                          <a:xfrm>
                            <a:off x="3378200" y="528320"/>
                            <a:ext cx="95948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5" name="文本框 567"/>
                        <wps:cNvSpPr txBox="1"/>
                        <wps:spPr>
                          <a:xfrm>
                            <a:off x="3664585" y="2590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6" name="文本框 568"/>
                        <wps:cNvSpPr txBox="1"/>
                        <wps:spPr>
                          <a:xfrm>
                            <a:off x="3084195" y="92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7" name="文本框 569"/>
                        <wps:cNvSpPr txBox="1"/>
                        <wps:spPr>
                          <a:xfrm>
                            <a:off x="1941830" y="1425575"/>
                            <a:ext cx="833120"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8" name="直接连接符 570"/>
                        <wps:cNvCnPr/>
                        <wps:spPr>
                          <a:xfrm>
                            <a:off x="785495" y="1553845"/>
                            <a:ext cx="116649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39" name="文本框 571"/>
                        <wps:cNvSpPr txBox="1"/>
                        <wps:spPr>
                          <a:xfrm>
                            <a:off x="1290955" y="133921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0" name="直接连接符 572"/>
                        <wps:cNvCnPr/>
                        <wps:spPr>
                          <a:xfrm>
                            <a:off x="2783205" y="1553210"/>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41" name="直接连接符 573"/>
                        <wps:cNvCnPr/>
                        <wps:spPr>
                          <a:xfrm flipV="1">
                            <a:off x="2214245" y="1327150"/>
                            <a:ext cx="467995" cy="1028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42" name="文本框 574"/>
                        <wps:cNvSpPr txBox="1"/>
                        <wps:spPr>
                          <a:xfrm>
                            <a:off x="2616200" y="120396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损耗106.92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3" name="文本框 575"/>
                        <wps:cNvSpPr txBox="1"/>
                        <wps:spPr>
                          <a:xfrm>
                            <a:off x="2886710" y="1362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962.28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4" name="文本框 576"/>
                        <wps:cNvSpPr txBox="1"/>
                        <wps:spPr>
                          <a:xfrm>
                            <a:off x="3672205" y="1449705"/>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5" name="文本框 577"/>
                        <wps:cNvSpPr txBox="1"/>
                        <wps:spPr>
                          <a:xfrm>
                            <a:off x="4338955" y="1386205"/>
                            <a:ext cx="73025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1104.84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6" name="直接连接符 578"/>
                        <wps:cNvCnPr/>
                        <wps:spPr>
                          <a:xfrm>
                            <a:off x="4354830" y="1576705"/>
                            <a:ext cx="692785"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47" name="文本框 579"/>
                        <wps:cNvSpPr txBox="1"/>
                        <wps:spPr>
                          <a:xfrm>
                            <a:off x="5029835" y="1386205"/>
                            <a:ext cx="1016000"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8" name="直接连接符 580"/>
                        <wps:cNvCnPr/>
                        <wps:spPr>
                          <a:xfrm flipV="1">
                            <a:off x="777875" y="2578100"/>
                            <a:ext cx="1214120"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3" name="文本框 581"/>
                        <wps:cNvSpPr txBox="1"/>
                        <wps:spPr>
                          <a:xfrm>
                            <a:off x="1154430" y="2379980"/>
                            <a:ext cx="56388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2062.5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4" name="文本框 582"/>
                        <wps:cNvSpPr txBox="1"/>
                        <wps:spPr>
                          <a:xfrm>
                            <a:off x="1965960" y="2425700"/>
                            <a:ext cx="1087120" cy="2489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软水制备系统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5" name="文本框 583"/>
                        <wps:cNvSpPr txBox="1"/>
                        <wps:spPr>
                          <a:xfrm>
                            <a:off x="1849120" y="3023235"/>
                            <a:ext cx="1443355" cy="2679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6" name="直接连接符 584"/>
                        <wps:cNvCnPr/>
                        <wps:spPr>
                          <a:xfrm>
                            <a:off x="2495550" y="2684145"/>
                            <a:ext cx="0" cy="3651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7" name="文本框 585"/>
                        <wps:cNvSpPr txBox="1"/>
                        <wps:spPr>
                          <a:xfrm>
                            <a:off x="2541905" y="27133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8" name="直接连接符 586"/>
                        <wps:cNvCnPr/>
                        <wps:spPr>
                          <a:xfrm>
                            <a:off x="2470150" y="3300730"/>
                            <a:ext cx="6350" cy="2438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89" name="直接连接符 587"/>
                        <wps:cNvCnPr/>
                        <wps:spPr>
                          <a:xfrm flipH="1">
                            <a:off x="1315720" y="3545205"/>
                            <a:ext cx="1162685" cy="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90" name="直接连接符 588"/>
                        <wps:cNvCnPr/>
                        <wps:spPr>
                          <a:xfrm flipV="1">
                            <a:off x="1311275" y="3251200"/>
                            <a:ext cx="0" cy="30162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791" name="直接连接符 589"/>
                        <wps:cNvCnPr/>
                        <wps:spPr>
                          <a:xfrm>
                            <a:off x="1314450" y="3256280"/>
                            <a:ext cx="5334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2" name="文本框 590"/>
                        <wps:cNvSpPr txBox="1"/>
                        <wps:spPr>
                          <a:xfrm>
                            <a:off x="1575435" y="3334385"/>
                            <a:ext cx="69723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1899150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3" name="直接连接符 591"/>
                        <wps:cNvCnPr>
                          <a:stCxn id="582" idx="3"/>
                        </wps:cNvCnPr>
                        <wps:spPr>
                          <a:xfrm>
                            <a:off x="3053080" y="2550160"/>
                            <a:ext cx="199453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4" name="直接连接符 592"/>
                        <wps:cNvCnPr/>
                        <wps:spPr>
                          <a:xfrm>
                            <a:off x="5019675" y="2560955"/>
                            <a:ext cx="4445" cy="20586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5" name="文本框 593"/>
                        <wps:cNvSpPr txBox="1"/>
                        <wps:spPr>
                          <a:xfrm>
                            <a:off x="1965960" y="3964940"/>
                            <a:ext cx="1372235"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6" name="直接连接符 594"/>
                        <wps:cNvCnPr/>
                        <wps:spPr>
                          <a:xfrm>
                            <a:off x="777875" y="4093845"/>
                            <a:ext cx="119634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7" name="文本框 595"/>
                        <wps:cNvSpPr txBox="1"/>
                        <wps:spPr>
                          <a:xfrm>
                            <a:off x="1219835" y="388683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71280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8" name="直接连接符 596"/>
                        <wps:cNvCnPr/>
                        <wps:spPr>
                          <a:xfrm flipV="1">
                            <a:off x="1491615" y="4087495"/>
                            <a:ext cx="0" cy="45275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99" name="直接连接符 597"/>
                        <wps:cNvCnPr/>
                        <wps:spPr>
                          <a:xfrm flipH="1">
                            <a:off x="1483995" y="4523740"/>
                            <a:ext cx="1158240" cy="63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00" name="直接连接符 598"/>
                        <wps:cNvCnPr>
                          <a:stCxn id="593" idx="2"/>
                        </wps:cNvCnPr>
                        <wps:spPr>
                          <a:xfrm flipH="1">
                            <a:off x="2650490" y="4195445"/>
                            <a:ext cx="1905" cy="3606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1" name="文本框 599"/>
                        <wps:cNvSpPr txBox="1"/>
                        <wps:spPr>
                          <a:xfrm>
                            <a:off x="1584960" y="4331335"/>
                            <a:ext cx="9436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11808720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2" name="直接连接符 600"/>
                        <wps:cNvCnPr>
                          <a:stCxn id="593" idx="0"/>
                        </wps:cNvCnPr>
                        <wps:spPr>
                          <a:xfrm flipV="1">
                            <a:off x="2652395" y="3836035"/>
                            <a:ext cx="546100" cy="128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3" name="文本框 601"/>
                        <wps:cNvSpPr txBox="1"/>
                        <wps:spPr>
                          <a:xfrm>
                            <a:off x="3180715" y="369570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损耗59400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4" name="直接连接符 602"/>
                        <wps:cNvCnPr>
                          <a:stCxn id="583" idx="0"/>
                        </wps:cNvCnPr>
                        <wps:spPr>
                          <a:xfrm flipV="1">
                            <a:off x="2571115" y="2937510"/>
                            <a:ext cx="519430" cy="857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5" name="文本框 603"/>
                        <wps:cNvSpPr txBox="1"/>
                        <wps:spPr>
                          <a:xfrm>
                            <a:off x="3045460" y="2679700"/>
                            <a:ext cx="100711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损耗1320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6" name="文本框 604"/>
                        <wps:cNvSpPr txBox="1"/>
                        <wps:spPr>
                          <a:xfrm>
                            <a:off x="1779270" y="2005330"/>
                            <a:ext cx="1443355" cy="2870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7" name="直接连接符 658"/>
                        <wps:cNvCnPr/>
                        <wps:spPr>
                          <a:xfrm flipH="1" flipV="1">
                            <a:off x="4093845" y="2162810"/>
                            <a:ext cx="1905" cy="3886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8" name="直接连接符 659"/>
                        <wps:cNvCnPr/>
                        <wps:spPr>
                          <a:xfrm flipH="1">
                            <a:off x="3215640" y="2165350"/>
                            <a:ext cx="88519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09" name="文本框 660"/>
                        <wps:cNvSpPr txBox="1"/>
                        <wps:spPr>
                          <a:xfrm>
                            <a:off x="3387725" y="21272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70.38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0" name="文本框 661"/>
                        <wps:cNvSpPr txBox="1"/>
                        <wps:spPr>
                          <a:xfrm>
                            <a:off x="3103880" y="23431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1" name="文本框 662"/>
                        <wps:cNvSpPr txBox="1"/>
                        <wps:spPr>
                          <a:xfrm>
                            <a:off x="4210685" y="231140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2" name="直接连接符 663"/>
                        <wps:cNvCnPr>
                          <a:stCxn id="583" idx="3"/>
                        </wps:cNvCnPr>
                        <wps:spPr>
                          <a:xfrm flipV="1">
                            <a:off x="3292475" y="3154680"/>
                            <a:ext cx="170307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13" name="文本框 664"/>
                        <wps:cNvSpPr txBox="1"/>
                        <wps:spPr>
                          <a:xfrm>
                            <a:off x="4266565" y="295910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4" name="直接连接符 665"/>
                        <wps:cNvCnPr>
                          <a:stCxn id="593" idx="3"/>
                        </wps:cNvCnPr>
                        <wps:spPr>
                          <a:xfrm>
                            <a:off x="3338195" y="4080510"/>
                            <a:ext cx="1685925"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15" name="文本框 666"/>
                        <wps:cNvSpPr txBox="1"/>
                        <wps:spPr>
                          <a:xfrm>
                            <a:off x="3410585" y="3895090"/>
                            <a:ext cx="74549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6" name="直接连接符 667"/>
                        <wps:cNvCnPr/>
                        <wps:spPr>
                          <a:xfrm>
                            <a:off x="4262120" y="4075430"/>
                            <a:ext cx="0" cy="12141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17" name="文本框 668"/>
                        <wps:cNvSpPr txBox="1"/>
                        <wps:spPr>
                          <a:xfrm>
                            <a:off x="4290695" y="3854450"/>
                            <a:ext cx="72136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2595.19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8" name="文本框 669"/>
                        <wps:cNvSpPr txBox="1"/>
                        <wps:spPr>
                          <a:xfrm>
                            <a:off x="3633470" y="5259070"/>
                            <a:ext cx="130048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清下水9284.81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9" name="文本框 670"/>
                        <wps:cNvSpPr txBox="1"/>
                        <wps:spPr>
                          <a:xfrm>
                            <a:off x="5045710" y="4363085"/>
                            <a:ext cx="737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3267.31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0" name="文本框 671"/>
                        <wps:cNvSpPr txBox="1"/>
                        <wps:spPr>
                          <a:xfrm>
                            <a:off x="4601210" y="4639945"/>
                            <a:ext cx="975360" cy="2381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1" name="直接连接符 672"/>
                        <wps:cNvCnPr>
                          <a:stCxn id="671" idx="2"/>
                        </wps:cNvCnPr>
                        <wps:spPr>
                          <a:xfrm flipH="1">
                            <a:off x="5087620" y="4878070"/>
                            <a:ext cx="1270" cy="3225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2" name="文本框 673"/>
                        <wps:cNvSpPr txBox="1"/>
                        <wps:spPr>
                          <a:xfrm>
                            <a:off x="4762500" y="515747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损耗3267.31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3" name="直接连接符 674"/>
                        <wps:cNvCnPr/>
                        <wps:spPr>
                          <a:xfrm flipH="1">
                            <a:off x="785495" y="1099185"/>
                            <a:ext cx="2540" cy="298704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24" name="直接连接符 675"/>
                        <wps:cNvCnPr/>
                        <wps:spPr>
                          <a:xfrm flipV="1">
                            <a:off x="39370" y="2839720"/>
                            <a:ext cx="730250" cy="1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5" name="文本框 676"/>
                        <wps:cNvSpPr txBox="1"/>
                        <wps:spPr>
                          <a:xfrm>
                            <a:off x="0" y="262445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74589.9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6" name="文本框 677"/>
                        <wps:cNvSpPr txBox="1"/>
                        <wps:spPr>
                          <a:xfrm>
                            <a:off x="0" y="283908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7" name="直接连接符 678"/>
                        <wps:cNvCnPr/>
                        <wps:spPr>
                          <a:xfrm flipV="1">
                            <a:off x="2446655" y="1884045"/>
                            <a:ext cx="286385" cy="11366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28" name="文本框 679"/>
                        <wps:cNvSpPr txBox="1"/>
                        <wps:spPr>
                          <a:xfrm>
                            <a:off x="2676525" y="1730375"/>
                            <a:ext cx="144780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废气带走16.60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9" name="直接连接符 680"/>
                        <wps:cNvCnPr/>
                        <wps:spPr>
                          <a:xfrm>
                            <a:off x="3236595" y="2061210"/>
                            <a:ext cx="8636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0" name="文本框 681"/>
                        <wps:cNvSpPr txBox="1"/>
                        <wps:spPr>
                          <a:xfrm>
                            <a:off x="4084955" y="1900555"/>
                            <a:ext cx="163512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进入脱硫石膏133.07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1" name="文本框 7"/>
                        <wps:cNvSpPr txBox="1"/>
                        <wps:spPr>
                          <a:xfrm>
                            <a:off x="1941830" y="5742305"/>
                            <a:ext cx="2339340" cy="32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图3.3.2-2 一期项目水平衡图 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2" name="直接连接符 625"/>
                        <wps:cNvCnPr/>
                        <wps:spPr>
                          <a:xfrm>
                            <a:off x="796290" y="1090930"/>
                            <a:ext cx="112712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3" name="文本框 626"/>
                        <wps:cNvSpPr txBox="1"/>
                        <wps:spPr>
                          <a:xfrm>
                            <a:off x="1910080" y="966470"/>
                            <a:ext cx="833120" cy="24574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食堂废水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4" name="文本框 627"/>
                        <wps:cNvSpPr txBox="1"/>
                        <wps:spPr>
                          <a:xfrm>
                            <a:off x="1116330" y="88646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178.2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5" name="直接连接符 628"/>
                        <wps:cNvCnPr>
                          <a:stCxn id="626" idx="3"/>
                        </wps:cNvCnPr>
                        <wps:spPr>
                          <a:xfrm>
                            <a:off x="2743200" y="1089660"/>
                            <a:ext cx="97409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6" name="文本框 629"/>
                        <wps:cNvSpPr txBox="1"/>
                        <wps:spPr>
                          <a:xfrm>
                            <a:off x="3711575" y="957580"/>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7" name="直接连接符 630"/>
                        <wps:cNvCnPr/>
                        <wps:spPr>
                          <a:xfrm>
                            <a:off x="4082415" y="1229360"/>
                            <a:ext cx="0" cy="2381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8" name="直接连接符 631"/>
                        <wps:cNvCnPr>
                          <a:stCxn id="626" idx="0"/>
                        </wps:cNvCnPr>
                        <wps:spPr>
                          <a:xfrm flipV="1">
                            <a:off x="2326640" y="871855"/>
                            <a:ext cx="493395" cy="9461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39" name="文本框 632"/>
                        <wps:cNvSpPr txBox="1"/>
                        <wps:spPr>
                          <a:xfrm>
                            <a:off x="2736215" y="73533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损耗35.64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0" name="文本框 633"/>
                        <wps:cNvSpPr txBox="1"/>
                        <wps:spPr>
                          <a:xfrm>
                            <a:off x="2862580" y="88582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1" name="文本框 634"/>
                        <wps:cNvSpPr txBox="1"/>
                        <wps:spPr>
                          <a:xfrm>
                            <a:off x="4021455" y="12115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2" name="直接连接符 121"/>
                        <wps:cNvCnPr>
                          <a:endCxn id="296" idx="1"/>
                        </wps:cNvCnPr>
                        <wps:spPr>
                          <a:xfrm>
                            <a:off x="1389380" y="2148205"/>
                            <a:ext cx="389890" cy="63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43" name="文本框 581"/>
                        <wps:cNvSpPr txBox="1"/>
                        <wps:spPr>
                          <a:xfrm>
                            <a:off x="788035" y="1929130"/>
                            <a:ext cx="744855"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废气带入81.95</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512.3pt;width:481.3pt;" coordsize="6112510,6506210" editas="canvas" o:gfxdata="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">
                <o:lock v:ext="edit" aspectratio="f"/>
                <v:shape id="_x0000_s1026" o:spid="_x0000_s1026" style="position:absolute;left:0;top:0;height:6506210;width:6112510;" filled="f" stroked="f" coordsize="21600,21600" o:gfxdata="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">
                  <v:fill on="f" focussize="0,0"/>
                  <v:stroke on="f"/>
                  <v:imagedata o:title=""/>
                  <o:lock v:ext="edit" aspectratio="f"/>
                </v:shape>
                <v:shape id="文本框 554" o:spid="_x0000_s1026" o:spt="202" type="#_x0000_t202" style="position:absolute;left:367665;top:8890;height:262255;width:101600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Ow5UjisCAAAk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v:textbox>
                </v:shape>
                <v:line id="直接连接符 555" o:spid="_x0000_s1026" o:spt="20" style="position:absolute;left:1383665;top:140335;height:2540;width:89408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VQ381AAAAAYBAAAPAAAAAAAAAAEAIAAAACIAAABkcnMvZG93&#10;bnJldi54bWxQSwECFAAUAAAACACHTuJAgdar2wQCAADIAwAADgAAAAAAAAABACAAAAAjAQAAZHJz&#10;L2Uyb0RvYy54bWxQSwUGAAAAAAYABgBZAQAAmQUAAAAA&#10;">
                  <v:fill on="f" focussize="0,0"/>
                  <v:stroke weight="0.5pt" color="#000000 [3213]" miterlimit="8" joinstyle="miter" endarrow="block" endarrowwidth="narrow" endarrowlength="long"/>
                  <v:imagedata o:title=""/>
                  <o:lock v:ext="edit" aspectratio="f"/>
                </v:line>
                <v:shape id="文本框 556" o:spid="_x0000_s1026" o:spt="202" type="#_x0000_t202" style="position:absolute;left:1442085;top:9525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oRg01wAAAAYBAAAPAAAAAAAAAAEAIAAAACIAAABkcnMvZG93bnJldi54bWxQSwECFAAUAAAA&#10;CACHTuJASo211SgCAAAl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101.18</w:t>
                        </w:r>
                      </w:p>
                    </w:txbxContent>
                  </v:textbox>
                </v:shape>
                <v:shape id="文本框 557" o:spid="_x0000_s1026" o:spt="202" type="#_x0000_t202" style="position:absolute;left:2275205;top:20955;height:262255;width:68262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SGEO1wAAAAYBAAAPAAAAAAAAAAEAIAAAACIAAABk&#10;cnMvZG93bnJldi54bWxQSwECFAAUAAAACACHTuJAAVyqwk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v:textbox>
                </v:shape>
                <v:line id="直接连接符 558" o:spid="_x0000_s1026" o:spt="20" style="position:absolute;left:2957830;top:142875;flip:y;height:9525;width:158178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bOOs1gAAAAYBAAAPAAAAAAAAAAEAIAAA&#10;ACIAAABkcnMvZG93bnJldi54bWxQSwECFAAUAAAACACHTuJAS/NfJw4CAADT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559" o:spid="_x0000_s1026" o:spt="202" type="#_x0000_t202" style="position:absolute;left:4545330;top:4445;height:262255;width:101600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hGDTXAAAABgEAAA8AAAAAAAAAAQAgAAAAIgAAAGRycy9kb3ducmV2LnhtbFBLAQIUABQA&#10;AAAIAIdO4kAqNkAtKgIAACU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v:textbox>
                </v:shape>
                <v:shape id="文本框 560" o:spid="_x0000_s1026" o:spt="202" type="#_x0000_t202" style="position:absolute;left:608330;top:600710;height:262255;width:83439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oRg01wAAAAYBAAAPAAAAAAAAAAEAIAAAACIAAABkcnMvZG93bnJldi54bWxQSwECFAAUAAAA&#10;CACHTuJAmhdOPigCAAAl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v:textbox>
                </v:shape>
                <v:line id="直接连接符 561" o:spid="_x0000_s1026" o:spt="20" style="position:absolute;left:1401445;top:731520;height:0;width:129667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VQ381AAAAAYBAAAPAAAAAAAAAAEAIAAAACIAAABkcnMvZG93bnJldi54bWxQSwECFAAUAAAA&#10;CACHTuJAvbsPkPIBAACeAwAADgAAAAAAAAABACAAAAAjAQAAZHJzL2Uyb0RvYy54bWxQSwUGAAAA&#10;AAYABgBZAQAAhwUAAAAA&#10;">
                  <v:fill on="f" focussize="0,0"/>
                  <v:stroke weight="0.5pt" color="#000000 [3213]" miterlimit="8" joinstyle="miter" endarrow="block" endarrowwidth="narrow" endarrowlength="long"/>
                  <v:imagedata o:title=""/>
                  <o:lock v:ext="edit" aspectratio="f"/>
                </v:line>
                <v:line id="直接连接符 562" o:spid="_x0000_s1026" o:spt="20" style="position:absolute;left:2673985;top:295910;flip:y;height:436245;width: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s46zWAAAABgEAAA8AAAAAAAAAAQAgAAAAIgAAAGRycy9kb3ducmV2LnhtbFBL&#10;AQIUABQAAAAIAIdO4kB0fbWU+AEAAKcDAAAOAAAAAAAAAAEAIAAAACUBAABkcnMvZTJvRG9jLnht&#10;bFBLBQYAAAAABgAGAFkBAACPBQAAAAA=&#10;">
                  <v:fill on="f" focussize="0,0"/>
                  <v:stroke weight="0.5pt" color="#000000 [3213]" miterlimit="8" joinstyle="miter" endarrow="block" endarrowwidth="narrow" endarrowlength="long"/>
                  <v:imagedata o:title=""/>
                  <o:lock v:ext="edit" aspectratio="f"/>
                </v:line>
                <v:shape id="文本框 563" o:spid="_x0000_s1026" o:spt="202" type="#_x0000_t202" style="position:absolute;left:1885950;top:52895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hGDTXAAAABgEAAA8AAAAAAAAAAQAgAAAAIgAAAGRycy9kb3ducmV2LnhtbFBLAQIUABQA&#10;AAAIAIdO4kDoLOxtKgIAACY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5.77</w:t>
                        </w:r>
                      </w:p>
                    </w:txbxContent>
                  </v:textbox>
                </v:shape>
                <v:shape id="文本框 564" o:spid="_x0000_s1026" o:spt="202" type="#_x0000_t202" style="position:absolute;left:3799205;top:9207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wRrItysCAAAl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81.95</w:t>
                        </w:r>
                      </w:p>
                    </w:txbxContent>
                  </v:textbox>
                </v:shape>
                <v:line id="直接连接符 565" o:spid="_x0000_s1026" o:spt="20" style="position:absolute;left:3717290;top:152400;flip:x;height:395605;width:444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zjrNYAAAAGAQAADwAAAAAAAAABACAAAAAiAAAAZHJzL2Rvd25yZXYu&#10;eG1sUEsBAhQAFAAAAAgAh07iQO3spEX9AQAAqgMAAA4AAAAAAAAAAQAgAAAAJQEAAGRycy9lMm9E&#10;b2MueG1sUEsFBgAAAAAGAAYAWQEAAJQFAAAAAA==&#10;">
                  <v:fill on="f" focussize="0,0"/>
                  <v:stroke weight="0.5pt" color="#000000 [3213]" miterlimit="8" joinstyle="miter" endarrow="block" endarrowwidth="narrow" endarrowlength="long"/>
                  <v:imagedata o:title=""/>
                  <o:lock v:ext="edit" aspectratio="f"/>
                </v:line>
                <v:shape id="文本框 566" o:spid="_x0000_s1026" o:spt="202" type="#_x0000_t202" style="position:absolute;left:3378200;top:528320;height:262255;width:959485;"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M1vqQ0sAgAAJg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v:textbox>
                </v:shape>
                <v:shape id="文本框 567" o:spid="_x0000_s1026" o:spt="202" type="#_x0000_t202" style="position:absolute;left:3664585;top:25908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PnlHC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w:t>
                        </w:r>
                      </w:p>
                    </w:txbxContent>
                  </v:textbox>
                </v:shape>
                <v:shape id="文本框 568" o:spid="_x0000_s1026" o:spt="202" type="#_x0000_t202" style="position:absolute;left:3084195;top:9207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DHNK8ysCAAAl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106.95</w:t>
                        </w:r>
                      </w:p>
                    </w:txbxContent>
                  </v:textbox>
                </v:shape>
                <v:shape id="文本框 569" o:spid="_x0000_s1026" o:spt="202" type="#_x0000_t202" style="position:absolute;left:1941830;top:1425575;height:230505;width:833120;"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9IYQ7XAAAABgEAAA8AAAAAAAAAAQAgAAAAIgAA&#10;AGRycy9kb3ducmV2LnhtbFBLAQIUABQAAAAIAIdO4kAbQglRQgIAAFAEAAAOAAAAAAAAAAEAIAAA&#10;ACY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v:textbox>
                </v:shape>
                <v:line id="直接连接符 570" o:spid="_x0000_s1026" o:spt="20" style="position:absolute;left:785495;top:1553845;height:3810;width:116649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1VDfzUAAAABgEAAA8AAAAAAAAAAQAgAAAAIgAAAGRycy9kb3ducmV2LnhtbFBLAQIUABQA&#10;AAAIAIdO4kA2u2X+9AEAAKEDAAAOAAAAAAAAAAEAIAAAACMBAABkcnMvZTJvRG9jLnhtbFBLBQYA&#10;AAAABgAGAFkBAACJBQAAAAA=&#10;">
                  <v:fill on="f" focussize="0,0"/>
                  <v:stroke weight="0.5pt" color="#000000 [3213]" miterlimit="8" joinstyle="miter" endarrow="block" endarrowwidth="narrow" endarrowlength="long"/>
                  <v:imagedata o:title=""/>
                  <o:lock v:ext="edit" aspectratio="f"/>
                </v:line>
                <v:shape id="文本框 571" o:spid="_x0000_s1026" o:spt="202" type="#_x0000_t202" style="position:absolute;left:1290955;top:133921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M/QH4I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1069.2</w:t>
                        </w:r>
                      </w:p>
                    </w:txbxContent>
                  </v:textbox>
                </v:shape>
                <v:line id="直接连接符 572" o:spid="_x0000_s1026" o:spt="20" style="position:absolute;left:2783205;top:1553210;height:2540;width:89408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1VDfzUAAAABgEAAA8AAAAAAAAAAQAgAAAAIgAAAGRycy9kb3ducmV2LnhtbFBLAQIUABQA&#10;AAAIAIdO4kCLS3QF9AEAAKEDAAAOAAAAAAAAAAEAIAAAACMBAABkcnMvZTJvRG9jLnhtbFBLBQYA&#10;AAAABgAGAFkBAACJBQAAAAA=&#10;">
                  <v:fill on="f" focussize="0,0"/>
                  <v:stroke weight="0.5pt" color="#000000 [3213]" miterlimit="8" joinstyle="miter" endarrow="block" endarrowwidth="narrow" endarrowlength="long"/>
                  <v:imagedata o:title=""/>
                  <o:lock v:ext="edit" aspectratio="f"/>
                </v:line>
                <v:line id="直接连接符 573" o:spid="_x0000_s1026" o:spt="20" style="position:absolute;left:2214245;top:1327150;flip:y;height:102870;width:46799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zjrNYAAAAGAQAADwAAAAAAAAABACAAAAAiAAAAZHJzL2Rvd25yZXYu&#10;eG1sUEsBAhQAFAAAAAgAh07iQEFIbH/9AQAArQMAAA4AAAAAAAAAAQAgAAAAJQEAAGRycy9lMm9E&#10;b2MueG1sUEsFBgAAAAAGAAYAWQEAAJQFAAAAAA==&#10;">
                  <v:fill on="f" focussize="0,0"/>
                  <v:stroke weight="0.5pt" color="#000000 [3213]" miterlimit="8" joinstyle="miter" endarrow="block" endarrowwidth="narrow" endarrowlength="long"/>
                  <v:imagedata o:title=""/>
                  <o:lock v:ext="edit" aspectratio="f"/>
                </v:line>
                <v:shape id="文本框 574" o:spid="_x0000_s1026" o:spt="202" type="#_x0000_t202" style="position:absolute;left:2616200;top:1203960;height:262255;width:10071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CAPQUCsCAAAo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损耗106.92</w:t>
                        </w:r>
                      </w:p>
                    </w:txbxContent>
                  </v:textbox>
                </v:shape>
                <v:shape id="文本框 575" o:spid="_x0000_s1026" o:spt="202" type="#_x0000_t202" style="position:absolute;left:2886710;top:136207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Gmb3P4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962.28</w:t>
                        </w:r>
                      </w:p>
                    </w:txbxContent>
                  </v:textbox>
                </v:shape>
                <v:shape id="文本框 576" o:spid="_x0000_s1026" o:spt="202" type="#_x0000_t202" style="position:absolute;left:3672205;top:1449705;height:262255;width:68262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9IYQ7XAAAABgEAAA8AAAAAAAAAAQAgAAAAIgAAAGRy&#10;cy9kb3ducmV2LnhtbFBLAQIUABQAAAAIAIdO4kA8byKePwIAAFAEAAAOAAAAAAAAAAEAIAAAACY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v:textbox>
                </v:shape>
                <v:shape id="文本框 577" o:spid="_x0000_s1026" o:spt="202" type="#_x0000_t202" style="position:absolute;left:4338955;top:1386205;height:262255;width:73025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JTLhgy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1104.84</w:t>
                        </w:r>
                      </w:p>
                    </w:txbxContent>
                  </v:textbox>
                </v:shape>
                <v:line id="直接连接符 578" o:spid="_x0000_s1026" o:spt="20" style="position:absolute;left:4354830;top:1576705;height:3175;width:69278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VUN/NQAAAAGAQAADwAAAAAAAAABACAAAAAiAAAAZHJzL2Rvd25yZXYueG1sUEsBAhQA&#10;FAAAAAgAh07iQCsE0f72AQAAoQMAAA4AAAAAAAAAAQAgAAAAIwEAAGRycy9lMm9Eb2MueG1sUEsF&#10;BgAAAAAGAAYAWQEAAIsFAAAAAA==&#10;">
                  <v:fill on="f" focussize="0,0"/>
                  <v:stroke weight="0.5pt" color="#000000 [3213]" miterlimit="8" joinstyle="miter" endarrow="block" endarrowwidth="narrow" endarrowlength="long"/>
                  <v:imagedata o:title=""/>
                  <o:lock v:ext="edit" aspectratio="f"/>
                </v:line>
                <v:shape id="文本框 579" o:spid="_x0000_s1026" o:spt="202" type="#_x0000_t202" style="position:absolute;left:5029835;top:1386205;height:452755;width:101600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oRg01wAAAAYBAAAPAAAAAAAAAAEAIAAAACIAAABkcnMvZG93bnJldi54bWxQSwEC&#10;FAAUAAAACACHTuJAnJNUPC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v:textbox>
                </v:shape>
                <v:line id="直接连接符 580" o:spid="_x0000_s1026" o:spt="20" style="position:absolute;left:777875;top:2578100;flip:y;height:1270;width:121412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Rs46zWAAAABgEAAA8AAAAAAAAAAQAgAAAAIgAAAGRycy9kb3ducmV2Lnht&#10;bFBLAQIUABQAAAAIAIdO4kAtwtNg+wEAAKsDAAAOAAAAAAAAAAEAIAAAACUBAABkcnMvZTJvRG9j&#10;LnhtbFBLBQYAAAAABgAGAFkBAACSBQ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1154430;top:2379980;height:262255;width:56388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HpK6Lg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2062.5</w:t>
                        </w:r>
                      </w:p>
                    </w:txbxContent>
                  </v:textbox>
                </v:shape>
                <v:shape id="文本框 582" o:spid="_x0000_s1026" o:spt="202" type="#_x0000_t202" style="position:absolute;left:1965960;top:2425700;height:248920;width:1087120;"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9IYQ7XAAAABgEAAA8AAAAAAAAAAQAgAAAAIgAAAGRy&#10;cy9kb3ducmV2LnhtbFBLAQIUABQAAAAIAIdO4kBzipGcPwIAAFEEAAAOAAAAAAAAAAEAIAAAACY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软水制备系统</w:t>
                        </w:r>
                      </w:p>
                    </w:txbxContent>
                  </v:textbox>
                </v:shape>
                <v:shape id="文本框 583" o:spid="_x0000_s1026" o:spt="202" type="#_x0000_t202" style="position:absolute;left:1849120;top:3023235;height:267970;width:144335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vSGEO1wAAAAYBAAAPAAAAAAAAAAEAIAAAACIA&#10;AABkcnMvZG93bnJldi54bWxQSwECFAAUAAAACACHTuJA+y6f5UMCAABRBAAADgAAAAAAAAABACAA&#10;AAAmAQAAZHJzL2Uyb0RvYy54bWxQSwUGAAAAAAYABgBZAQAA2w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v:textbox>
                </v:shape>
                <v:line id="直接连接符 584" o:spid="_x0000_s1026" o:spt="20" style="position:absolute;left:2495550;top:2684145;height:365125;width: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VQ381AAAAAYBAAAPAAAAAAAAAAEAIAAAACIAAABkcnMvZG93bnJldi54bWxQSwECFAAUAAAA&#10;CACHTuJAjs+tPPIBAACeAwAADgAAAAAAAAABACAAAAAjAQAAZHJzL2Uyb0RvYy54bWxQSwUGAAAA&#10;AAYABgBZAQAAhwUAAAAA&#10;">
                  <v:fill on="f" focussize="0,0"/>
                  <v:stroke weight="0.5pt" color="#000000 [3213]" miterlimit="8" joinstyle="miter" endarrow="block" endarrowwidth="narrow" endarrowlength="long"/>
                  <v:imagedata o:title=""/>
                  <o:lock v:ext="edit" aspectratio="f"/>
                </v:line>
                <v:shape id="文本框 585" o:spid="_x0000_s1026" o:spt="202" type="#_x0000_t202" style="position:absolute;left:2541905;top:271335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GmVpIU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1650</w:t>
                        </w:r>
                      </w:p>
                    </w:txbxContent>
                  </v:textbox>
                </v:shape>
                <v:line id="直接连接符 586" o:spid="_x0000_s1026" o:spt="20" style="position:absolute;left:2470150;top:3300730;height:243840;width:635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1VDfzUAAAABgEAAA8AAAAAAAAAAQAgAAAAIgAAAGRycy9kb3ducmV2LnhtbFBLAQIUABQAAAAI&#10;AIdO4kCLeNr58QEAAKEDAAAOAAAAAAAAAAEAIAAAACMBAABkcnMvZTJvRG9jLnhtbFBLBQYAAAAA&#10;BgAGAFkBAACGBQAAAAA=&#10;">
                  <v:fill on="f" focussize="0,0"/>
                  <v:stroke weight="0.5pt" color="#000000 [3213]" miterlimit="8" joinstyle="miter" endarrow="block" endarrowwidth="narrow" endarrowlength="long"/>
                  <v:imagedata o:title=""/>
                  <o:lock v:ext="edit" aspectratio="f"/>
                </v:line>
                <v:line id="直接连接符 587" o:spid="_x0000_s1026" o:spt="20" style="position:absolute;left:1315720;top:3545205;flip:x;height:0;width:1162685;" filled="f" stroked="t" coordsize="21600,21600" o:gfxdata="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KQr642AAAAAYBAAAPAAAAAAAAAAEAIAAAACIAAABkcnMvZG93bnJldi54&#10;bWxQSwECFAAUAAAACACHTuJAt2xT7PoBAAClAwAADgAAAAAAAAABACAAAAAnAQAAZHJzL2Uyb0Rv&#10;Yy54bWxQSwUGAAAAAAYABgBZAQAAkwUAAAAA&#10;">
                  <v:fill on="f" focussize="0,0"/>
                  <v:stroke weight="0.5pt" color="#000000 [3213]" miterlimit="8" joinstyle="miter" endarrowwidth="narrow" endarrowlength="long"/>
                  <v:imagedata o:title=""/>
                  <o:lock v:ext="edit" aspectratio="f"/>
                </v:line>
                <v:line id="直接连接符 588" o:spid="_x0000_s1026" o:spt="20" style="position:absolute;left:1311275;top:3251200;flip:y;height:301625;width:0;" filled="f" stroked="t" coordsize="21600,21600" o:gfxdata="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Qr642AAAAAYBAAAPAAAAAAAAAAEAIAAAACIAAABkcnMvZG93bnJldi54bWxQSwEC&#10;FAAUAAAACACHTuJAfzUpovQBAACkAwAADgAAAAAAAAABACAAAAAnAQAAZHJzL2Uyb0RvYy54bWxQ&#10;SwUGAAAAAAYABgBZAQAAjQUAAAAA&#10;">
                  <v:fill on="f" focussize="0,0"/>
                  <v:stroke weight="0.5pt" color="#000000 [3213]" miterlimit="8" joinstyle="miter" endarrowwidth="narrow" endarrowlength="long"/>
                  <v:imagedata o:title=""/>
                  <o:lock v:ext="edit" aspectratio="f"/>
                </v:line>
                <v:line id="直接连接符 589" o:spid="_x0000_s1026" o:spt="20" style="position:absolute;left:1314450;top:3256280;height:0;width:53340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VQ381AAAAAYBAAAPAAAAAAAAAAEAIAAAACIAAABkcnMvZG93bnJldi54bWxQSwECFAAUAAAA&#10;CACHTuJAWymnofIBAACeAwAADgAAAAAAAAABACAAAAAjAQAAZHJzL2Uyb0RvYy54bWxQSwUGAAAA&#10;AAYABgBZAQAAhwUAAAAA&#10;">
                  <v:fill on="f" focussize="0,0"/>
                  <v:stroke weight="0.5pt" color="#000000 [3213]" miterlimit="8" joinstyle="miter" endarrow="block" endarrowwidth="narrow" endarrowlength="long"/>
                  <v:imagedata o:title=""/>
                  <o:lock v:ext="edit" aspectratio="f"/>
                </v:line>
                <v:shape id="文本框 590" o:spid="_x0000_s1026" o:spt="202" type="#_x0000_t202" style="position:absolute;left:1575435;top:3334385;height:262255;width:69723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DH/avY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1899150</w:t>
                        </w:r>
                      </w:p>
                    </w:txbxContent>
                  </v:textbox>
                </v:shape>
                <v:line id="直接连接符 591" o:spid="_x0000_s1026" o:spt="20" style="position:absolute;left:3053080;top:2550160;height:1270;width:199453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VQ381AAAAAYBAAAPAAAAAAAAAAEAIAAAACIAAABkcnMv&#10;ZG93bnJldi54bWxQSwECFAAUAAAACACHTuJAmWSDhAcCAADKAwAADgAAAAAAAAABACAAAAAjAQAA&#10;ZHJzL2Uyb0RvYy54bWxQSwUGAAAAAAYABgBZAQAAnAUAAAAA&#10;">
                  <v:fill on="f" focussize="0,0"/>
                  <v:stroke weight="0.5pt" color="#000000 [3213]" miterlimit="8" joinstyle="miter" endarrow="block" endarrowwidth="narrow" endarrowlength="long"/>
                  <v:imagedata o:title=""/>
                  <o:lock v:ext="edit" aspectratio="f"/>
                </v:line>
                <v:line id="直接连接符 592" o:spid="_x0000_s1026" o:spt="20" style="position:absolute;left:5019675;top:2560955;height:2058670;width:444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VQ381AAAAAYBAAAPAAAAAAAAAAEAIAAAACIAAABkcnMvZG93bnJldi54bWxQSwEC&#10;FAAUAAAACACHTuJAPyLnJvgBAACiAwAADgAAAAAAAAABACAAAAAjAQAAZHJzL2Uyb0RvYy54bWxQ&#10;SwUGAAAAAAYABgBZAQAAjQUAAAAA&#10;">
                  <v:fill on="f" focussize="0,0"/>
                  <v:stroke weight="0.5pt" color="#000000 [3213]" miterlimit="8" joinstyle="miter" endarrow="block" endarrowwidth="narrow" endarrowlength="long"/>
                  <v:imagedata o:title=""/>
                  <o:lock v:ext="edit" aspectratio="f"/>
                </v:line>
                <v:shape id="文本框 593" o:spid="_x0000_s1026" o:spt="202" type="#_x0000_t202" style="position:absolute;left:1965960;top:3964940;height:230505;width:137223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9IYQ7XAAAABgEAAA8AAAAAAAAAAQAgAAAAIgAA&#10;AGRycy9kb3ducmV2LnhtbFBLAQIUABQAAAAIAIdO4kBV0D0ZQgIAAFEEAAAOAAAAAAAAAAEAIAAA&#10;ACY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v:textbox>
                </v:shape>
                <v:line id="直接连接符 594" o:spid="_x0000_s1026" o:spt="20" style="position:absolute;left:777875;top:4093845;height:3175;width:119634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VUN/NQAAAAGAQAADwAAAAAAAAABACAAAAAiAAAAZHJzL2Rvd25yZXYueG1sUEsBAhQAFAAA&#10;AAgAh07iQKLrDFPzAQAAoQMAAA4AAAAAAAAAAQAgAAAAIwEAAGRycy9lMm9Eb2MueG1sUEsFBgAA&#10;AAAGAAYAWQEAAIgFAAAAAA==&#10;">
                  <v:fill on="f" focussize="0,0"/>
                  <v:stroke weight="0.5pt" color="#000000 [3213]" miterlimit="8" joinstyle="miter" endarrow="block" endarrowwidth="narrow" endarrowlength="long"/>
                  <v:imagedata o:title=""/>
                  <o:lock v:ext="edit" aspectratio="f"/>
                </v:line>
                <v:shape id="文本框 595" o:spid="_x0000_s1026" o:spt="202" type="#_x0000_t202" style="position:absolute;left:1219835;top:3886835;height:262255;width:76962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ahGDTXAAAABgEAAA8AAAAAAAAAAQAgAAAAIgAAAGRycy9kb3ducmV2LnhtbFBLAQIU&#10;ABQAAAAIAIdO4kD7uimJ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71280</w:t>
                        </w:r>
                      </w:p>
                    </w:txbxContent>
                  </v:textbox>
                </v:shape>
                <v:line id="直接连接符 596" o:spid="_x0000_s1026" o:spt="20" style="position:absolute;left:1491615;top:4087495;flip:y;height:452755;width: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GzjrNYAAAAGAQAADwAAAAAAAAABACAAAAAiAAAAZHJzL2Rvd25yZXYueG1s&#10;UEsBAhQAFAAAAAgAh07iQAVF1Tv6AQAAqAMAAA4AAAAAAAAAAQAgAAAAJQEAAGRycy9lMm9Eb2Mu&#10;eG1sUEsFBgAAAAAGAAYAWQEAAJEFAAAAAA==&#10;">
                  <v:fill on="f" focussize="0,0"/>
                  <v:stroke weight="0.5pt" color="#000000 [3213]" miterlimit="8" joinstyle="miter" endarrow="block" endarrowwidth="narrow" endarrowlength="long"/>
                  <v:imagedata o:title=""/>
                  <o:lock v:ext="edit" aspectratio="f"/>
                </v:line>
                <v:line id="直接连接符 597" o:spid="_x0000_s1026" o:spt="20" style="position:absolute;left:1483995;top:4523740;flip:x;height:635;width:1158240;" filled="f" stroked="t" coordsize="21600,21600" o:gfxdata="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Qr642AAAAAYBAAAPAAAAAAAAAAEAIAAAACIAAABkcnMvZG93bnJldi54bWxQ&#10;SwECFAAUAAAACACHTuJA4WhSG/cBAACnAwAADgAAAAAAAAABACAAAAAnAQAAZHJzL2Uyb0RvYy54&#10;bWxQSwUGAAAAAAYABgBZAQAAkAUAAAAA&#10;">
                  <v:fill on="f" focussize="0,0"/>
                  <v:stroke weight="0.5pt" color="#000000 [3213]" miterlimit="8" joinstyle="miter" endarrowwidth="narrow" endarrowlength="long"/>
                  <v:imagedata o:title=""/>
                  <o:lock v:ext="edit" aspectratio="f"/>
                </v:line>
                <v:line id="直接连接符 598" o:spid="_x0000_s1026" o:spt="20" style="position:absolute;left:2650490;top:4195445;flip:x;height:360680;width:190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bOOs1gAAAAYBAAAPAAAAAAAAAAEAIAAA&#10;ACIAAABkcnMvZG93bnJldi54bWxQSwECFAAUAAAACACHTuJALzhkXg4CAADT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599" o:spid="_x0000_s1026" o:spt="202" type="#_x0000_t202" style="position:absolute;left:1584960;top:4331335;height:262255;width:9436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DjSXC0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11808720</w:t>
                        </w:r>
                      </w:p>
                    </w:txbxContent>
                  </v:textbox>
                </v:shape>
                <v:line id="直接连接符 600" o:spid="_x0000_s1026" o:spt="20" style="position:absolute;left:2652395;top:3836035;flip:y;height:128905;width:54610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bOOs1gAAAAYBAAAPAAAAAAAAAAEAIAAA&#10;ACIAAABkcnMvZG93bnJldi54bWxQSwECFAAUAAAACACHTuJA5Z2XFg4CAADV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601" o:spid="_x0000_s1026" o:spt="202" type="#_x0000_t202" style="position:absolute;left:3180715;top:3695700;height:262255;width:10071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NwQijk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损耗59400</w:t>
                        </w:r>
                      </w:p>
                    </w:txbxContent>
                  </v:textbox>
                </v:shape>
                <v:line id="直接连接符 602" o:spid="_x0000_s1026" o:spt="20" style="position:absolute;left:2571115;top:2937510;flip:y;height:85725;width:51943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zjrNYAAAAGAQAADwAAAAAAAAABACAAAAAi&#10;AAAAZHJzL2Rvd25yZXYueG1sUEsBAhQAFAAAAAgAh07iQMJ9ivgMAgAA1A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文本框 603" o:spid="_x0000_s1026" o:spt="202" type="#_x0000_t202" style="position:absolute;left:3045460;top:2679700;height:261620;width:10071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D9KLG8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损耗1320</w:t>
                        </w:r>
                      </w:p>
                    </w:txbxContent>
                  </v:textbox>
                </v:shape>
                <v:shape id="文本框 604" o:spid="_x0000_s1026" o:spt="202" type="#_x0000_t202" style="position:absolute;left:1779270;top:2005330;height:287020;width:144335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0hhDtcAAAAGAQAADwAAAAAAAAABACAAAAAiAAAA&#10;ZHJzL2Rvd25yZXYueG1sUEsBAhQAFAAAAAgAh07iQKg9inVBAgAAUQQAAA4AAAAAAAAAAQAgAAAA&#10;Jg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v:textbox>
                </v:shape>
                <v:line id="直接连接符 658" o:spid="_x0000_s1026" o:spt="20" style="position:absolute;left:4093845;top:2162810;flip:x y;height:388620;width:1905;" filled="f" stroked="t" coordsize="21600,21600" o:gfxdata="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IIh1gAAAAYBAAAPAAAAAAAAAAEAIAAAACIAAABkcnMvZG93&#10;bnJldi54bWxQSwECFAAUAAAACACHTuJA8kIKqwICAAC1AwAADgAAAAAAAAABACAAAAAlAQAAZHJz&#10;L2Uyb0RvYy54bWxQSwUGAAAAAAYABgBZAQAAmQUAAAAA&#10;">
                  <v:fill on="f" focussize="0,0"/>
                  <v:stroke weight="0.5pt" color="#000000 [3213]" miterlimit="8" joinstyle="miter" endarrow="block" endarrowwidth="narrow" endarrowlength="long"/>
                  <v:imagedata o:title=""/>
                  <o:lock v:ext="edit" aspectratio="f"/>
                </v:line>
                <v:line id="直接连接符 659" o:spid="_x0000_s1026" o:spt="20" style="position:absolute;left:3215640;top:2165350;flip:x;height:3175;width:88519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bOOs1gAAAAYBAAAPAAAAAAAAAAEAIAAAACIAAABkcnMvZG93bnJldi54&#10;bWxQSwECFAAUAAAACACHTuJAS1S13fwBAACrAwAADgAAAAAAAAABACAAAAAlAQAAZHJzL2Uyb0Rv&#10;Yy54bWxQSwUGAAAAAAYABgBZAQAAkwUAAAAA&#10;">
                  <v:fill on="f" focussize="0,0"/>
                  <v:stroke weight="0.5pt" color="#000000 [3213]" miterlimit="8" joinstyle="miter" endarrow="block" endarrowwidth="narrow" endarrowlength="long"/>
                  <v:imagedata o:title=""/>
                  <o:lock v:ext="edit" aspectratio="f"/>
                </v:line>
                <v:shape id="文本框 660" o:spid="_x0000_s1026" o:spt="202" type="#_x0000_t202" style="position:absolute;left:3387725;top:212725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oRg01wAAAAYBAAAPAAAAAAAAAAEAIAAAACIAAABkcnMvZG93bnJldi54bWxQSwECFAAUAAAA&#10;CACHTuJA1nMw3SgCAAAn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70.38</w:t>
                        </w:r>
                      </w:p>
                    </w:txbxContent>
                  </v:textbox>
                </v:shape>
                <v:shape id="文本框 661" o:spid="_x0000_s1026" o:spt="202" type="#_x0000_t202" style="position:absolute;left:3103880;top:234315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hGDTXAAAABgEAAA8AAAAAAAAAAQAgAAAAIgAAAGRycy9kb3ducmV2LnhtbFBLAQIUABQA&#10;AAAIAIdO4kBNx/xBKgIAACc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412.5</w:t>
                        </w:r>
                      </w:p>
                    </w:txbxContent>
                  </v:textbox>
                </v:shape>
                <v:shape id="文本框 662" o:spid="_x0000_s1026" o:spt="202" type="#_x0000_t202" style="position:absolute;left:4210685;top:231140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Akp6g0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v:textbox>
                </v:shape>
                <v:line id="直接连接符 663" o:spid="_x0000_s1026" o:spt="20" style="position:absolute;left:3292475;top:3154680;flip:y;height:2540;width:170307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s46zWAAAABgEAAA8AAAAAAAAAAQAgAAAA&#10;IgAAAGRycy9kb3ducmV2LnhtbFBLAQIUABQAAAAIAIdO4kAnc0oDDQIAANQ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664" o:spid="_x0000_s1026" o:spt="202" type="#_x0000_t202" style="position:absolute;left:4266565;top:295910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ahGDTXAAAABgEAAA8AAAAAAAAAAQAgAAAAIgAAAGRycy9kb3ducmV2LnhtbFBLAQIU&#10;ABQAAAAIAIdO4kBmoLKj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v:textbox>
                </v:shape>
                <v:line id="直接连接符 665" o:spid="_x0000_s1026" o:spt="20" style="position:absolute;left:3338195;top:4080510;height:2540;width:168592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VQ381AAAAAYBAAAPAAAAAAAAAAEAIAAAACIAAABkcnMv&#10;ZG93bnJldi54bWxQSwECFAAUAAAACACHTuJAKZ2uvAcCAADKAwAADgAAAAAAAAABACAAAAAjAQAA&#10;ZHJzL2Uyb0RvYy54bWxQSwUGAAAAAAYABgBZAQAAnAUAAAAA&#10;">
                  <v:fill on="f" focussize="0,0"/>
                  <v:stroke weight="0.5pt" color="#000000 [3213]" miterlimit="8" joinstyle="miter" endarrow="block" endarrowwidth="narrow" endarrowlength="long"/>
                  <v:imagedata o:title=""/>
                  <o:lock v:ext="edit" aspectratio="f"/>
                </v:line>
                <v:shape id="文本框 666" o:spid="_x0000_s1026" o:spt="202" type="#_x0000_t202" style="position:absolute;left:3410585;top:3895090;height:262255;width:74549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w/JI3C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11880</w:t>
                        </w:r>
                      </w:p>
                    </w:txbxContent>
                  </v:textbox>
                </v:shape>
                <v:line id="直接连接符 667" o:spid="_x0000_s1026" o:spt="20" style="position:absolute;left:4262120;top:4075430;height:1214120;width: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VUN/NQAAAAGAQAADwAAAAAAAAABACAAAAAiAAAAZHJzL2Rvd25yZXYueG1sUEsBAhQAFAAAAAgA&#10;h07iQAJyffbwAQAAnwMAAA4AAAAAAAAAAQAgAAAAIwEAAGRycy9lMm9Eb2MueG1sUEsFBgAAAAAG&#10;AAYAWQEAAIUFAAAAAA==&#10;">
                  <v:fill on="f" focussize="0,0"/>
                  <v:stroke weight="0.5pt" color="#000000 [3213]" miterlimit="8" joinstyle="miter" endarrow="block" endarrowwidth="narrow" endarrowlength="long"/>
                  <v:imagedata o:title=""/>
                  <o:lock v:ext="edit" aspectratio="f"/>
                </v:line>
                <v:shape id="文本框 668" o:spid="_x0000_s1026" o:spt="202" type="#_x0000_t202" style="position:absolute;left:4290695;top:3854450;height:262255;width:72136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Jfa5VI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2595.19</w:t>
                        </w:r>
                      </w:p>
                    </w:txbxContent>
                  </v:textbox>
                </v:shape>
                <v:shape id="文本框 669" o:spid="_x0000_s1026" o:spt="202" type="#_x0000_t202" style="position:absolute;left:3633470;top:5259070;height:262255;width:130048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2DP+pSsCAAAo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清下水9284.81</w:t>
                        </w:r>
                      </w:p>
                    </w:txbxContent>
                  </v:textbox>
                </v:shape>
                <v:shape id="文本框 670" o:spid="_x0000_s1026" o:spt="202" type="#_x0000_t202" style="position:absolute;left:5045710;top:4363085;height:262255;width:737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xPHii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3267.31</w:t>
                        </w:r>
                      </w:p>
                    </w:txbxContent>
                  </v:textbox>
                </v:shape>
                <v:shape id="文本框 671" o:spid="_x0000_s1026" o:spt="202" type="#_x0000_t202" style="position:absolute;left:4601210;top:4639945;height:238125;width:975360;"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0hhDtcAAAAGAQAADwAAAAAAAAABACAAAAAiAAAA&#10;ZHJzL2Rvd25yZXYueG1sUEsBAhQAFAAAAAgAh07iQLtTgllBAgAAUAQAAA4AAAAAAAAAAQAgAAAA&#10;Jg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绿化用水</w:t>
                        </w:r>
                      </w:p>
                    </w:txbxContent>
                  </v:textbox>
                </v:shape>
                <v:line id="直接连接符 672" o:spid="_x0000_s1026" o:spt="20" style="position:absolute;left:5087620;top:4878070;flip:x;height:322580;width:127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GzjrNYAAAAGAQAADwAAAAAAAAABACAAAAAi&#10;AAAAZHJzL2Rvd25yZXYueG1sUEsBAhQAFAAAAAgAh07iQNkvPxYMAgAA0w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文本框 673" o:spid="_x0000_s1026" o:spt="202" type="#_x0000_t202" style="position:absolute;left:4762500;top:5157470;height:262255;width:10071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ahGDTXAAAABgEAAA8AAAAAAAAAAQAgAAAAIgAAAGRycy9kb3ducmV2LnhtbFBLAQIU&#10;ABQAAAAIAIdO4kAC7Sh5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损耗3267.31</w:t>
                        </w:r>
                      </w:p>
                    </w:txbxContent>
                  </v:textbox>
                </v:shape>
                <v:line id="直接连接符 674" o:spid="_x0000_s1026" o:spt="20" style="position:absolute;left:785495;top:1099185;flip:x;height:2987040;width:2540;" filled="f" stroked="t" coordsize="21600,21600" o:gfxdata="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kK+uNgAAAAGAQAADwAAAAAAAAABACAAAAAiAAAAZHJzL2Rvd25yZXYueG1s&#10;UEsBAhQAFAAAAAgAh07iQBbw3fj4AQAApwMAAA4AAAAAAAAAAQAgAAAAJwEAAGRycy9lMm9Eb2Mu&#10;eG1sUEsFBgAAAAAGAAYAWQEAAJEFAAAAAA==&#10;">
                  <v:fill on="f" focussize="0,0"/>
                  <v:stroke weight="0.5pt" color="#000000 [3213]" miterlimit="8" joinstyle="miter" endarrowwidth="narrow" endarrowlength="long"/>
                  <v:imagedata o:title=""/>
                  <o:lock v:ext="edit" aspectratio="f"/>
                </v:line>
                <v:line id="直接连接符 675" o:spid="_x0000_s1026" o:spt="20" style="position:absolute;left:39370;top:2839720;flip:y;height:1905;width:730250;"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GzjrNYAAAAGAQAADwAAAAAAAAABACAAAAAiAAAAZHJzL2Rvd25yZXYueG1s&#10;UEsBAhQAFAAAAAgAh07iQKM6LXb6AQAAq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6" o:spid="_x0000_s1026" o:spt="202" type="#_x0000_t202" style="position:absolute;left:0;top:2624455;height:262255;width:76962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qEYNNcAAAAGAQAADwAAAAAAAAABACAAAAAiAAAAZHJzL2Rvd25yZXYueG1sUEsBAhQAFAAAAAgA&#10;h07iQDEdo98mAgAAIQQAAA4AAAAAAAAAAQAgAAAAJ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74589.9</w:t>
                        </w:r>
                      </w:p>
                    </w:txbxContent>
                  </v:textbox>
                </v:shape>
                <v:shape id="文本框 677" o:spid="_x0000_s1026" o:spt="202" type="#_x0000_t202" style="position:absolute;left:0;top:2839085;height:262255;width:76962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qEYNNcAAAAGAQAADwAAAAAAAAABACAAAAAiAAAAZHJzL2Rvd25yZXYueG1sUEsBAhQAFAAA&#10;AAgAh07iQJ0SugkpAgAAIQ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v:textbox>
                </v:shape>
                <v:line id="直接连接符 678" o:spid="_x0000_s1026" o:spt="20" style="position:absolute;left:2446655;top:1884045;flip:y;height:113665;width:28638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GzjrNYAAAAGAQAADwAAAAAAAAABACAAAAAiAAAAZHJzL2Rvd25yZXYueG1s&#10;UEsBAhQAFAAAAAgAh07iQOjbLNL6AQAAr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9" o:spid="_x0000_s1026" o:spt="202" type="#_x0000_t202" style="position:absolute;left:2676525;top:1730375;height:261620;width:144780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oRg01wAAAAYBAAAPAAAAAAAAAAEAIAAAACIAAABkcnMvZG93bnJldi54bWxQSwEC&#10;FAAUAAAACACHTuJAzIyMAC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废气带走16.60</w:t>
                        </w:r>
                      </w:p>
                    </w:txbxContent>
                  </v:textbox>
                </v:shape>
                <v:line id="直接连接符 680" o:spid="_x0000_s1026" o:spt="20" style="position:absolute;left:3236595;top:2061210;height:0;width:86360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1VDfzUAAAABgEAAA8AAAAAAAAAAQAgAAAAIgAAAGRycy9kb3ducmV2LnhtbFBLAQIUABQAAAAI&#10;AIdO4kCKg6618QEAAJ4DAAAOAAAAAAAAAAEAIAAAACMBAABkcnMvZTJvRG9jLnhtbFBLBQYAAAAA&#10;BgAGAFkBAACGBQAAAAA=&#10;">
                  <v:fill on="f" focussize="0,0"/>
                  <v:stroke weight="0.5pt" color="#000000 [3213]" miterlimit="8" joinstyle="miter" endarrow="block" endarrowwidth="narrow" endarrowlength="long"/>
                  <v:imagedata o:title=""/>
                  <o:lock v:ext="edit" aspectratio="f"/>
                </v:line>
                <v:shape id="文本框 681" o:spid="_x0000_s1026" o:spt="202" type="#_x0000_t202" style="position:absolute;left:4084955;top:1900555;height:262255;width:1635125;"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qEYNNcAAAAGAQAADwAAAAAAAAABACAAAAAiAAAAZHJzL2Rvd25yZXYueG1sUEsBAhQA&#10;FAAAAAgAh07iQK8F+EY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进入脱硫石膏133.07</w:t>
                        </w:r>
                      </w:p>
                    </w:txbxContent>
                  </v:textbox>
                </v:shape>
                <v:shape id="文本框 7" o:spid="_x0000_s1026" o:spt="202" type="#_x0000_t202" style="position:absolute;left:1941830;top:5742305;height:329565;width:233934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k6ELny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图3.3.2-2 一期项目水平衡图 t/a</w:t>
                        </w:r>
                      </w:p>
                    </w:txbxContent>
                  </v:textbox>
                </v:shape>
                <v:line id="直接连接符 625" o:spid="_x0000_s1026" o:spt="20" style="position:absolute;left:796290;top:1090930;height:0;width:1127125;"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tVQ381AAAAAYBAAAPAAAAAAAAAAEAIAAAACIAAABkcnMvZG93bnJldi54bWxQSwECFAAUAAAA&#10;CACHTuJAFUE9ofIBAACeAwAADgAAAAAAAAABACAAAAAjAQAAZHJzL2Uyb0RvYy54bWxQSwUGAAAA&#10;AAYABgBZAQAAhwUAAAAA&#10;">
                  <v:fill on="f" focussize="0,0"/>
                  <v:stroke weight="0.5pt" color="#000000 [3213]" miterlimit="8" joinstyle="miter" endarrow="block" endarrowwidth="narrow" endarrowlength="long"/>
                  <v:imagedata o:title=""/>
                  <o:lock v:ext="edit" aspectratio="f"/>
                </v:line>
                <v:shape id="文本框 626" o:spid="_x0000_s1026" o:spt="202" type="#_x0000_t202" style="position:absolute;left:1910080;top:966470;height:245745;width:833120;"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9IYQ7XAAAABgEAAA8AAAAAAAAAAQAgAAAAIgAAAGRy&#10;cy9kb3ducmV2LnhtbFBLAQIUABQAAAAIAIdO4kDd31bEPwIAAE8EAAAOAAAAAAAAAAEAIAAAACY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食堂废水</w:t>
                        </w:r>
                      </w:p>
                    </w:txbxContent>
                  </v:textbox>
                </v:shape>
                <v:shape id="文本框 627" o:spid="_x0000_s1026" o:spt="202" type="#_x0000_t202" style="position:absolute;left:1116330;top:88646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hGDTXAAAABgEAAA8AAAAAAAAAAQAgAAAAIgAAAGRycy9kb3ducmV2LnhtbFBLAQIUABQA&#10;AAAIAIdO4kD7O72HKgIAACY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178.2</w:t>
                        </w:r>
                      </w:p>
                    </w:txbxContent>
                  </v:textbox>
                </v:shape>
                <v:line id="直接连接符 628" o:spid="_x0000_s1026" o:spt="20" style="position:absolute;left:2743200;top:1089660;height:0;width:97409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VQ381AAAAAYBAAAPAAAAAAAAAAEAIAAAACIAAABkcnMvZG93&#10;bnJldi54bWxQSwECFAAUAAAACACHTuJAPeLzZgQCAADGAwAADgAAAAAAAAABACAAAAAjAQAAZHJz&#10;L2Uyb0RvYy54bWxQSwUGAAAAAAYABgBZAQAAmQUAAAAA&#10;">
                  <v:fill on="f" focussize="0,0"/>
                  <v:stroke weight="0.5pt" color="#000000 [3213]" miterlimit="8" joinstyle="miter" endarrow="block" endarrowwidth="narrow" endarrowlength="long"/>
                  <v:imagedata o:title=""/>
                  <o:lock v:ext="edit" aspectratio="f"/>
                </v:line>
                <v:shape id="文本框 629" o:spid="_x0000_s1026" o:spt="202" type="#_x0000_t202" style="position:absolute;left:3711575;top:957580;height:262255;width:682625;" filled="f" stroked="t" coordsize="21600,21600" o:gfxdata="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9IYQ7XAAAABgEAAA8AAAAAAAAAAQAgAAAAIgAAAGRy&#10;cy9kb3ducmV2LnhtbFBLAQIUABQAAAAIAIdO4kDzwTJQPwIAAE8EAAAOAAAAAAAAAAEAIAAAACY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w:t>
                        </w:r>
                      </w:p>
                    </w:txbxContent>
                  </v:textbox>
                </v:shape>
                <v:line id="直接连接符 630" o:spid="_x0000_s1026" o:spt="20" style="position:absolute;left:4082415;top:1229360;height:238125;width: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VUN/NQAAAAGAQAADwAAAAAAAAABACAAAAAiAAAAZHJzL2Rvd25yZXYueG1sUEsBAhQAFAAAAAgA&#10;h07iQPfFz/7wAQAAngMAAA4AAAAAAAAAAQAgAAAAIwEAAGRycy9lMm9Eb2MueG1sUEsFBgAAAAAG&#10;AAYAWQEAAIUFAAAAAA==&#10;">
                  <v:fill on="f" focussize="0,0"/>
                  <v:stroke weight="0.5pt" color="#000000 [3213]" miterlimit="8" joinstyle="miter" endarrow="block" endarrowwidth="narrow" endarrowlength="long"/>
                  <v:imagedata o:title=""/>
                  <o:lock v:ext="edit" aspectratio="f"/>
                </v:line>
                <v:line id="直接连接符 631" o:spid="_x0000_s1026" o:spt="20" style="position:absolute;left:2326640;top:871855;flip:y;height:94615;width:493395;" filled="f" stroked="t" coordsize="21600,21600" o:gfxdata="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s46zWAAAABgEAAA8AAAAAAAAAAQAgAAAA&#10;IgAAAGRycy9kb3ducmV2LnhtbFBLAQIUABQAAAAIAIdO4kB6vVQeDQIAANM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632" o:spid="_x0000_s1026" o:spt="202" type="#_x0000_t202" style="position:absolute;left:2736215;top:735330;height:262255;width:100711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ahGDTXAAAABgEAAA8AAAAAAAAAAQAgAAAAIgAAAGRycy9kb3ducmV2LnhtbFBLAQIU&#10;ABQAAAAIAIdO4kBnzwza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损耗35.64</w:t>
                        </w:r>
                      </w:p>
                    </w:txbxContent>
                  </v:textbox>
                </v:shape>
                <v:shape id="文本框 633" o:spid="_x0000_s1026" o:spt="202" type="#_x0000_t202" style="position:absolute;left:2862580;top:885825;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NFTktS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v:textbox>
                </v:shape>
                <v:shape id="文本框 634" o:spid="_x0000_s1026" o:spt="202" type="#_x0000_t202" style="position:absolute;left:4021455;top:1211580;height:262255;width:610870;"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RF/s4y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v:textbox>
                </v:shape>
                <v:line id="直接连接符 121" o:spid="_x0000_s1026" o:spt="20" style="position:absolute;left:1389380;top:2148205;height:635;width:389890;" filled="f" stroked="t" coordsize="21600,21600" o:gfxdata="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VQ381AAAAAYBAAAPAAAAAAAAAAEAIAAAACIAAABkcnMvZG93bnJl&#10;di54bWxQSwECFAAUAAAACACHTuJAhyvAqAECAADJAwAADgAAAAAAAAABACAAAAAjAQAAZHJzL2Uy&#10;b0RvYy54bWxQSwUGAAAAAAYABgBZAQAAlgU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788035;top:1929130;height:400685;width:744855;" filled="f" stroked="f" coordsize="21600,21600" o:gfxdata="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oRg01wAAAAYBAAAPAAAAAAAAAAEAIAAAACIAAABkcnMvZG93bnJldi54bWxQSwECFAAU&#10;AAAACACHTuJAWwhJQy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废气带入81.95</w:t>
                        </w:r>
                      </w:p>
                    </w:txbxContent>
                  </v:textbox>
                </v:shape>
                <w10:wrap type="none"/>
                <w10:anchorlock/>
              </v:group>
            </w:pict>
          </mc:Fallback>
        </mc:AlternateContent>
      </w:r>
    </w:p>
    <w:p>
      <w:pPr>
        <w:pStyle w:val="27"/>
        <w:bidi w:val="0"/>
        <w:rPr>
          <w:rFonts w:hint="eastAsia"/>
          <w:lang w:val="en-US" w:eastAsia="zh-CN"/>
        </w:rPr>
      </w:pPr>
      <w:r>
        <w:rPr>
          <w:rFonts w:hint="eastAsia"/>
          <w:lang w:val="en-US" w:eastAsia="zh-CN"/>
        </w:rPr>
        <w:t>表3.3.2-3二期项目用排水一览表 单位：m</w:t>
      </w:r>
      <w:r>
        <w:rPr>
          <w:rFonts w:hint="eastAsia"/>
          <w:vertAlign w:val="superscript"/>
          <w:lang w:val="en-US" w:eastAsia="zh-CN"/>
        </w:rPr>
        <w:t>3</w:t>
      </w:r>
      <w:r>
        <w:rPr>
          <w:rFonts w:hint="eastAsia"/>
          <w:lang w:val="en-US" w:eastAsia="zh-CN"/>
        </w:rPr>
        <w:t>/a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363"/>
        <w:gridCol w:w="1050"/>
        <w:gridCol w:w="1410"/>
        <w:gridCol w:w="1065"/>
        <w:gridCol w:w="1035"/>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用水单元</w:t>
            </w:r>
          </w:p>
        </w:tc>
        <w:tc>
          <w:tcPr>
            <w:tcW w:w="3823" w:type="dxa"/>
            <w:gridSpan w:val="3"/>
            <w:vAlign w:val="center"/>
          </w:tcPr>
          <w:p>
            <w:pPr>
              <w:pStyle w:val="28"/>
              <w:suppressLineNumbers w:val="0"/>
              <w:bidi w:val="0"/>
              <w:spacing w:before="0" w:after="0"/>
              <w:ind w:left="0" w:right="0"/>
              <w:rPr>
                <w:rFonts w:hint="default"/>
                <w:lang w:val="en-US" w:eastAsia="zh-CN"/>
              </w:rPr>
            </w:pPr>
            <w:r>
              <w:rPr>
                <w:rFonts w:hint="eastAsia"/>
                <w:lang w:val="en-US" w:eastAsia="zh-CN"/>
              </w:rPr>
              <w:t>用水量</w:t>
            </w:r>
          </w:p>
        </w:tc>
        <w:tc>
          <w:tcPr>
            <w:tcW w:w="1065"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损耗</w:t>
            </w:r>
          </w:p>
        </w:tc>
        <w:tc>
          <w:tcPr>
            <w:tcW w:w="1035"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w:t>
            </w:r>
          </w:p>
        </w:tc>
        <w:tc>
          <w:tcPr>
            <w:tcW w:w="2591"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Merge w:val="continue"/>
            <w:vAlign w:val="center"/>
          </w:tcPr>
          <w:p>
            <w:pPr>
              <w:pStyle w:val="28"/>
              <w:suppressLineNumbers w:val="0"/>
              <w:bidi w:val="0"/>
              <w:spacing w:before="0" w:after="0"/>
              <w:ind w:left="0" w:right="0"/>
              <w:outlineLvl w:val="9"/>
              <w:rPr>
                <w:rFonts w:hint="default"/>
                <w:lang w:val="en-US" w:eastAsia="zh-CN"/>
              </w:rPr>
            </w:pP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总用水</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新鲜水</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回用水</w:t>
            </w:r>
          </w:p>
        </w:tc>
        <w:tc>
          <w:tcPr>
            <w:tcW w:w="1065" w:type="dxa"/>
            <w:vMerge w:val="continue"/>
            <w:vAlign w:val="center"/>
          </w:tcPr>
          <w:p>
            <w:pPr>
              <w:pStyle w:val="28"/>
              <w:suppressLineNumbers w:val="0"/>
              <w:bidi w:val="0"/>
              <w:spacing w:before="0" w:after="0"/>
              <w:ind w:left="0" w:right="0"/>
              <w:outlineLvl w:val="9"/>
              <w:rPr>
                <w:rFonts w:hint="default"/>
                <w:lang w:val="en-US" w:eastAsia="zh-CN"/>
              </w:rPr>
            </w:pPr>
          </w:p>
        </w:tc>
        <w:tc>
          <w:tcPr>
            <w:tcW w:w="1035" w:type="dxa"/>
            <w:vMerge w:val="continue"/>
            <w:vAlign w:val="center"/>
          </w:tcPr>
          <w:p>
            <w:pPr>
              <w:pStyle w:val="28"/>
              <w:suppressLineNumbers w:val="0"/>
              <w:bidi w:val="0"/>
              <w:spacing w:before="0" w:after="0"/>
              <w:ind w:left="0" w:right="0"/>
              <w:outlineLvl w:val="9"/>
              <w:rPr>
                <w:rFonts w:hint="default"/>
                <w:lang w:val="en-US" w:eastAsia="zh-CN"/>
              </w:rPr>
            </w:pPr>
          </w:p>
        </w:tc>
        <w:tc>
          <w:tcPr>
            <w:tcW w:w="2591"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default"/>
                <w:lang w:val="en-US" w:eastAsia="zh-CN"/>
              </w:rPr>
            </w:pPr>
            <w:r>
              <w:rPr>
                <w:rFonts w:hint="eastAsia"/>
                <w:lang w:val="en-US" w:eastAsia="zh-CN"/>
              </w:rPr>
              <w:t>生活用水</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514.8</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514.8</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51.48</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463.32</w:t>
            </w:r>
          </w:p>
        </w:tc>
        <w:tc>
          <w:tcPr>
            <w:tcW w:w="2591" w:type="dxa"/>
            <w:vAlign w:val="center"/>
          </w:tcPr>
          <w:p>
            <w:pPr>
              <w:pStyle w:val="28"/>
              <w:suppressLineNumbers w:val="0"/>
              <w:bidi w:val="0"/>
              <w:spacing w:before="0" w:after="0"/>
              <w:ind w:left="0" w:right="0"/>
              <w:rPr>
                <w:rFonts w:hint="default"/>
                <w:lang w:val="en-US" w:eastAsia="zh-CN"/>
              </w:rPr>
            </w:pPr>
            <w:r>
              <w:rPr>
                <w:rFonts w:hint="eastAsia"/>
                <w:lang w:val="en-US" w:eastAsia="zh-CN"/>
              </w:rPr>
              <w:t>经化粪池预处理后排入清湖村联村生活污水处理厂进行处理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eastAsia"/>
                <w:lang w:val="en-US" w:eastAsia="zh-CN"/>
              </w:rPr>
            </w:pPr>
            <w:r>
              <w:rPr>
                <w:rFonts w:hint="eastAsia"/>
                <w:lang w:val="en-US" w:eastAsia="zh-CN"/>
              </w:rPr>
              <w:t>食堂废水</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85.8</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85.8</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17.16</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68.64</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经隔油池处理后与生活污水一起进入化粪池处理，后排入清湖村联村生活污水处理厂进行处理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default"/>
                <w:lang w:val="en-US" w:eastAsia="zh-CN"/>
              </w:rPr>
            </w:pPr>
            <w:r>
              <w:rPr>
                <w:rFonts w:hint="eastAsia"/>
                <w:lang w:val="en-US" w:eastAsia="zh-CN"/>
              </w:rPr>
              <w:t>软水制备系统</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2062.5</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2062.5</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2062.5（软水1650、清下水412.5）</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清下水其中70.38作为脱硫系统补充水，342.12作为清下水排放</w:t>
            </w:r>
          </w:p>
          <w:p>
            <w:pPr>
              <w:pStyle w:val="28"/>
              <w:suppressLineNumbers w:val="0"/>
              <w:bidi w:val="0"/>
              <w:spacing w:before="0" w:after="0"/>
              <w:ind w:left="0" w:right="0"/>
              <w:rPr>
                <w:rFonts w:hint="default"/>
                <w:lang w:val="en-US" w:eastAsia="zh-CN"/>
              </w:rPr>
            </w:pPr>
            <w:r>
              <w:rPr>
                <w:rFonts w:hint="eastAsia"/>
                <w:lang w:val="en-US" w:eastAsia="zh-CN"/>
              </w:rPr>
              <w:t>1650软水回用于变压器循环冷却用水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default"/>
                <w:lang w:val="en-US" w:eastAsia="zh-CN"/>
              </w:rPr>
            </w:pPr>
            <w:r>
              <w:rPr>
                <w:rFonts w:hint="eastAsia"/>
                <w:lang w:val="en-US" w:eastAsia="zh-CN"/>
              </w:rPr>
              <w:t>变压器循环冷却用水</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1900800</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1900800，其中1650软水</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1320</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330</w:t>
            </w:r>
          </w:p>
        </w:tc>
        <w:tc>
          <w:tcPr>
            <w:tcW w:w="2591" w:type="dxa"/>
            <w:vAlign w:val="center"/>
          </w:tcPr>
          <w:p>
            <w:pPr>
              <w:pStyle w:val="28"/>
              <w:suppressLineNumbers w:val="0"/>
              <w:bidi w:val="0"/>
              <w:spacing w:before="0" w:after="0"/>
              <w:ind w:left="0" w:right="0"/>
              <w:rPr>
                <w:rFonts w:hint="default"/>
                <w:lang w:val="en-US" w:eastAsia="zh-CN"/>
              </w:rPr>
            </w:pPr>
            <w:r>
              <w:rPr>
                <w:rFonts w:hint="eastAsia"/>
                <w:lang w:val="en-US" w:eastAsia="zh-CN"/>
              </w:rPr>
              <w:t>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eastAsia"/>
                <w:lang w:val="en-US" w:eastAsia="zh-CN"/>
              </w:rPr>
            </w:pPr>
            <w:r>
              <w:rPr>
                <w:rFonts w:hint="eastAsia"/>
                <w:lang w:val="en-US" w:eastAsia="zh-CN"/>
              </w:rPr>
              <w:t>电煅炉冷却用水</w:t>
            </w:r>
          </w:p>
        </w:tc>
        <w:tc>
          <w:tcPr>
            <w:tcW w:w="1363" w:type="dxa"/>
            <w:vAlign w:val="center"/>
          </w:tcPr>
          <w:p>
            <w:pPr>
              <w:pStyle w:val="28"/>
              <w:suppressLineNumbers w:val="0"/>
              <w:bidi w:val="0"/>
              <w:spacing w:before="0" w:after="0"/>
              <w:ind w:left="0" w:right="0"/>
              <w:rPr>
                <w:rFonts w:hint="eastAsia"/>
                <w:lang w:val="en-US" w:eastAsia="zh-CN"/>
              </w:rPr>
            </w:pPr>
            <w:r>
              <w:rPr>
                <w:rFonts w:hint="eastAsia"/>
                <w:lang w:val="en-US" w:eastAsia="zh-CN"/>
              </w:rPr>
              <w:t>11880000</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71280</w:t>
            </w:r>
          </w:p>
        </w:tc>
        <w:tc>
          <w:tcPr>
            <w:tcW w:w="1410" w:type="dxa"/>
            <w:vAlign w:val="center"/>
          </w:tcPr>
          <w:p>
            <w:pPr>
              <w:pStyle w:val="28"/>
              <w:suppressLineNumbers w:val="0"/>
              <w:bidi w:val="0"/>
              <w:spacing w:before="0" w:after="0"/>
              <w:ind w:left="0" w:right="0"/>
              <w:rPr>
                <w:rFonts w:hint="eastAsia"/>
                <w:lang w:val="en-US" w:eastAsia="zh-CN"/>
              </w:rPr>
            </w:pPr>
            <w:r>
              <w:rPr>
                <w:rFonts w:hint="eastAsia"/>
                <w:lang w:val="en-US" w:eastAsia="zh-CN"/>
              </w:rPr>
              <w:t>118080720</w:t>
            </w:r>
          </w:p>
        </w:tc>
        <w:tc>
          <w:tcPr>
            <w:tcW w:w="1065" w:type="dxa"/>
            <w:vAlign w:val="center"/>
          </w:tcPr>
          <w:p>
            <w:pPr>
              <w:pStyle w:val="28"/>
              <w:suppressLineNumbers w:val="0"/>
              <w:bidi w:val="0"/>
              <w:spacing w:before="0" w:after="0"/>
              <w:ind w:left="0" w:right="0"/>
              <w:rPr>
                <w:rFonts w:hint="eastAsia"/>
                <w:lang w:val="en-US" w:eastAsia="zh-CN"/>
              </w:rPr>
            </w:pPr>
            <w:r>
              <w:rPr>
                <w:rFonts w:hint="eastAsia"/>
                <w:lang w:val="en-US" w:eastAsia="zh-CN"/>
              </w:rPr>
              <w:t>59400</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11880</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eastAsia"/>
                <w:lang w:val="en-US" w:eastAsia="zh-CN"/>
              </w:rPr>
            </w:pPr>
            <w:r>
              <w:rPr>
                <w:rFonts w:hint="eastAsia"/>
                <w:lang w:val="en-US" w:eastAsia="zh-CN"/>
              </w:rPr>
              <w:t>脱硫系统补充水</w:t>
            </w:r>
          </w:p>
        </w:tc>
        <w:tc>
          <w:tcPr>
            <w:tcW w:w="1363" w:type="dxa"/>
            <w:vAlign w:val="center"/>
          </w:tcPr>
          <w:p>
            <w:pPr>
              <w:pStyle w:val="28"/>
              <w:suppressLineNumbers w:val="0"/>
              <w:bidi w:val="0"/>
              <w:spacing w:before="0" w:after="0"/>
              <w:ind w:left="0" w:right="0"/>
              <w:rPr>
                <w:rFonts w:hint="eastAsia"/>
                <w:lang w:val="en-US" w:eastAsia="zh-CN"/>
              </w:rPr>
            </w:pPr>
            <w:r>
              <w:rPr>
                <w:rFonts w:hint="eastAsia"/>
                <w:lang w:val="en-US" w:eastAsia="zh-CN"/>
              </w:rPr>
              <w:t>152.33</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 xml:space="preserve">0.00 </w:t>
            </w:r>
          </w:p>
        </w:tc>
        <w:tc>
          <w:tcPr>
            <w:tcW w:w="1410" w:type="dxa"/>
            <w:vAlign w:val="center"/>
          </w:tcPr>
          <w:p>
            <w:pPr>
              <w:pStyle w:val="28"/>
              <w:suppressLineNumbers w:val="0"/>
              <w:bidi w:val="0"/>
              <w:spacing w:before="0" w:after="0"/>
              <w:ind w:left="0" w:right="0"/>
              <w:rPr>
                <w:rFonts w:hint="eastAsia"/>
                <w:lang w:val="en-US" w:eastAsia="zh-CN"/>
              </w:rPr>
            </w:pPr>
            <w:r>
              <w:rPr>
                <w:rFonts w:hint="eastAsia"/>
                <w:lang w:val="en-US" w:eastAsia="zh-CN"/>
              </w:rPr>
              <w:t>152.33</w:t>
            </w:r>
          </w:p>
        </w:tc>
        <w:tc>
          <w:tcPr>
            <w:tcW w:w="1065" w:type="dxa"/>
            <w:vAlign w:val="center"/>
          </w:tcPr>
          <w:p>
            <w:pPr>
              <w:pStyle w:val="28"/>
              <w:suppressLineNumbers w:val="0"/>
              <w:bidi w:val="0"/>
              <w:spacing w:before="0" w:after="0"/>
              <w:ind w:left="0" w:right="0"/>
              <w:rPr>
                <w:rFonts w:hint="eastAsia"/>
                <w:lang w:val="en-US" w:eastAsia="zh-CN"/>
              </w:rPr>
            </w:pPr>
            <w:r>
              <w:rPr>
                <w:rFonts w:hint="eastAsia"/>
                <w:lang w:val="en-US" w:eastAsia="zh-CN"/>
              </w:rPr>
              <w:t xml:space="preserve">152.33 </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其中进入脱硫石膏 133.07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default"/>
                <w:lang w:val="en-US" w:eastAsia="zh-CN"/>
              </w:rPr>
            </w:pPr>
            <w:r>
              <w:rPr>
                <w:rFonts w:hint="eastAsia"/>
                <w:lang w:val="en-US" w:eastAsia="zh-CN"/>
              </w:rPr>
              <w:t>合计</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13783615.43</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73943.1</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119981672.3</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60940.97</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14804.46</w:t>
            </w:r>
          </w:p>
        </w:tc>
        <w:tc>
          <w:tcPr>
            <w:tcW w:w="2591"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bl>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default"/>
          <w:sz w:val="28"/>
          <w:lang w:val="en-US"/>
        </w:rPr>
        <mc:AlternateContent>
          <mc:Choice Requires="wpc">
            <w:drawing>
              <wp:inline distT="0" distB="0" distL="114300" distR="114300">
                <wp:extent cx="6112510" cy="6276340"/>
                <wp:effectExtent l="0" t="0" r="0" b="0"/>
                <wp:docPr id="8" name="画布 8"/>
                <wp:cNvGraphicFramePr/>
                <a:graphic xmlns:a="http://schemas.openxmlformats.org/drawingml/2006/main">
                  <a:graphicData uri="http://schemas.microsoft.com/office/word/2010/wordprocessingCanvas">
                    <wpc:wpc>
                      <wpc:bg/>
                      <wpc:whole/>
                      <wps:wsp>
                        <wps:cNvPr id="844" name="文本框 554"/>
                        <wps:cNvSpPr txBox="1"/>
                        <wps:spPr>
                          <a:xfrm>
                            <a:off x="375285" y="48895"/>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5" name="直接连接符 555"/>
                        <wps:cNvCnPr/>
                        <wps:spPr>
                          <a:xfrm>
                            <a:off x="1264920" y="196215"/>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46" name="文本框 556"/>
                        <wps:cNvSpPr txBox="1"/>
                        <wps:spPr>
                          <a:xfrm>
                            <a:off x="1425575" y="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101.18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7" name="文本框 557"/>
                        <wps:cNvSpPr txBox="1"/>
                        <wps:spPr>
                          <a:xfrm>
                            <a:off x="2171700" y="60325"/>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8" name="直接连接符 558"/>
                        <wps:cNvCnPr/>
                        <wps:spPr>
                          <a:xfrm flipV="1">
                            <a:off x="2862580" y="190500"/>
                            <a:ext cx="1581785" cy="95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49" name="文本框 559"/>
                        <wps:cNvSpPr txBox="1"/>
                        <wps:spPr>
                          <a:xfrm>
                            <a:off x="4410710" y="44450"/>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0" name="文本框 560"/>
                        <wps:cNvSpPr txBox="1"/>
                        <wps:spPr>
                          <a:xfrm>
                            <a:off x="441325" y="520700"/>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1" name="直接连接符 561"/>
                        <wps:cNvCnPr/>
                        <wps:spPr>
                          <a:xfrm>
                            <a:off x="1242695" y="676275"/>
                            <a:ext cx="129667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2" name="直接连接符 562"/>
                        <wps:cNvCnPr/>
                        <wps:spPr>
                          <a:xfrm flipH="1" flipV="1">
                            <a:off x="2518410" y="339725"/>
                            <a:ext cx="8255" cy="3333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3" name="文本框 563"/>
                        <wps:cNvSpPr txBox="1"/>
                        <wps:spPr>
                          <a:xfrm>
                            <a:off x="1727200" y="4654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5.77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4" name="文本框 564"/>
                        <wps:cNvSpPr txBox="1"/>
                        <wps:spPr>
                          <a:xfrm>
                            <a:off x="3775075" y="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81.95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5" name="直接连接符 565"/>
                        <wps:cNvCnPr/>
                        <wps:spPr>
                          <a:xfrm>
                            <a:off x="3698240" y="208280"/>
                            <a:ext cx="0" cy="2940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56" name="文本框 566"/>
                        <wps:cNvSpPr txBox="1"/>
                        <wps:spPr>
                          <a:xfrm>
                            <a:off x="3211195" y="448945"/>
                            <a:ext cx="95948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7" name="文本框 567"/>
                        <wps:cNvSpPr txBox="1"/>
                        <wps:spPr>
                          <a:xfrm>
                            <a:off x="3648710" y="219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8" name="文本框 568"/>
                        <wps:cNvSpPr txBox="1"/>
                        <wps:spPr>
                          <a:xfrm>
                            <a:off x="2838450" y="50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9" name="文本框 569"/>
                        <wps:cNvSpPr txBox="1"/>
                        <wps:spPr>
                          <a:xfrm>
                            <a:off x="1941830" y="1425575"/>
                            <a:ext cx="833120"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0" name="直接连接符 570"/>
                        <wps:cNvCnPr/>
                        <wps:spPr>
                          <a:xfrm>
                            <a:off x="785495" y="1553845"/>
                            <a:ext cx="116649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61" name="文本框 571"/>
                        <wps:cNvSpPr txBox="1"/>
                        <wps:spPr>
                          <a:xfrm>
                            <a:off x="1148080" y="1330960"/>
                            <a:ext cx="74549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2" name="直接连接符 572"/>
                        <wps:cNvCnPr/>
                        <wps:spPr>
                          <a:xfrm>
                            <a:off x="2783205" y="1553210"/>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63" name="直接连接符 573"/>
                        <wps:cNvCnPr/>
                        <wps:spPr>
                          <a:xfrm flipV="1">
                            <a:off x="2214245" y="1327150"/>
                            <a:ext cx="467995" cy="1028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64" name="文本框 574"/>
                        <wps:cNvSpPr txBox="1"/>
                        <wps:spPr>
                          <a:xfrm>
                            <a:off x="2616200" y="118491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损耗51.48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5" name="文本框 575"/>
                        <wps:cNvSpPr txBox="1"/>
                        <wps:spPr>
                          <a:xfrm>
                            <a:off x="2886710" y="1362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463.32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6" name="文本框 576"/>
                        <wps:cNvSpPr txBox="1"/>
                        <wps:spPr>
                          <a:xfrm>
                            <a:off x="3672205" y="1449705"/>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7" name="文本框 577"/>
                        <wps:cNvSpPr txBox="1"/>
                        <wps:spPr>
                          <a:xfrm>
                            <a:off x="4346575" y="137033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531.96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8" name="直接连接符 578"/>
                        <wps:cNvCnPr/>
                        <wps:spPr>
                          <a:xfrm>
                            <a:off x="4354830" y="1576705"/>
                            <a:ext cx="692785"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69" name="文本框 579"/>
                        <wps:cNvSpPr txBox="1"/>
                        <wps:spPr>
                          <a:xfrm>
                            <a:off x="5029835" y="1386205"/>
                            <a:ext cx="1016000"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0" name="直接连接符 580"/>
                        <wps:cNvCnPr/>
                        <wps:spPr>
                          <a:xfrm flipV="1">
                            <a:off x="777875" y="2578100"/>
                            <a:ext cx="1214120"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1" name="文本框 581"/>
                        <wps:cNvSpPr txBox="1"/>
                        <wps:spPr>
                          <a:xfrm>
                            <a:off x="1154430" y="2379980"/>
                            <a:ext cx="56388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2062.5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2" name="文本框 582"/>
                        <wps:cNvSpPr txBox="1"/>
                        <wps:spPr>
                          <a:xfrm>
                            <a:off x="1965960" y="2425700"/>
                            <a:ext cx="1087120" cy="2489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软水制备系统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3" name="文本框 583"/>
                        <wps:cNvSpPr txBox="1"/>
                        <wps:spPr>
                          <a:xfrm>
                            <a:off x="1849120" y="3023235"/>
                            <a:ext cx="1443355" cy="2679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4" name="直接连接符 584"/>
                        <wps:cNvCnPr/>
                        <wps:spPr>
                          <a:xfrm>
                            <a:off x="2495550" y="2684145"/>
                            <a:ext cx="0" cy="3651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5" name="文本框 585"/>
                        <wps:cNvSpPr txBox="1"/>
                        <wps:spPr>
                          <a:xfrm>
                            <a:off x="2446655" y="27133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1650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6" name="直接连接符 586"/>
                        <wps:cNvCnPr/>
                        <wps:spPr>
                          <a:xfrm>
                            <a:off x="2470150" y="3300730"/>
                            <a:ext cx="6350" cy="2438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77" name="直接连接符 587"/>
                        <wps:cNvCnPr/>
                        <wps:spPr>
                          <a:xfrm flipH="1">
                            <a:off x="1327785" y="3533140"/>
                            <a:ext cx="1162685" cy="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78" name="直接连接符 588"/>
                        <wps:cNvCnPr/>
                        <wps:spPr>
                          <a:xfrm flipV="1">
                            <a:off x="1329055" y="3239770"/>
                            <a:ext cx="0" cy="30162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79" name="直接连接符 589"/>
                        <wps:cNvCnPr/>
                        <wps:spPr>
                          <a:xfrm>
                            <a:off x="1314450" y="3256280"/>
                            <a:ext cx="5334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0" name="文本框 590"/>
                        <wps:cNvSpPr txBox="1"/>
                        <wps:spPr>
                          <a:xfrm>
                            <a:off x="1575435" y="3334385"/>
                            <a:ext cx="69723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1899150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1" name="直接连接符 591"/>
                        <wps:cNvCnPr>
                          <a:stCxn id="582" idx="3"/>
                        </wps:cNvCnPr>
                        <wps:spPr>
                          <a:xfrm>
                            <a:off x="3053080" y="2550160"/>
                            <a:ext cx="1994535"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2" name="直接连接符 592"/>
                        <wps:cNvCnPr/>
                        <wps:spPr>
                          <a:xfrm flipH="1">
                            <a:off x="5000625" y="2560955"/>
                            <a:ext cx="19050" cy="256159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3" name="文本框 593"/>
                        <wps:cNvSpPr txBox="1"/>
                        <wps:spPr>
                          <a:xfrm>
                            <a:off x="1965960" y="3964940"/>
                            <a:ext cx="1372235"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4" name="直接连接符 594"/>
                        <wps:cNvCnPr/>
                        <wps:spPr>
                          <a:xfrm>
                            <a:off x="777875" y="4093845"/>
                            <a:ext cx="119634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5" name="文本框 595"/>
                        <wps:cNvSpPr txBox="1"/>
                        <wps:spPr>
                          <a:xfrm>
                            <a:off x="1219835" y="388683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71280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6" name="直接连接符 596"/>
                        <wps:cNvCnPr/>
                        <wps:spPr>
                          <a:xfrm flipV="1">
                            <a:off x="1491615" y="4087495"/>
                            <a:ext cx="0" cy="45275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7" name="直接连接符 597"/>
                        <wps:cNvCnPr/>
                        <wps:spPr>
                          <a:xfrm flipH="1">
                            <a:off x="1483995" y="4523740"/>
                            <a:ext cx="1158240" cy="63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888" name="直接连接符 598"/>
                        <wps:cNvCnPr>
                          <a:stCxn id="593" idx="2"/>
                        </wps:cNvCnPr>
                        <wps:spPr>
                          <a:xfrm flipH="1">
                            <a:off x="2650490" y="4195445"/>
                            <a:ext cx="1905" cy="3606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89" name="文本框 599"/>
                        <wps:cNvSpPr txBox="1"/>
                        <wps:spPr>
                          <a:xfrm>
                            <a:off x="1584960" y="4331335"/>
                            <a:ext cx="9436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11808720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0" name="直接连接符 600"/>
                        <wps:cNvCnPr>
                          <a:stCxn id="593" idx="0"/>
                        </wps:cNvCnPr>
                        <wps:spPr>
                          <a:xfrm flipV="1">
                            <a:off x="2652395" y="3836035"/>
                            <a:ext cx="546100" cy="128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1" name="文本框 601"/>
                        <wps:cNvSpPr txBox="1"/>
                        <wps:spPr>
                          <a:xfrm>
                            <a:off x="3180715" y="369570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损耗59400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2" name="直接连接符 602"/>
                        <wps:cNvCnPr>
                          <a:stCxn id="583" idx="0"/>
                        </wps:cNvCnPr>
                        <wps:spPr>
                          <a:xfrm flipV="1">
                            <a:off x="2571115" y="2937510"/>
                            <a:ext cx="519430" cy="857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3" name="文本框 603"/>
                        <wps:cNvSpPr txBox="1"/>
                        <wps:spPr>
                          <a:xfrm>
                            <a:off x="3045460" y="2679700"/>
                            <a:ext cx="100711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损耗1320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4" name="文本框 604"/>
                        <wps:cNvSpPr txBox="1"/>
                        <wps:spPr>
                          <a:xfrm>
                            <a:off x="1779270" y="2005330"/>
                            <a:ext cx="1443355" cy="2870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5" name="直接连接符 658"/>
                        <wps:cNvCnPr/>
                        <wps:spPr>
                          <a:xfrm flipH="1" flipV="1">
                            <a:off x="4093845" y="2162810"/>
                            <a:ext cx="1905" cy="3886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6" name="直接连接符 659"/>
                        <wps:cNvCnPr/>
                        <wps:spPr>
                          <a:xfrm flipH="1">
                            <a:off x="3215640" y="2165350"/>
                            <a:ext cx="88519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7" name="文本框 660"/>
                        <wps:cNvSpPr txBox="1"/>
                        <wps:spPr>
                          <a:xfrm>
                            <a:off x="3387725" y="21272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70.38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8" name="文本框 661"/>
                        <wps:cNvSpPr txBox="1"/>
                        <wps:spPr>
                          <a:xfrm>
                            <a:off x="3103880" y="23431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9" name="文本框 662"/>
                        <wps:cNvSpPr txBox="1"/>
                        <wps:spPr>
                          <a:xfrm>
                            <a:off x="4208780" y="231711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0" name="直接连接符 663"/>
                        <wps:cNvCnPr>
                          <a:stCxn id="583" idx="3"/>
                        </wps:cNvCnPr>
                        <wps:spPr>
                          <a:xfrm flipV="1">
                            <a:off x="3292475" y="3154680"/>
                            <a:ext cx="170307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1" name="文本框 664"/>
                        <wps:cNvSpPr txBox="1"/>
                        <wps:spPr>
                          <a:xfrm>
                            <a:off x="4266565" y="295910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2" name="直接连接符 665"/>
                        <wps:cNvCnPr>
                          <a:stCxn id="593" idx="3"/>
                        </wps:cNvCnPr>
                        <wps:spPr>
                          <a:xfrm>
                            <a:off x="3338195" y="4080510"/>
                            <a:ext cx="1685925"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3" name="文本框 666"/>
                        <wps:cNvSpPr txBox="1"/>
                        <wps:spPr>
                          <a:xfrm>
                            <a:off x="4134485" y="3904615"/>
                            <a:ext cx="74549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11880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4" name="文本框 670"/>
                        <wps:cNvSpPr txBox="1"/>
                        <wps:spPr>
                          <a:xfrm>
                            <a:off x="4931410" y="4363085"/>
                            <a:ext cx="737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12552.12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5" name="文本框 673"/>
                        <wps:cNvSpPr txBox="1"/>
                        <wps:spPr>
                          <a:xfrm>
                            <a:off x="4657725" y="5119370"/>
                            <a:ext cx="73088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清下水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6" name="直接连接符 674"/>
                        <wps:cNvCnPr/>
                        <wps:spPr>
                          <a:xfrm>
                            <a:off x="772160" y="1104900"/>
                            <a:ext cx="13335" cy="298894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907" name="直接连接符 675"/>
                        <wps:cNvCnPr/>
                        <wps:spPr>
                          <a:xfrm flipV="1">
                            <a:off x="39370" y="2839720"/>
                            <a:ext cx="730250" cy="1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8" name="文本框 676"/>
                        <wps:cNvSpPr txBox="1"/>
                        <wps:spPr>
                          <a:xfrm>
                            <a:off x="0" y="262445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73943.1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9" name="文本框 677"/>
                        <wps:cNvSpPr txBox="1"/>
                        <wps:spPr>
                          <a:xfrm>
                            <a:off x="0" y="283908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0" name="直接连接符 678"/>
                        <wps:cNvCnPr/>
                        <wps:spPr>
                          <a:xfrm flipV="1">
                            <a:off x="2446655" y="1884045"/>
                            <a:ext cx="286385" cy="11366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1" name="文本框 679"/>
                        <wps:cNvSpPr txBox="1"/>
                        <wps:spPr>
                          <a:xfrm>
                            <a:off x="2676525" y="1730375"/>
                            <a:ext cx="1332865"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废气带走16.60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2" name="直接连接符 680"/>
                        <wps:cNvCnPr/>
                        <wps:spPr>
                          <a:xfrm>
                            <a:off x="3236595" y="2061210"/>
                            <a:ext cx="8636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3" name="文本框 681"/>
                        <wps:cNvSpPr txBox="1"/>
                        <wps:spPr>
                          <a:xfrm>
                            <a:off x="4084955" y="1900555"/>
                            <a:ext cx="163512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进入脱硫石膏133.07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4" name="文本框 7"/>
                        <wps:cNvSpPr txBox="1"/>
                        <wps:spPr>
                          <a:xfrm>
                            <a:off x="1941830" y="5742305"/>
                            <a:ext cx="2339340" cy="32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图3.3.2-2 二期项目水平衡图 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5" name="直接连接符 730"/>
                        <wps:cNvCnPr/>
                        <wps:spPr>
                          <a:xfrm>
                            <a:off x="764540" y="1104900"/>
                            <a:ext cx="116649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6" name="文本框 571"/>
                        <wps:cNvSpPr txBox="1"/>
                        <wps:spPr>
                          <a:xfrm>
                            <a:off x="1116330" y="91821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7" name="文本框 569"/>
                        <wps:cNvSpPr txBox="1"/>
                        <wps:spPr>
                          <a:xfrm>
                            <a:off x="1925955" y="981710"/>
                            <a:ext cx="833120"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食堂用水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8" name="直接连接符 733"/>
                        <wps:cNvCnPr>
                          <a:stCxn id="732" idx="0"/>
                        </wps:cNvCnPr>
                        <wps:spPr>
                          <a:xfrm flipV="1">
                            <a:off x="2342515" y="873760"/>
                            <a:ext cx="588645" cy="107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9" name="文本框 574"/>
                        <wps:cNvSpPr txBox="1"/>
                        <wps:spPr>
                          <a:xfrm>
                            <a:off x="2886075" y="73533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损耗17.16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0" name="直接连接符 735"/>
                        <wps:cNvCnPr>
                          <a:stCxn id="732" idx="3"/>
                        </wps:cNvCnPr>
                        <wps:spPr>
                          <a:xfrm>
                            <a:off x="2759075" y="1097280"/>
                            <a:ext cx="894715" cy="63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1" name="文本框 576"/>
                        <wps:cNvSpPr txBox="1"/>
                        <wps:spPr>
                          <a:xfrm>
                            <a:off x="3656330" y="965200"/>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2" name="直接连接符 737"/>
                        <wps:cNvCnPr/>
                        <wps:spPr>
                          <a:xfrm>
                            <a:off x="4018915" y="1237615"/>
                            <a:ext cx="7620" cy="21463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3" name="文本框 575"/>
                        <wps:cNvSpPr txBox="1"/>
                        <wps:spPr>
                          <a:xfrm>
                            <a:off x="2981325" y="9175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4" name="文本框 575"/>
                        <wps:cNvSpPr txBox="1"/>
                        <wps:spPr>
                          <a:xfrm>
                            <a:off x="3973830" y="12115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5" name="直接连接符 123"/>
                        <wps:cNvCnPr>
                          <a:endCxn id="382" idx="1"/>
                        </wps:cNvCnPr>
                        <wps:spPr>
                          <a:xfrm flipV="1">
                            <a:off x="1438910" y="2148840"/>
                            <a:ext cx="34036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6" name="文本框 581"/>
                        <wps:cNvSpPr txBox="1"/>
                        <wps:spPr>
                          <a:xfrm>
                            <a:off x="782955" y="1941830"/>
                            <a:ext cx="744855"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废气带入81.95</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94.2pt;width:481.3pt;" coordsize="6112510,6276340" editas="canvas" o:gfxdata="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">
                <o:lock v:ext="edit" aspectratio="f"/>
                <v:shape id="_x0000_s1026" o:spid="_x0000_s1026" style="position:absolute;left:0;top:0;height:6276340;width:6112510;" filled="f" stroked="f" coordsize="21600,21600" o:gfxdata="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">
                  <v:fill on="f" focussize="0,0"/>
                  <v:stroke on="f"/>
                  <v:imagedata o:title=""/>
                  <o:lock v:ext="edit" aspectratio="f"/>
                </v:shape>
                <v:shape id="文本框 554" o:spid="_x0000_s1026" o:spt="202" type="#_x0000_t202" style="position:absolute;left:375285;top:48895;height:2622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CxwUvMsAgAAJQ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v:textbox>
                </v:shape>
                <v:line id="直接连接符 555" o:spid="_x0000_s1026" o:spt="20" style="position:absolute;left:1264920;top:196215;height:2540;width:89408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XsJnVAAAABQEAAA8AAAAAAAAAAQAgAAAAIgAAAGRycy9kb3ducmV2LnhtbFBLAQIUABQA&#10;AAAIAIdO4kD+gEX58wEAAKADAAAOAAAAAAAAAAEAIAAAACQBAABkcnMvZTJvRG9jLnhtbFBLBQYA&#10;AAAABgAGAFkBAACJBQAAAAA=&#10;">
                  <v:fill on="f" focussize="0,0"/>
                  <v:stroke weight="0.5pt" color="#000000 [3213]" miterlimit="8" joinstyle="miter" endarrow="block" endarrowwidth="narrow" endarrowlength="long"/>
                  <v:imagedata o:title=""/>
                  <o:lock v:ext="edit" aspectratio="f"/>
                </v:line>
                <v:shape id="文本框 556" o:spid="_x0000_s1026" o:spt="202" type="#_x0000_t202" style="position:absolute;left:1425575;top: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vBVb1wAAAAUBAAAPAAAAAAAAAAEAIAAAACIAAABkcnMvZG93bnJldi54bWxQSwECFAAUAAAACACH&#10;TuJACm/VrSUCAAAhBAAADgAAAAAAAAABACAAAAAm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101.18</w:t>
                        </w:r>
                      </w:p>
                    </w:txbxContent>
                  </v:textbox>
                </v:shape>
                <v:shape id="文本框 557" o:spid="_x0000_s1026" o:spt="202" type="#_x0000_t202" style="position:absolute;left:2171700;top:60325;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KbrZfWAAAABQEAAA8AAAAAAAAAAQAgAAAAIgAAAGRy&#10;cy9kb3ducmV2LnhtbFBLAQIUABQAAAAIAIdO4kA7KjwCQAIAAE4EAAAOAAAAAAAAAAEAIAAAACU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v:textbox>
                </v:shape>
                <v:line id="直接连接符 558" o:spid="_x0000_s1026" o:spt="20" style="position:absolute;left:2862580;top:190500;flip:y;height:9525;width:158178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HC+HLWAAAABQEAAA8AAAAAAAAAAQAgAAAAIgAAAGRycy9kb3ducmV2Lnht&#10;bFBLAQIUABQAAAAIAIdO4kDDNHBD+wEAAKsDAAAOAAAAAAAAAAEAIAAAACUBAABkcnMvZTJvRG9j&#10;LnhtbFBLBQYAAAAABgAGAFkBAACSBQAAAAA=&#10;">
                  <v:fill on="f" focussize="0,0"/>
                  <v:stroke weight="0.5pt" color="#000000 [3213]" miterlimit="8" joinstyle="miter" endarrow="block" endarrowwidth="narrow" endarrowlength="long"/>
                  <v:imagedata o:title=""/>
                  <o:lock v:ext="edit" aspectratio="f"/>
                </v:line>
                <v:shape id="文本框 559" o:spid="_x0000_s1026" o:spt="202" type="#_x0000_t202" style="position:absolute;left:4410710;top:44450;height:2622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lrfkQygCAAAm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v:textbox>
                </v:shape>
                <v:shape id="文本框 560" o:spid="_x0000_s1026" o:spt="202" type="#_x0000_t202" style="position:absolute;left:441325;top:520700;height:2622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GzXT1YpAgAAJg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v:textbox>
                </v:shape>
                <v:line id="直接连接符 561" o:spid="_x0000_s1026" o:spt="20" style="position:absolute;left:1242695;top:676275;height:0;width:129667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ewmdUAAAAFAQAADwAAAAAAAAABACAAAAAiAAAAZHJzL2Rvd25yZXYueG1sUEsBAhQAFAAA&#10;AAgAh07iQLCzg/HyAQAAngMAAA4AAAAAAAAAAQAgAAAAJAEAAGRycy9lMm9Eb2MueG1sUEsFBgAA&#10;AAAGAAYAWQEAAIgFAAAAAA==&#10;">
                  <v:fill on="f" focussize="0,0"/>
                  <v:stroke weight="0.5pt" color="#000000 [3213]" miterlimit="8" joinstyle="miter" endarrow="block" endarrowwidth="narrow" endarrowlength="long"/>
                  <v:imagedata o:title=""/>
                  <o:lock v:ext="edit" aspectratio="f"/>
                </v:line>
                <v:line id="直接连接符 562" o:spid="_x0000_s1026" o:spt="20" style="position:absolute;left:2518410;top:339725;flip:x y;height:333375;width:8255;" filled="f" stroked="t" coordsize="21600,21600" o:gfxdata="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g3VG9YAAAAFAQAADwAAAAAAAAABACAAAAAiAAAAZHJzL2Rvd25y&#10;ZXYueG1sUEsBAhQAFAAAAAgAh07iQFafdJwAAgAAtAMAAA4AAAAAAAAAAQAgAAAAJQEAAGRycy9l&#10;Mm9Eb2MueG1sUEsFBgAAAAAGAAYAWQEAAJcFAAAAAA==&#10;">
                  <v:fill on="f" focussize="0,0"/>
                  <v:stroke weight="0.5pt" color="#000000 [3213]" miterlimit="8" joinstyle="miter" endarrow="block" endarrowwidth="narrow" endarrowlength="long"/>
                  <v:imagedata o:title=""/>
                  <o:lock v:ext="edit" aspectratio="f"/>
                </v:line>
                <v:shape id="文本框 563" o:spid="_x0000_s1026" o:spt="202" type="#_x0000_t202" style="position:absolute;left:1727200;top:46545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9UW9Ly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5.77</w:t>
                        </w:r>
                      </w:p>
                    </w:txbxContent>
                  </v:textbox>
                </v:shape>
                <v:shape id="文本框 564" o:spid="_x0000_s1026" o:spt="202" type="#_x0000_t202" style="position:absolute;left:3775075;top: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8FVvXAAAABQEAAA8AAAAAAAAAAQAgAAAAIgAAAGRycy9kb3ducmV2LnhtbFBLAQIUABQAAAAI&#10;AIdO4kCYBp7EJwIAACEEAAAOAAAAAAAAAAEAIAAAACY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81.95</w:t>
                        </w:r>
                      </w:p>
                    </w:txbxContent>
                  </v:textbox>
                </v:shape>
                <v:line id="直接连接符 565" o:spid="_x0000_s1026" o:spt="20" style="position:absolute;left:3698240;top:208280;height:294005;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B23dyy8AEAAJ0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566" o:spid="_x0000_s1026" o:spt="202" type="#_x0000_t202" style="position:absolute;left:3211195;top:448945;height:262255;width:95948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0/BkXLQIAACY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v:textbox>
                </v:shape>
                <v:shape id="文本框 567" o:spid="_x0000_s1026" o:spt="202" type="#_x0000_t202" style="position:absolute;left:3648710;top:21907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Jfa1nksAgAAJg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w:t>
                        </w:r>
                      </w:p>
                    </w:txbxContent>
                  </v:textbox>
                </v:shape>
                <v:shape id="文本框 568" o:spid="_x0000_s1026" o:spt="202" type="#_x0000_t202" style="position:absolute;left:2838450;top:508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1PZa/igCAAAk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106.95</w:t>
                        </w:r>
                      </w:p>
                    </w:txbxContent>
                  </v:textbox>
                </v:shape>
                <v:shape id="文本框 569" o:spid="_x0000_s1026" o:spt="202" type="#_x0000_t202" style="position:absolute;left:1941830;top:1425575;height:230505;width:833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utl9YAAAAFAQAADwAAAAAAAAABACAAAAAiAAAA&#10;ZHJzL2Rvd25yZXYueG1sUEsBAhQAFAAAAAgAh07iQPriqGJCAgAAUAQAAA4AAAAAAAAAAQAgAAAA&#10;JQ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v:textbox>
                </v:shape>
                <v:line id="直接连接符 570" o:spid="_x0000_s1026" o:spt="20" style="position:absolute;left:785495;top:1553845;height:3810;width:116649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17CZ1QAAAAUBAAAPAAAAAAAAAAEAIAAAACIAAABkcnMvZG93bnJldi54bWxQSwECFAAU&#10;AAAACACHTuJAQprVtvQBAAChAwAADgAAAAAAAAABACAAAAAkAQAAZHJzL2Uyb0RvYy54bWxQSwUG&#10;AAAAAAYABgBZAQAAigUAAAAA&#10;">
                  <v:fill on="f" focussize="0,0"/>
                  <v:stroke weight="0.5pt" color="#000000 [3213]" miterlimit="8" joinstyle="miter" endarrow="block" endarrowwidth="narrow" endarrowlength="long"/>
                  <v:imagedata o:title=""/>
                  <o:lock v:ext="edit" aspectratio="f"/>
                </v:line>
                <v:shape id="文本框 571" o:spid="_x0000_s1026" o:spt="202" type="#_x0000_t202" style="position:absolute;left:1148080;top:1330960;height:262255;width:74549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8YpWLC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514.8</w:t>
                        </w:r>
                      </w:p>
                    </w:txbxContent>
                  </v:textbox>
                </v:shape>
                <v:line id="直接连接符 572" o:spid="_x0000_s1026" o:spt="20" style="position:absolute;left:2783205;top:1553210;height:2540;width:89408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XsJnVAAAABQEAAA8AAAAAAAAAAQAgAAAAIgAAAGRycy9kb3ducmV2LnhtbFBLAQIU&#10;ABQAAAAIAIdO4kDfmneq9gEAAKEDAAAOAAAAAAAAAAEAIAAAACQBAABkcnMvZTJvRG9jLnhtbFBL&#10;BQYAAAAABgAGAFkBAACMBQAAAAA=&#10;">
                  <v:fill on="f" focussize="0,0"/>
                  <v:stroke weight="0.5pt" color="#000000 [3213]" miterlimit="8" joinstyle="miter" endarrow="block" endarrowwidth="narrow" endarrowlength="long"/>
                  <v:imagedata o:title=""/>
                  <o:lock v:ext="edit" aspectratio="f"/>
                </v:line>
                <v:line id="直接连接符 573" o:spid="_x0000_s1026" o:spt="20" style="position:absolute;left:2214245;top:1327150;flip:y;height:102870;width:46799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cL4ctYAAAAFAQAADwAAAAAAAAABACAAAAAiAAAAZHJzL2Rvd25yZXYu&#10;eG1sUEsBAhQAFAAAAAgAh07iQHfo6l79AQAArQMAAA4AAAAAAAAAAQAgAAAAJQEAAGRycy9lMm9E&#10;b2MueG1sUEsFBgAAAAAGAAYAWQEAAJQFAAAAAA==&#10;">
                  <v:fill on="f" focussize="0,0"/>
                  <v:stroke weight="0.5pt" color="#000000 [3213]" miterlimit="8" joinstyle="miter" endarrow="block" endarrowwidth="narrow" endarrowlength="long"/>
                  <v:imagedata o:title=""/>
                  <o:lock v:ext="edit" aspectratio="f"/>
                </v:line>
                <v:shape id="文本框 574" o:spid="_x0000_s1026" o:spt="202" type="#_x0000_t202" style="position:absolute;left:2616200;top:118491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IWiLD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损耗51.48</w:t>
                        </w:r>
                      </w:p>
                    </w:txbxContent>
                  </v:textbox>
                </v:shape>
                <v:shape id="文本框 575" o:spid="_x0000_s1026" o:spt="202" type="#_x0000_t202" style="position:absolute;left:2886710;top:136207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CvHVV3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463.32</w:t>
                        </w:r>
                      </w:p>
                    </w:txbxContent>
                  </v:textbox>
                </v:shape>
                <v:shape id="文本框 576" o:spid="_x0000_s1026" o:spt="202" type="#_x0000_t202" style="position:absolute;left:3672205;top:1449705;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utl9YAAAAFAQAADwAAAAAAAAABACAAAAAiAAAAZHJz&#10;L2Rvd25yZXYueG1sUEsBAhQAFAAAAAgAh07iQGm1b4U/AgAAUAQAAA4AAAAAAAAAAQAgAAAAJQ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v:textbox>
                </v:shape>
                <v:shape id="文本框 577" o:spid="_x0000_s1026" o:spt="202" type="#_x0000_t202" style="position:absolute;left:4346575;top:137033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JQ5n6E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531.96</w:t>
                        </w:r>
                      </w:p>
                    </w:txbxContent>
                  </v:textbox>
                </v:shape>
                <v:line id="直接连接符 578" o:spid="_x0000_s1026" o:spt="20" style="position:absolute;left:4354830;top:1576705;height:3175;width:69278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dewmdUAAAAFAQAADwAAAAAAAAABACAAAAAiAAAAZHJzL2Rvd25yZXYueG1sUEsBAhQA&#10;FAAAAAgAh07iQOezQaf1AQAAoQMAAA4AAAAAAAAAAQAgAAAAJAEAAGRycy9lMm9Eb2MueG1sUEsF&#10;BgAAAAAGAAYAWQEAAIsFAAAAAA==&#10;">
                  <v:fill on="f" focussize="0,0"/>
                  <v:stroke weight="0.5pt" color="#000000 [3213]" miterlimit="8" joinstyle="miter" endarrow="block" endarrowwidth="narrow" endarrowlength="long"/>
                  <v:imagedata o:title=""/>
                  <o:lock v:ext="edit" aspectratio="f"/>
                </v:line>
                <v:shape id="文本框 579" o:spid="_x0000_s1026" o:spt="202" type="#_x0000_t202" style="position:absolute;left:5029835;top:1386205;height:4527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pEIPpS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v:textbox>
                </v:shape>
                <v:line id="直接连接符 580" o:spid="_x0000_s1026" o:spt="20" style="position:absolute;left:777875;top:2578100;flip:y;height:1270;width:121412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wvhy1gAAAAUBAAAPAAAAAAAAAAEAIAAAACIAAABkcnMvZG93bnJldi54bWxQ&#10;SwECFAAUAAAACACHTuJAHh9xkfkBAACrAwAADgAAAAAAAAABACAAAAAlAQAAZHJzL2Uyb0RvYy54&#10;bWxQSwUGAAAAAAYABgBZAQAAkAU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1154430;top:2379980;height:262255;width:56388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xygSki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2062.5</w:t>
                        </w:r>
                      </w:p>
                    </w:txbxContent>
                  </v:textbox>
                </v:shape>
                <v:shape id="文本框 582" o:spid="_x0000_s1026" o:spt="202" type="#_x0000_t202" style="position:absolute;left:1965960;top:2425700;height:248920;width:1087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utl9YAAAAFAQAADwAAAAAAAAABACAAAAAiAAAAZHJz&#10;L2Rvd25yZXYueG1sUEsBAhQAFAAAAAgAh07iQJ9c8R0/AgAAUQQAAA4AAAAAAAAAAQAgAAAAJQ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软水制备系统</w:t>
                        </w:r>
                      </w:p>
                    </w:txbxContent>
                  </v:textbox>
                </v:shape>
                <v:shape id="文本框 583" o:spid="_x0000_s1026" o:spt="202" type="#_x0000_t202" style="position:absolute;left:1849120;top:3023235;height:267970;width:144335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brZfWAAAABQEAAA8AAAAAAAAAAQAgAAAAIgAA&#10;AGRycy9kb3ducmV2LnhtbFBLAQIUABQAAAAIAIdO4kAX+P9kQwIAAFEEAAAOAAAAAAAAAAEAIAAA&#10;ACU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v:textbox>
                </v:shape>
                <v:line id="直接连接符 584" o:spid="_x0000_s1026" o:spt="20" style="position:absolute;left:2495550;top:2684145;height:365125;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17CZ1QAAAAUBAAAPAAAAAAAAAAEAIAAAACIAAABkcnMvZG93bnJldi54bWxQSwECFAAUAAAA&#10;CACHTuJAAYRd6/EBAACeAwAADgAAAAAAAAABACAAAAAkAQAAZHJzL2Uyb0RvYy54bWxQSwUGAAAA&#10;AAYABgBZAQAAhwUAAAAA&#10;">
                  <v:fill on="f" focussize="0,0"/>
                  <v:stroke weight="0.5pt" color="#000000 [3213]" miterlimit="8" joinstyle="miter" endarrow="block" endarrowwidth="narrow" endarrowlength="long"/>
                  <v:imagedata o:title=""/>
                  <o:lock v:ext="edit" aspectratio="f"/>
                </v:line>
                <v:shape id="文本框 585" o:spid="_x0000_s1026" o:spt="202" type="#_x0000_t202" style="position:absolute;left:2446655;top:271335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znpyGS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1650</w:t>
                        </w:r>
                      </w:p>
                    </w:txbxContent>
                  </v:textbox>
                </v:shape>
                <v:line id="直接连接符 586" o:spid="_x0000_s1026" o:spt="20" style="position:absolute;left:2470150;top:3300730;height:243840;width:635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CrJhBL8AEAAKEDAAAOAAAAAAAAAAEAIAAAACQBAABkcnMvZTJvRG9jLnhtbFBLBQYAAAAA&#10;BgAGAFkBAACGBQAAAAA=&#10;">
                  <v:fill on="f" focussize="0,0"/>
                  <v:stroke weight="0.5pt" color="#000000 [3213]" miterlimit="8" joinstyle="miter" endarrow="block" endarrowwidth="narrow" endarrowlength="long"/>
                  <v:imagedata o:title=""/>
                  <o:lock v:ext="edit" aspectratio="f"/>
                </v:line>
                <v:line id="直接连接符 587" o:spid="_x0000_s1026" o:spt="20" style="position:absolute;left:1327785;top:3533140;flip:x;height:0;width:1162685;"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w4ou2AAAAAUBAAAPAAAAAAAAAAEAIAAAACIAAABkcnMvZG93bnJldi54bWxQ&#10;SwECFAAUAAAACACHTuJAdZav2vcBAAClAwAADgAAAAAAAAABACAAAAAnAQAAZHJzL2Uyb0RvYy54&#10;bWxQSwUGAAAAAAYABgBZAQAAkAUAAAAA&#10;">
                  <v:fill on="f" focussize="0,0"/>
                  <v:stroke weight="0.5pt" color="#000000 [3213]" miterlimit="8" joinstyle="miter" endarrowwidth="narrow" endarrowlength="long"/>
                  <v:imagedata o:title=""/>
                  <o:lock v:ext="edit" aspectratio="f"/>
                </v:line>
                <v:line id="直接连接符 588" o:spid="_x0000_s1026" o:spt="20" style="position:absolute;left:1329055;top:3239770;flip:y;height:301625;width:0;"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3Dii7YAAAABQEAAA8AAAAAAAAAAQAgAAAAIgAAAGRycy9kb3ducmV2LnhtbFBL&#10;AQIUABQAAAAIAIdO4kD8JAY49gEAAKQDAAAOAAAAAAAAAAEAIAAAACcBAABkcnMvZTJvRG9jLnht&#10;bFBLBQYAAAAABgAGAFkBAACPBQAAAAA=&#10;">
                  <v:fill on="f" focussize="0,0"/>
                  <v:stroke weight="0.5pt" color="#000000 [3213]" miterlimit="8" joinstyle="miter" endarrowwidth="narrow" endarrowlength="long"/>
                  <v:imagedata o:title=""/>
                  <o:lock v:ext="edit" aspectratio="f"/>
                </v:line>
                <v:line id="直接连接符 589" o:spid="_x0000_s1026" o:spt="20" style="position:absolute;left:1314450;top:3256280;height:0;width:53340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17CZ1QAAAAUBAAAPAAAAAAAAAAEAIAAAACIAAABkcnMvZG93bnJldi54bWxQSwECFAAUAAAA&#10;CACHTuJATBGBwvEBAACeAwAADgAAAAAAAAABACAAAAAkAQAAZHJzL2Uyb0RvYy54bWxQSwUGAAAA&#10;AAYABgBZAQAAhwUAAAAA&#10;">
                  <v:fill on="f" focussize="0,0"/>
                  <v:stroke weight="0.5pt" color="#000000 [3213]" miterlimit="8" joinstyle="miter" endarrow="block" endarrowwidth="narrow" endarrowlength="long"/>
                  <v:imagedata o:title=""/>
                  <o:lock v:ext="edit" aspectratio="f"/>
                </v:line>
                <v:shape id="文本框 590" o:spid="_x0000_s1026" o:spt="202" type="#_x0000_t202" style="position:absolute;left:1575435;top:3334385;height:262255;width:69723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HQzhg4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1899150</w:t>
                        </w:r>
                      </w:p>
                    </w:txbxContent>
                  </v:textbox>
                </v:shape>
                <v:line id="直接连接符 591" o:spid="_x0000_s1026" o:spt="20" style="position:absolute;left:3053080;top:2550160;height:1270;width:199453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17CZ1QAAAAUBAAAPAAAAAAAAAAEAIAAAACIAAABkcnMv&#10;ZG93bnJldi54bWxQSwECFAAUAAAACACHTuJAUkWrcwYCAADKAwAADgAAAAAAAAABACAAAAAkAQAA&#10;ZHJzL2Uyb0RvYy54bWxQSwUGAAAAAAYABgBZAQAAnAUAAAAA&#10;">
                  <v:fill on="f" focussize="0,0"/>
                  <v:stroke weight="0.5pt" color="#000000 [3213]" miterlimit="8" joinstyle="miter" endarrow="block" endarrowwidth="narrow" endarrowlength="long"/>
                  <v:imagedata o:title=""/>
                  <o:lock v:ext="edit" aspectratio="f"/>
                </v:line>
                <v:line id="直接连接符 592" o:spid="_x0000_s1026" o:spt="20" style="position:absolute;left:5000625;top:2560955;flip:x;height:2561590;width:1905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wvhy1gAAAAUBAAAPAAAAAAAAAAEAIAAAACIAAABkcnMvZG93bnJldi54&#10;bWxQSwECFAAUAAAACACHTuJAM7OOkvwBAACtAwAADgAAAAAAAAABACAAAAAlAQAAZHJzL2Uyb0Rv&#10;Yy54bWxQSwUGAAAAAAYABgBZAQAAkwUAAAAA&#10;">
                  <v:fill on="f" focussize="0,0"/>
                  <v:stroke weight="0.5pt" color="#000000 [3213]" miterlimit="8" joinstyle="miter" endarrow="block" endarrowwidth="narrow" endarrowlength="long"/>
                  <v:imagedata o:title=""/>
                  <o:lock v:ext="edit" aspectratio="f"/>
                </v:line>
                <v:shape id="文本框 593" o:spid="_x0000_s1026" o:spt="202" type="#_x0000_t202" style="position:absolute;left:1965960;top:3964940;height:230505;width:137223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brZfWAAAABQEAAA8AAAAAAAAAAQAgAAAAIgAA&#10;AGRycy9kb3ducmV2LnhtbFBLAQIUABQAAAAIAIdO4kBNMLDJQwIAAFEEAAAOAAAAAAAAAAEAIAAA&#10;ACU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v:textbox>
                </v:shape>
                <v:line id="直接连接符 594" o:spid="_x0000_s1026" o:spt="20" style="position:absolute;left:777875;top:4093845;height:3175;width:119634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17CZ1QAAAAUBAAAPAAAAAAAAAAEAIAAAACIAAABkcnMvZG93bnJldi54bWxQSwECFAAU&#10;AAAACACHTuJA8piHw/QBAAChAwAADgAAAAAAAAABACAAAAAkAQAAZHJzL2Uyb0RvYy54bWxQSwUG&#10;AAAAAAYABgBZAQAAigUAAAAA&#10;">
                  <v:fill on="f" focussize="0,0"/>
                  <v:stroke weight="0.5pt" color="#000000 [3213]" miterlimit="8" joinstyle="miter" endarrow="block" endarrowwidth="narrow" endarrowlength="long"/>
                  <v:imagedata o:title=""/>
                  <o:lock v:ext="edit" aspectratio="f"/>
                </v:line>
                <v:shape id="文本框 595" o:spid="_x0000_s1026" o:spt="202" type="#_x0000_t202" style="position:absolute;left:1219835;top:388683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C+dsVx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71280</w:t>
                        </w:r>
                      </w:p>
                    </w:txbxContent>
                  </v:textbox>
                </v:shape>
                <v:line id="直接连接符 596" o:spid="_x0000_s1026" o:spt="20" style="position:absolute;left:1491615;top:4087495;flip:y;height:452755;width: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F1z4dn6AQAAqAMAAA4AAAAAAAAAAQAgAAAAJQEAAGRycy9lMm9Eb2Mu&#10;eG1sUEsFBgAAAAAGAAYAWQEAAJEFAAAAAA==&#10;">
                  <v:fill on="f" focussize="0,0"/>
                  <v:stroke weight="0.5pt" color="#000000 [3213]" miterlimit="8" joinstyle="miter" endarrow="block" endarrowwidth="narrow" endarrowlength="long"/>
                  <v:imagedata o:title=""/>
                  <o:lock v:ext="edit" aspectratio="f"/>
                </v:line>
                <v:line id="直接连接符 597" o:spid="_x0000_s1026" o:spt="20" style="position:absolute;left:1483995;top:4523740;flip:x;height:635;width:1158240;"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3Dii7YAAAABQEAAA8AAAAAAAAAAQAgAAAAIgAAAGRycy9kb3ducmV2LnhtbFBL&#10;AQIUABQAAAAIAIdO4kAoJB6X9gEAAKcDAAAOAAAAAAAAAAEAIAAAACcBAABkcnMvZTJvRG9jLnht&#10;bFBLBQYAAAAABgAGAFkBAACPBQAAAAA=&#10;">
                  <v:fill on="f" focussize="0,0"/>
                  <v:stroke weight="0.5pt" color="#000000 [3213]" miterlimit="8" joinstyle="miter" endarrowwidth="narrow" endarrowlength="long"/>
                  <v:imagedata o:title=""/>
                  <o:lock v:ext="edit" aspectratio="f"/>
                </v:line>
                <v:line id="直接连接符 598" o:spid="_x0000_s1026" o:spt="20" style="position:absolute;left:2650490;top:4195445;flip:x;height:360680;width:190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wvhy1gAAAAUBAAAPAAAAAAAAAAEAIAAA&#10;ACIAAABkcnMvZG93bnJldi54bWxQSwECFAAUAAAACACHTuJAMccRfg4CAADT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599" o:spid="_x0000_s1026" o:spt="202" type="#_x0000_t202" style="position:absolute;left:1584960;top:4331335;height:262255;width:9436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xumAHS4CAAAn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11808720</w:t>
                        </w:r>
                      </w:p>
                    </w:txbxContent>
                  </v:textbox>
                </v:shape>
                <v:line id="直接连接符 600" o:spid="_x0000_s1026" o:spt="20" style="position:absolute;left:2652395;top:3836035;flip:y;height:128905;width:54610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C+HLWAAAABQEAAA8AAAAAAAAAAQAgAAAA&#10;IgAAAGRycy9kb3ducmV2LnhtbFBLAQIUABQAAAAIAIdO4kCkc99ODQIAANU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601" o:spid="_x0000_s1026" o:spt="202" type="#_x0000_t202" style="position:absolute;left:3180715;top:369570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Bix3VyKgIAACg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损耗59400</w:t>
                        </w:r>
                      </w:p>
                    </w:txbxContent>
                  </v:textbox>
                </v:shape>
                <v:line id="直接连接符 602" o:spid="_x0000_s1026" o:spt="20" style="position:absolute;left:2571115;top:2937510;flip:y;height:85725;width:51943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L4ctYAAAAFAQAADwAAAAAAAAABACAAAAAi&#10;AAAAZHJzL2Rvd25yZXYueG1sUEsBAhQAFAAAAAgAh07iQCLX2F0MAgAA1A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文本框 603" o:spid="_x0000_s1026" o:spt="202" type="#_x0000_t202" style="position:absolute;left:3045460;top:2679700;height:261620;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DyBgbw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损耗1320</w:t>
                        </w:r>
                      </w:p>
                    </w:txbxContent>
                  </v:textbox>
                </v:shape>
                <v:shape id="文本框 604" o:spid="_x0000_s1026" o:spt="202" type="#_x0000_t202" style="position:absolute;left:1779270;top:2005330;height:287020;width:144335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&#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m62X1gAAAAUBAAAPAAAAAAAAAAEAIAAAACIAAABk&#10;cnMvZG93bnJldi54bWxQSwECFAAUAAAACACHTuJALdJAB0ECAABRBAAADgAAAAAAAAABACAAAAAl&#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v:textbox>
                </v:shape>
                <v:line id="直接连接符 658" o:spid="_x0000_s1026" o:spt="20" style="position:absolute;left:4093845;top:2162810;flip:x y;height:388620;width:1905;" filled="f" stroked="t" coordsize="21600,21600" o:gfxdata="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DdUb1gAAAAUBAAAPAAAAAAAAAAEAIAAAACIAAABkcnMvZG93&#10;bnJldi54bWxQSwECFAAUAAAACACHTuJAAlqirQICAAC1AwAADgAAAAAAAAABACAAAAAlAQAAZHJz&#10;L2Uyb0RvYy54bWxQSwUGAAAAAAYABgBZAQAAmQUAAAAA&#10;">
                  <v:fill on="f" focussize="0,0"/>
                  <v:stroke weight="0.5pt" color="#000000 [3213]" miterlimit="8" joinstyle="miter" endarrow="block" endarrowwidth="narrow" endarrowlength="long"/>
                  <v:imagedata o:title=""/>
                  <o:lock v:ext="edit" aspectratio="f"/>
                </v:line>
                <v:line id="直接连接符 659" o:spid="_x0000_s1026" o:spt="20" style="position:absolute;left:3215640;top:2165350;flip:x;height:3175;width:88519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HC+HLWAAAABQEAAA8AAAAAAAAAAQAgAAAAIgAAAGRycy9kb3ducmV2Lnht&#10;bFBLAQIUABQAAAAIAIdO4kAKILrP+wEAAKsDAAAOAAAAAAAAAAEAIAAAACUBAABkcnMvZTJvRG9j&#10;LnhtbFBLBQYAAAAABgAGAFkBAACSBQAAAAA=&#10;">
                  <v:fill on="f" focussize="0,0"/>
                  <v:stroke weight="0.5pt" color="#000000 [3213]" miterlimit="8" joinstyle="miter" endarrow="block" endarrowwidth="narrow" endarrowlength="long"/>
                  <v:imagedata o:title=""/>
                  <o:lock v:ext="edit" aspectratio="f"/>
                </v:line>
                <v:shape id="文本框 660" o:spid="_x0000_s1026" o:spt="202" type="#_x0000_t202" style="position:absolute;left:3387725;top:212725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HSPBn0pAgAAJw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70.38</w:t>
                        </w:r>
                      </w:p>
                    </w:txbxContent>
                  </v:textbox>
                </v:shape>
                <v:shape id="文本框 661" o:spid="_x0000_s1026" o:spt="202" type="#_x0000_t202" style="position:absolute;left:3103880;top:234315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Cz/CBxKgIAACc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412.5</w:t>
                        </w:r>
                      </w:p>
                    </w:txbxContent>
                  </v:textbox>
                </v:shape>
                <v:shape id="文本框 662" o:spid="_x0000_s1026" o:spt="202" type="#_x0000_t202" style="position:absolute;left:4208780;top:231711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oaNVIC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v:textbox>
                </v:shape>
                <v:line id="直接连接符 663" o:spid="_x0000_s1026" o:spt="20" style="position:absolute;left:3292475;top:3154680;flip:y;height:2540;width:170307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C+HLWAAAABQEAAA8AAAAAAAAAAQAgAAAA&#10;IgAAAGRycy9kb3ducmV2LnhtbFBLAQIUABQAAAAIAIdO4kAVESgTDQIAANQ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664" o:spid="_x0000_s1026" o:spt="202" type="#_x0000_t202" style="position:absolute;left:4266565;top:295910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KMA6ug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v:textbox>
                </v:shape>
                <v:line id="直接连接符 665" o:spid="_x0000_s1026" o:spt="20" style="position:absolute;left:3338195;top:4080510;height:2540;width:168592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dewmdUAAAAFAQAADwAAAAAAAAABACAAAAAiAAAAZHJz&#10;L2Rvd25yZXYueG1sUEsBAhQAFAAAAAgAh07iQABuNKIHAgAAygMAAA4AAAAAAAAAAQAgAAAAJAEA&#10;AGRycy9lMm9Eb2MueG1sUEsFBgAAAAAGAAYAWQEAAJ0FAAAAAA==&#10;">
                  <v:fill on="f" focussize="0,0"/>
                  <v:stroke weight="0.5pt" color="#000000 [3213]" miterlimit="8" joinstyle="miter" endarrow="block" endarrowwidth="narrow" endarrowlength="long"/>
                  <v:imagedata o:title=""/>
                  <o:lock v:ext="edit" aspectratio="f"/>
                </v:line>
                <v:shape id="文本框 666" o:spid="_x0000_s1026" o:spt="202" type="#_x0000_t202" style="position:absolute;left:4134485;top:3904615;height:262255;width:74549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7wVW9cAAAAFAQAADwAAAAAAAAABACAAAAAiAAAAZHJzL2Rvd25yZXYueG1sUEsB&#10;AhQAFAAAAAgAh07iQD1/+4MvAgAAJwQAAA4AAAAAAAAAAQAgAAAAJ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11880</w:t>
                        </w:r>
                      </w:p>
                    </w:txbxContent>
                  </v:textbox>
                </v:shape>
                <v:shape id="文本框 670" o:spid="_x0000_s1026" o:spt="202" type="#_x0000_t202" style="position:absolute;left:4931410;top:4363085;height:262255;width:737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DSoW6/KgIAACc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12552.12</w:t>
                        </w:r>
                      </w:p>
                    </w:txbxContent>
                  </v:textbox>
                </v:shape>
                <v:shape id="文本框 673" o:spid="_x0000_s1026" o:spt="202" type="#_x0000_t202" style="position:absolute;left:4657725;top:5119370;height:262255;width:73088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Ap6kTX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清下水</w:t>
                        </w:r>
                      </w:p>
                    </w:txbxContent>
                  </v:textbox>
                </v:shape>
                <v:line id="直接连接符 674" o:spid="_x0000_s1026" o:spt="20" style="position:absolute;left:772160;top:1104900;height:2988945;width:13335;" filled="f" stroked="t" coordsize="21600,21600" o:gfxdata="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471dYAAAAFAQAADwAAAAAAAAABACAAAAAiAAAAZHJzL2Rvd25yZXYueG1sUEsBAhQA&#10;FAAAAAgAh07iQC/MHpn0AQAAngMAAA4AAAAAAAAAAQAgAAAAJQEAAGRycy9lMm9Eb2MueG1sUEsF&#10;BgAAAAAGAAYAWQEAAIsFAAAAAA==&#10;">
                  <v:fill on="f" focussize="0,0"/>
                  <v:stroke weight="0.5pt" color="#000000 [3213]" miterlimit="8" joinstyle="miter" endarrowwidth="narrow" endarrowlength="long"/>
                  <v:imagedata o:title=""/>
                  <o:lock v:ext="edit" aspectratio="f"/>
                </v:line>
                <v:line id="直接连接符 675" o:spid="_x0000_s1026" o:spt="20" style="position:absolute;left:39370;top:2839720;flip:y;height:1905;width:73025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GuE71D6AQAAq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6" o:spid="_x0000_s1026" o:spt="202" type="#_x0000_t202" style="position:absolute;left:0;top:262445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vBVb1wAAAAUBAAAPAAAAAAAAAAEAIAAAACIAAABkcnMvZG93bnJldi54bWxQSwECFAAUAAAACACH&#10;TuJAfMItfyUCAAAhBAAADgAAAAAAAAABACAAAAAm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73943.1</w:t>
                        </w:r>
                      </w:p>
                    </w:txbxContent>
                  </v:textbox>
                </v:shape>
                <v:shape id="文本框 677" o:spid="_x0000_s1026" o:spt="202" type="#_x0000_t202" style="position:absolute;left:0;top:283908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pExhRSgCAAAh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v:textbox>
                </v:shape>
                <v:line id="直接连接符 678" o:spid="_x0000_s1026" o:spt="20" style="position:absolute;left:2446655;top:1884045;flip:y;height:113665;width:28638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AvLUev6AQAAr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9" o:spid="_x0000_s1026" o:spt="202" type="#_x0000_t202" style="position:absolute;left:2676525;top:1730375;height:261620;width:133286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In0rti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废气带走16.60</w:t>
                        </w:r>
                      </w:p>
                    </w:txbxContent>
                  </v:textbox>
                </v:shape>
                <v:line id="直接连接符 680" o:spid="_x0000_s1026" o:spt="20" style="position:absolute;left:3236595;top:2061210;height:0;width:86360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BAiRLV8AEAAJ4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681" o:spid="_x0000_s1026" o:spt="202" type="#_x0000_t202" style="position:absolute;left:4084955;top:1900555;height:262255;width:163512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OIG5xE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进入脱硫石膏133.07</w:t>
                        </w:r>
                      </w:p>
                    </w:txbxContent>
                  </v:textbox>
                </v:shape>
                <v:shape id="文本框 7" o:spid="_x0000_s1026" o:spt="202" type="#_x0000_t202" style="position:absolute;left:1941830;top:5742305;height:329565;width:233934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DtDT62LQIAACY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图3.3.2-2 二期项目水平衡图 t/a</w:t>
                        </w:r>
                      </w:p>
                    </w:txbxContent>
                  </v:textbox>
                </v:shape>
                <v:line id="直接连接符 730" o:spid="_x0000_s1026" o:spt="20" style="position:absolute;left:764540;top:1104900;height:0;width:116649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ewmdUAAAAFAQAADwAAAAAAAAABACAAAAAiAAAAZHJzL2Rvd25yZXYueG1sUEsBAhQAFAAA&#10;AAgAh07iQBZbjQbyAQAAngMAAA4AAAAAAAAAAQAgAAAAJAEAAGRycy9lMm9Eb2MueG1sUEsFBgAA&#10;AAAGAAYAWQEAAIgFAAAAAA==&#10;">
                  <v:fill on="f" focussize="0,0"/>
                  <v:stroke weight="0.5pt" color="#000000 [3213]" miterlimit="8" joinstyle="miter" endarrow="block" endarrowwidth="narrow" endarrowlength="long"/>
                  <v:imagedata o:title=""/>
                  <o:lock v:ext="edit" aspectratio="f"/>
                </v:line>
                <v:shape id="文本框 571" o:spid="_x0000_s1026" o:spt="202" type="#_x0000_t202" style="position:absolute;left:1116330;top:91821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E7saQkpAgAAJg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85.8</w:t>
                        </w:r>
                      </w:p>
                    </w:txbxContent>
                  </v:textbox>
                </v:shape>
                <v:shape id="文本框 569" o:spid="_x0000_s1026" o:spt="202" type="#_x0000_t202" style="position:absolute;left:1925955;top:981710;height:230505;width:833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m62X1gAAAAUBAAAPAAAAAAAAAAEAIAAAACIAAABk&#10;cnMvZG93bnJldi54bWxQSwECFAAUAAAACACHTuJA07o4pEECAABPBAAADgAAAAAAAAABACAAAAAl&#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食堂用水</w:t>
                        </w:r>
                      </w:p>
                    </w:txbxContent>
                  </v:textbox>
                </v:shape>
                <v:line id="直接连接符 733" o:spid="_x0000_s1026" o:spt="20" style="position:absolute;left:2342515;top:873760;flip:y;height:107950;width:58864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wvhy1gAAAAUBAAAPAAAAAAAAAAEAIAAA&#10;ACIAAABkcnMvZG93bnJldi54bWxQSwECFAAUAAAACACHTuJAzopjgw4CAADUAwAADgAAAAAAAAAB&#10;ACAAAAAlAQAAZHJzL2Uyb0RvYy54bWxQSwUGAAAAAAYABgBZAQAApQUAAAAA&#10;">
                  <v:fill on="f" focussize="0,0"/>
                  <v:stroke weight="0.5pt" color="#000000 [3213]" miterlimit="8" joinstyle="miter" endarrow="block" endarrowwidth="narrow" endarrowlength="long"/>
                  <v:imagedata o:title=""/>
                  <o:lock v:ext="edit" aspectratio="f"/>
                </v:line>
                <v:shape id="文本框 574" o:spid="_x0000_s1026" o:spt="202" type="#_x0000_t202" style="position:absolute;left:2886075;top:73533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CSvSUX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损耗17.16</w:t>
                        </w:r>
                      </w:p>
                    </w:txbxContent>
                  </v:textbox>
                </v:shape>
                <v:line id="直接连接符 735" o:spid="_x0000_s1026" o:spt="20" style="position:absolute;left:2759075;top:1097280;height:635;width:89471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XsJnVAAAABQEAAA8AAAAAAAAAAQAgAAAAIgAAAGRycy9kb3du&#10;cmV2LnhtbFBLAQIUABQAAAAIAIdO4kDTaB+zAgIAAMgDAAAOAAAAAAAAAAEAIAAAACQBAABkcnMv&#10;ZTJvRG9jLnhtbFBLBQYAAAAABgAGAFkBAACYBQAAAAA=&#10;">
                  <v:fill on="f" focussize="0,0"/>
                  <v:stroke weight="0.5pt" color="#000000 [3213]" miterlimit="8" joinstyle="miter" endarrow="block" endarrowwidth="narrow" endarrowlength="long"/>
                  <v:imagedata o:title=""/>
                  <o:lock v:ext="edit" aspectratio="f"/>
                </v:line>
                <v:shape id="文本框 576" o:spid="_x0000_s1026" o:spt="202" type="#_x0000_t202" style="position:absolute;left:3656330;top:965200;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utl9YAAAAFAQAADwAAAAAAAAABACAAAAAiAAAAZHJz&#10;L2Rvd25yZXYueG1sUEsBAhQAFAAAAAgAh07iQIueeWM/AgAATwQAAA4AAAAAAAAAAQAgAAAAJQ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w:t>
                        </w:r>
                      </w:p>
                    </w:txbxContent>
                  </v:textbox>
                </v:shape>
                <v:line id="直接连接符 737" o:spid="_x0000_s1026" o:spt="20" style="position:absolute;left:4018915;top:1237615;height:214630;width:762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17CZ1QAAAAUBAAAPAAAAAAAAAAEAIAAAACIAAABkcnMvZG93bnJldi54bWxQSwEC&#10;FAAUAAAACACHTuJAXy4JMvcBAAChAwAADgAAAAAAAAABACAAAAAkAQAAZHJzL2Uyb0RvYy54bWxQ&#10;SwUGAAAAAAYABgBZAQAAjQUAAAAA&#10;">
                  <v:fill on="f" focussize="0,0"/>
                  <v:stroke weight="0.5pt" color="#000000 [3213]" miterlimit="8" joinstyle="miter" endarrow="block" endarrowwidth="narrow" endarrowlength="long"/>
                  <v:imagedata o:title=""/>
                  <o:lock v:ext="edit" aspectratio="f"/>
                </v:line>
                <v:shape id="文本框 575" o:spid="_x0000_s1026" o:spt="202" type="#_x0000_t202" style="position:absolute;left:2981325;top:91757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Cf/NwjKgIAACY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68.64</w:t>
                        </w:r>
                      </w:p>
                    </w:txbxContent>
                  </v:textbox>
                </v:shape>
                <v:shape id="文本框 575" o:spid="_x0000_s1026" o:spt="202" type="#_x0000_t202" style="position:absolute;left:3973830;top:121158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JIZ4gQ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68.64</w:t>
                        </w:r>
                      </w:p>
                    </w:txbxContent>
                  </v:textbox>
                </v:shape>
                <v:line id="直接连接符 123" o:spid="_x0000_s1026" o:spt="20" style="position:absolute;left:1438910;top:2148840;flip:y;height:2540;width:34036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wvhy1gAAAAUBAAAPAAAAAAAAAAEAIAAAACIA&#10;AABkcnMvZG93bnJldi54bWxQSwECFAAUAAAACACHTuJAB6VEnAsCAADUAwAADgAAAAAAAAABACAA&#10;AAAlAQAAZHJzL2Uyb0RvYy54bWxQSwUGAAAAAAYABgBZAQAAogU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782955;top:1941830;height:400685;width:74485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B2MQjVKgIAACY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废气带入81.95</w:t>
                        </w:r>
                      </w:p>
                    </w:txbxContent>
                  </v:textbox>
                </v:shape>
                <w10:wrap type="none"/>
                <w10:anchorlock/>
              </v:group>
            </w:pict>
          </mc:Fallback>
        </mc:AlternateContent>
      </w:r>
    </w:p>
    <w:p>
      <w:pPr>
        <w:pStyle w:val="27"/>
        <w:bidi w:val="0"/>
        <w:rPr>
          <w:rFonts w:hint="eastAsia"/>
          <w:lang w:val="en-US" w:eastAsia="zh-CN"/>
        </w:rPr>
      </w:pPr>
      <w:r>
        <w:rPr>
          <w:rFonts w:hint="eastAsia"/>
          <w:lang w:val="en-US" w:eastAsia="zh-CN"/>
        </w:rPr>
        <w:t>表3.3.2-4 项目全厂用排水一览表 单位：m</w:t>
      </w:r>
      <w:r>
        <w:rPr>
          <w:rFonts w:hint="eastAsia"/>
          <w:vertAlign w:val="superscript"/>
          <w:lang w:val="en-US" w:eastAsia="zh-CN"/>
        </w:rPr>
        <w:t>3</w:t>
      </w:r>
      <w:r>
        <w:rPr>
          <w:rFonts w:hint="eastAsia"/>
          <w:lang w:val="en-US" w:eastAsia="zh-CN"/>
        </w:rPr>
        <w:t>/a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363"/>
        <w:gridCol w:w="1050"/>
        <w:gridCol w:w="1410"/>
        <w:gridCol w:w="1065"/>
        <w:gridCol w:w="1035"/>
        <w:gridCol w:w="2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用水单元</w:t>
            </w:r>
          </w:p>
        </w:tc>
        <w:tc>
          <w:tcPr>
            <w:tcW w:w="3823" w:type="dxa"/>
            <w:gridSpan w:val="3"/>
            <w:vAlign w:val="center"/>
          </w:tcPr>
          <w:p>
            <w:pPr>
              <w:pStyle w:val="28"/>
              <w:suppressLineNumbers w:val="0"/>
              <w:bidi w:val="0"/>
              <w:spacing w:before="0" w:after="0"/>
              <w:ind w:left="0" w:right="0"/>
              <w:rPr>
                <w:rFonts w:hint="default"/>
                <w:lang w:val="en-US" w:eastAsia="zh-CN"/>
              </w:rPr>
            </w:pPr>
            <w:r>
              <w:rPr>
                <w:rFonts w:hint="eastAsia"/>
                <w:lang w:val="en-US" w:eastAsia="zh-CN"/>
              </w:rPr>
              <w:t>用水量</w:t>
            </w:r>
          </w:p>
        </w:tc>
        <w:tc>
          <w:tcPr>
            <w:tcW w:w="1065"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损耗</w:t>
            </w:r>
          </w:p>
        </w:tc>
        <w:tc>
          <w:tcPr>
            <w:tcW w:w="1035"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w:t>
            </w:r>
          </w:p>
        </w:tc>
        <w:tc>
          <w:tcPr>
            <w:tcW w:w="2591"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Merge w:val="continue"/>
            <w:vAlign w:val="center"/>
          </w:tcPr>
          <w:p>
            <w:pPr>
              <w:pStyle w:val="28"/>
              <w:suppressLineNumbers w:val="0"/>
              <w:bidi w:val="0"/>
              <w:spacing w:before="0" w:after="0"/>
              <w:ind w:left="0" w:right="0"/>
              <w:outlineLvl w:val="9"/>
              <w:rPr>
                <w:rFonts w:hint="default"/>
                <w:lang w:val="en-US" w:eastAsia="zh-CN"/>
              </w:rPr>
            </w:pP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总用水</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新鲜水</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回用水</w:t>
            </w:r>
          </w:p>
        </w:tc>
        <w:tc>
          <w:tcPr>
            <w:tcW w:w="1065" w:type="dxa"/>
            <w:vMerge w:val="continue"/>
            <w:vAlign w:val="center"/>
          </w:tcPr>
          <w:p>
            <w:pPr>
              <w:pStyle w:val="28"/>
              <w:suppressLineNumbers w:val="0"/>
              <w:bidi w:val="0"/>
              <w:spacing w:before="0" w:after="0"/>
              <w:ind w:left="0" w:right="0"/>
              <w:outlineLvl w:val="9"/>
              <w:rPr>
                <w:rFonts w:hint="default"/>
                <w:lang w:val="en-US" w:eastAsia="zh-CN"/>
              </w:rPr>
            </w:pPr>
          </w:p>
        </w:tc>
        <w:tc>
          <w:tcPr>
            <w:tcW w:w="1035" w:type="dxa"/>
            <w:vMerge w:val="continue"/>
            <w:vAlign w:val="center"/>
          </w:tcPr>
          <w:p>
            <w:pPr>
              <w:pStyle w:val="28"/>
              <w:suppressLineNumbers w:val="0"/>
              <w:bidi w:val="0"/>
              <w:spacing w:before="0" w:after="0"/>
              <w:ind w:left="0" w:right="0"/>
              <w:outlineLvl w:val="9"/>
              <w:rPr>
                <w:rFonts w:hint="default"/>
                <w:lang w:val="en-US" w:eastAsia="zh-CN"/>
              </w:rPr>
            </w:pPr>
          </w:p>
        </w:tc>
        <w:tc>
          <w:tcPr>
            <w:tcW w:w="2591"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生活用水</w:t>
            </w:r>
          </w:p>
        </w:tc>
        <w:tc>
          <w:tcPr>
            <w:tcW w:w="1363" w:type="dxa"/>
            <w:vAlign w:val="center"/>
          </w:tcPr>
          <w:p>
            <w:pPr>
              <w:pStyle w:val="28"/>
              <w:suppressLineNumbers w:val="0"/>
              <w:bidi w:val="0"/>
              <w:spacing w:before="0" w:after="0"/>
              <w:ind w:left="0" w:right="0"/>
              <w:rPr>
                <w:rFonts w:hint="eastAsia"/>
                <w:lang w:val="en-US" w:eastAsia="zh-CN"/>
              </w:rPr>
            </w:pPr>
            <w:r>
              <w:rPr>
                <w:rFonts w:hint="eastAsia"/>
                <w:lang w:val="en-US" w:eastAsia="zh-CN"/>
              </w:rPr>
              <w:t>1584</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1584</w:t>
            </w:r>
          </w:p>
        </w:tc>
        <w:tc>
          <w:tcPr>
            <w:tcW w:w="1410"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eastAsia"/>
                <w:lang w:val="en-US" w:eastAsia="zh-CN"/>
              </w:rPr>
            </w:pPr>
            <w:r>
              <w:rPr>
                <w:rFonts w:hint="eastAsia"/>
                <w:lang w:val="en-US" w:eastAsia="zh-CN"/>
              </w:rPr>
              <w:t>158.4</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1425.6</w:t>
            </w:r>
          </w:p>
        </w:tc>
        <w:tc>
          <w:tcPr>
            <w:tcW w:w="2591"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经化粪池预处理后排入清湖村联村生活污水处理厂进行处理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食堂用水</w:t>
            </w:r>
          </w:p>
        </w:tc>
        <w:tc>
          <w:tcPr>
            <w:tcW w:w="1363" w:type="dxa"/>
            <w:vAlign w:val="center"/>
          </w:tcPr>
          <w:p>
            <w:pPr>
              <w:pStyle w:val="28"/>
              <w:suppressLineNumbers w:val="0"/>
              <w:bidi w:val="0"/>
              <w:spacing w:before="0" w:after="0"/>
              <w:ind w:left="0" w:right="0"/>
              <w:rPr>
                <w:rFonts w:hint="eastAsia"/>
                <w:lang w:val="en-US" w:eastAsia="zh-CN"/>
              </w:rPr>
            </w:pPr>
            <w:r>
              <w:rPr>
                <w:rFonts w:hint="eastAsia"/>
                <w:lang w:val="en-US" w:eastAsia="zh-CN"/>
              </w:rPr>
              <w:t>264</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264</w:t>
            </w:r>
          </w:p>
        </w:tc>
        <w:tc>
          <w:tcPr>
            <w:tcW w:w="1410"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eastAsia"/>
                <w:lang w:val="en-US" w:eastAsia="zh-CN"/>
              </w:rPr>
            </w:pPr>
            <w:r>
              <w:rPr>
                <w:rFonts w:hint="eastAsia"/>
                <w:lang w:val="en-US" w:eastAsia="zh-CN"/>
              </w:rPr>
              <w:t>52.8</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211.2</w:t>
            </w:r>
          </w:p>
        </w:tc>
        <w:tc>
          <w:tcPr>
            <w:tcW w:w="2591" w:type="dxa"/>
            <w:vAlign w:val="center"/>
          </w:tcPr>
          <w:p>
            <w:pPr>
              <w:pStyle w:val="28"/>
              <w:suppressLineNumbers w:val="0"/>
              <w:bidi w:val="0"/>
              <w:spacing w:before="0" w:after="0"/>
              <w:ind w:left="0" w:right="0" w:firstLine="0" w:firstLineChars="0"/>
              <w:rPr>
                <w:rFonts w:hint="eastAsia"/>
                <w:lang w:val="en-US" w:eastAsia="zh-CN"/>
              </w:rPr>
            </w:pPr>
            <w:r>
              <w:rPr>
                <w:rFonts w:hint="eastAsia" w:ascii="Times New Roman" w:hAnsi="Times New Roman"/>
                <w:sz w:val="21"/>
                <w:lang w:val="en-US" w:eastAsia="zh-CN"/>
              </w:rPr>
              <w:t>经隔油池处理后与生活污水一起进入化粪池处理，后</w:t>
            </w:r>
            <w:r>
              <w:rPr>
                <w:rFonts w:hint="eastAsia" w:ascii="Times New Roman" w:hAnsi="Times New Roman" w:eastAsia="宋体"/>
                <w:sz w:val="21"/>
                <w:lang w:val="en-US" w:eastAsia="zh-CN"/>
              </w:rPr>
              <w:t>排入清湖村联村生活污水处理厂进行处理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eastAsia"/>
                <w:lang w:val="en-US" w:eastAsia="zh-CN"/>
              </w:rPr>
            </w:pPr>
            <w:r>
              <w:rPr>
                <w:rFonts w:hint="eastAsia"/>
                <w:lang w:val="en-US" w:eastAsia="zh-CN"/>
              </w:rPr>
              <w:t>软水制备系统</w:t>
            </w:r>
          </w:p>
        </w:tc>
        <w:tc>
          <w:tcPr>
            <w:tcW w:w="1363" w:type="dxa"/>
            <w:vAlign w:val="center"/>
          </w:tcPr>
          <w:p>
            <w:pPr>
              <w:pStyle w:val="28"/>
              <w:suppressLineNumbers w:val="0"/>
              <w:bidi w:val="0"/>
              <w:spacing w:before="0" w:after="0"/>
              <w:ind w:left="0" w:right="0"/>
              <w:rPr>
                <w:rFonts w:hint="eastAsia"/>
                <w:lang w:val="en-US" w:eastAsia="zh-CN"/>
              </w:rPr>
            </w:pPr>
            <w:r>
              <w:rPr>
                <w:rFonts w:hint="eastAsia"/>
                <w:lang w:val="en-US" w:eastAsia="zh-CN"/>
              </w:rPr>
              <w:t>4125</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4125</w:t>
            </w:r>
          </w:p>
        </w:tc>
        <w:tc>
          <w:tcPr>
            <w:tcW w:w="1410"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1065"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4125（软水3300、清下水825）</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清下水中140.76作为脱硫系统补充水，清下水中342.12作为绿化系统用水，清下水中342.12作为清下水排放</w:t>
            </w:r>
          </w:p>
          <w:p>
            <w:pPr>
              <w:pStyle w:val="28"/>
              <w:suppressLineNumbers w:val="0"/>
              <w:bidi w:val="0"/>
              <w:spacing w:before="0" w:after="0"/>
              <w:ind w:left="0" w:right="0"/>
              <w:rPr>
                <w:rFonts w:hint="eastAsia"/>
                <w:lang w:val="en-US" w:eastAsia="zh-CN"/>
              </w:rPr>
            </w:pPr>
            <w:r>
              <w:rPr>
                <w:rFonts w:hint="eastAsia"/>
                <w:lang w:val="en-US" w:eastAsia="zh-CN"/>
              </w:rPr>
              <w:t>软水3300回用于变压器循环冷却用水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变压器循环冷却用水</w:t>
            </w:r>
          </w:p>
        </w:tc>
        <w:tc>
          <w:tcPr>
            <w:tcW w:w="1363"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3801600</w:t>
            </w:r>
          </w:p>
        </w:tc>
        <w:tc>
          <w:tcPr>
            <w:tcW w:w="10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w:t>
            </w:r>
          </w:p>
        </w:tc>
        <w:tc>
          <w:tcPr>
            <w:tcW w:w="141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3801600，其中3300软水</w:t>
            </w:r>
          </w:p>
        </w:tc>
        <w:tc>
          <w:tcPr>
            <w:tcW w:w="1065"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2640</w:t>
            </w:r>
          </w:p>
        </w:tc>
        <w:tc>
          <w:tcPr>
            <w:tcW w:w="1035"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660</w:t>
            </w:r>
          </w:p>
        </w:tc>
        <w:tc>
          <w:tcPr>
            <w:tcW w:w="2591" w:type="dxa"/>
            <w:vAlign w:val="center"/>
          </w:tcPr>
          <w:p>
            <w:pPr>
              <w:pStyle w:val="28"/>
              <w:suppressLineNumbers w:val="0"/>
              <w:bidi w:val="0"/>
              <w:spacing w:before="0" w:after="0"/>
              <w:ind w:left="0" w:right="0"/>
              <w:rPr>
                <w:rFonts w:hint="eastAsia" w:ascii="Times New Roman" w:hAnsi="Times New Roman" w:eastAsia="宋体" w:cstheme="minorBidi"/>
                <w:b w:val="0"/>
                <w:kern w:val="2"/>
                <w:sz w:val="21"/>
                <w:szCs w:val="24"/>
                <w:lang w:val="en-US" w:eastAsia="zh-CN" w:bidi="ar-SA"/>
              </w:rPr>
            </w:pPr>
            <w:r>
              <w:rPr>
                <w:rFonts w:hint="eastAsia"/>
                <w:lang w:val="en-US" w:eastAsia="zh-CN"/>
              </w:rPr>
              <w:t>330作为清下水排放，330作为绿化系统用水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eastAsia"/>
                <w:lang w:val="en-US" w:eastAsia="zh-CN"/>
              </w:rPr>
            </w:pPr>
            <w:r>
              <w:rPr>
                <w:rFonts w:hint="eastAsia"/>
                <w:lang w:val="en-US" w:eastAsia="zh-CN"/>
              </w:rPr>
              <w:t>电煅炉冷却用水</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23760000</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142560</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23617440</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118800</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23760</w:t>
            </w:r>
          </w:p>
        </w:tc>
        <w:tc>
          <w:tcPr>
            <w:tcW w:w="2591" w:type="dxa"/>
            <w:vAlign w:val="center"/>
          </w:tcPr>
          <w:p>
            <w:pPr>
              <w:pStyle w:val="28"/>
              <w:suppressLineNumbers w:val="0"/>
              <w:bidi w:val="0"/>
              <w:spacing w:before="0" w:after="0"/>
              <w:ind w:left="0" w:right="0"/>
              <w:rPr>
                <w:rFonts w:hint="eastAsia"/>
                <w:lang w:val="en-US" w:eastAsia="zh-CN"/>
              </w:rPr>
            </w:pPr>
            <w:r>
              <w:rPr>
                <w:rFonts w:hint="eastAsia"/>
                <w:lang w:val="en-US" w:eastAsia="zh-CN"/>
              </w:rPr>
              <w:t>其中2595.19作为绿化系统用水，21164.81作为清下水排放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脱硫系统补充水</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304.66</w:t>
            </w:r>
          </w:p>
        </w:tc>
        <w:tc>
          <w:tcPr>
            <w:tcW w:w="1050"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304.66</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304.66</w:t>
            </w:r>
          </w:p>
        </w:tc>
        <w:tc>
          <w:tcPr>
            <w:tcW w:w="1035" w:type="dxa"/>
            <w:vAlign w:val="center"/>
          </w:tcPr>
          <w:p>
            <w:pPr>
              <w:pStyle w:val="28"/>
              <w:suppressLineNumbers w:val="0"/>
              <w:bidi w:val="0"/>
              <w:spacing w:before="0" w:after="0"/>
              <w:ind w:left="0" w:right="0"/>
              <w:rPr>
                <w:rFonts w:hint="eastAsia"/>
                <w:lang w:val="en-US" w:eastAsia="zh-CN"/>
              </w:rPr>
            </w:pPr>
            <w:r>
              <w:rPr>
                <w:rFonts w:hint="eastAsia"/>
                <w:lang w:val="en-US" w:eastAsia="zh-CN"/>
              </w:rPr>
              <w:t>0</w:t>
            </w:r>
          </w:p>
        </w:tc>
        <w:tc>
          <w:tcPr>
            <w:tcW w:w="2591"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其中进入脱硫石膏266.14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绿化系统用水</w:t>
            </w:r>
          </w:p>
        </w:tc>
        <w:tc>
          <w:tcPr>
            <w:tcW w:w="1363"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3267.31</w:t>
            </w:r>
          </w:p>
        </w:tc>
        <w:tc>
          <w:tcPr>
            <w:tcW w:w="1050"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410"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3267.31</w:t>
            </w:r>
          </w:p>
        </w:tc>
        <w:tc>
          <w:tcPr>
            <w:tcW w:w="1065"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3267.31</w:t>
            </w:r>
          </w:p>
        </w:tc>
        <w:tc>
          <w:tcPr>
            <w:tcW w:w="1035"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2591"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0" w:type="dxa"/>
            <w:vAlign w:val="center"/>
          </w:tcPr>
          <w:p>
            <w:pPr>
              <w:pStyle w:val="28"/>
              <w:suppressLineNumbers w:val="0"/>
              <w:bidi w:val="0"/>
              <w:spacing w:before="0" w:after="0"/>
              <w:ind w:left="0" w:right="0"/>
              <w:rPr>
                <w:rFonts w:hint="default"/>
                <w:lang w:val="en-US" w:eastAsia="zh-CN"/>
              </w:rPr>
            </w:pPr>
            <w:r>
              <w:rPr>
                <w:rFonts w:hint="eastAsia"/>
                <w:lang w:val="en-US" w:eastAsia="zh-CN"/>
              </w:rPr>
              <w:t>合计</w:t>
            </w:r>
          </w:p>
        </w:tc>
        <w:tc>
          <w:tcPr>
            <w:tcW w:w="1363" w:type="dxa"/>
            <w:vAlign w:val="center"/>
          </w:tcPr>
          <w:p>
            <w:pPr>
              <w:pStyle w:val="28"/>
              <w:suppressLineNumbers w:val="0"/>
              <w:bidi w:val="0"/>
              <w:spacing w:before="0" w:after="0"/>
              <w:ind w:left="0" w:right="0"/>
              <w:rPr>
                <w:rFonts w:hint="default"/>
                <w:lang w:val="en-US" w:eastAsia="zh-CN"/>
              </w:rPr>
            </w:pPr>
            <w:r>
              <w:rPr>
                <w:rFonts w:hint="eastAsia"/>
                <w:lang w:val="en-US" w:eastAsia="zh-CN"/>
              </w:rPr>
              <w:t>27571144.97</w:t>
            </w:r>
          </w:p>
        </w:tc>
        <w:tc>
          <w:tcPr>
            <w:tcW w:w="1050" w:type="dxa"/>
            <w:vAlign w:val="center"/>
          </w:tcPr>
          <w:p>
            <w:pPr>
              <w:pStyle w:val="28"/>
              <w:suppressLineNumbers w:val="0"/>
              <w:bidi w:val="0"/>
              <w:spacing w:before="0" w:after="0"/>
              <w:ind w:left="0" w:right="0"/>
              <w:rPr>
                <w:rFonts w:hint="default"/>
                <w:lang w:val="en-US" w:eastAsia="zh-CN"/>
              </w:rPr>
            </w:pPr>
            <w:r>
              <w:rPr>
                <w:rFonts w:hint="eastAsia"/>
                <w:lang w:val="en-US" w:eastAsia="zh-CN"/>
              </w:rPr>
              <w:t>148533</w:t>
            </w:r>
          </w:p>
        </w:tc>
        <w:tc>
          <w:tcPr>
            <w:tcW w:w="1410" w:type="dxa"/>
            <w:vAlign w:val="center"/>
          </w:tcPr>
          <w:p>
            <w:pPr>
              <w:pStyle w:val="28"/>
              <w:suppressLineNumbers w:val="0"/>
              <w:bidi w:val="0"/>
              <w:spacing w:before="0" w:after="0"/>
              <w:ind w:left="0" w:right="0"/>
              <w:rPr>
                <w:rFonts w:hint="default"/>
                <w:lang w:val="en-US" w:eastAsia="zh-CN"/>
              </w:rPr>
            </w:pPr>
            <w:r>
              <w:rPr>
                <w:rFonts w:hint="eastAsia"/>
                <w:lang w:val="en-US" w:eastAsia="zh-CN"/>
              </w:rPr>
              <w:t>23621011.97</w:t>
            </w:r>
          </w:p>
        </w:tc>
        <w:tc>
          <w:tcPr>
            <w:tcW w:w="1065" w:type="dxa"/>
            <w:vAlign w:val="center"/>
          </w:tcPr>
          <w:p>
            <w:pPr>
              <w:pStyle w:val="28"/>
              <w:suppressLineNumbers w:val="0"/>
              <w:bidi w:val="0"/>
              <w:spacing w:before="0" w:after="0"/>
              <w:ind w:left="0" w:right="0"/>
              <w:rPr>
                <w:rFonts w:hint="default"/>
                <w:lang w:val="en-US" w:eastAsia="zh-CN"/>
              </w:rPr>
            </w:pPr>
            <w:r>
              <w:rPr>
                <w:rFonts w:hint="eastAsia"/>
                <w:lang w:val="en-US" w:eastAsia="zh-CN"/>
              </w:rPr>
              <w:t>125223.17</w:t>
            </w:r>
          </w:p>
        </w:tc>
        <w:tc>
          <w:tcPr>
            <w:tcW w:w="1035" w:type="dxa"/>
            <w:vAlign w:val="center"/>
          </w:tcPr>
          <w:p>
            <w:pPr>
              <w:pStyle w:val="28"/>
              <w:suppressLineNumbers w:val="0"/>
              <w:bidi w:val="0"/>
              <w:spacing w:before="0" w:after="0"/>
              <w:ind w:left="0" w:right="0"/>
              <w:rPr>
                <w:rFonts w:hint="default"/>
                <w:lang w:val="en-US" w:eastAsia="zh-CN"/>
              </w:rPr>
            </w:pPr>
            <w:r>
              <w:rPr>
                <w:rFonts w:hint="eastAsia"/>
                <w:lang w:val="en-US" w:eastAsia="zh-CN"/>
              </w:rPr>
              <w:t>26056.8</w:t>
            </w:r>
          </w:p>
        </w:tc>
        <w:tc>
          <w:tcPr>
            <w:tcW w:w="2591"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r>
    </w:tbl>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default"/>
          <w:sz w:val="28"/>
          <w:lang w:val="en-US"/>
        </w:rPr>
        <mc:AlternateContent>
          <mc:Choice Requires="wpc">
            <w:drawing>
              <wp:inline distT="0" distB="0" distL="114300" distR="114300">
                <wp:extent cx="6112510" cy="6276340"/>
                <wp:effectExtent l="0" t="0" r="2540" b="0"/>
                <wp:docPr id="647" name="画布 647"/>
                <wp:cNvGraphicFramePr/>
                <a:graphic xmlns:a="http://schemas.openxmlformats.org/drawingml/2006/main">
                  <a:graphicData uri="http://schemas.microsoft.com/office/word/2010/wordprocessingCanvas">
                    <wpc:wpc>
                      <wpc:bg/>
                      <wpc:whole/>
                      <wps:wsp>
                        <wps:cNvPr id="927" name="文本框 554"/>
                        <wps:cNvSpPr txBox="1"/>
                        <wps:spPr>
                          <a:xfrm>
                            <a:off x="360045" y="55880"/>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8" name="直接连接符 555"/>
                        <wps:cNvCnPr/>
                        <wps:spPr>
                          <a:xfrm>
                            <a:off x="1248410" y="203835"/>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9" name="文本框 556"/>
                        <wps:cNvSpPr txBox="1"/>
                        <wps:spPr>
                          <a:xfrm>
                            <a:off x="1353820" y="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202.36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0" name="文本框 557"/>
                        <wps:cNvSpPr txBox="1"/>
                        <wps:spPr>
                          <a:xfrm>
                            <a:off x="2148205" y="76200"/>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1" name="直接连接符 558"/>
                        <wps:cNvCnPr/>
                        <wps:spPr>
                          <a:xfrm flipV="1">
                            <a:off x="2830830" y="206375"/>
                            <a:ext cx="1581785" cy="95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2" name="文本框 559"/>
                        <wps:cNvSpPr txBox="1"/>
                        <wps:spPr>
                          <a:xfrm>
                            <a:off x="4363085" y="60325"/>
                            <a:ext cx="10160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3" name="文本框 560"/>
                        <wps:cNvSpPr txBox="1"/>
                        <wps:spPr>
                          <a:xfrm>
                            <a:off x="377825" y="615950"/>
                            <a:ext cx="73914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4" name="直接连接符 561"/>
                        <wps:cNvCnPr/>
                        <wps:spPr>
                          <a:xfrm>
                            <a:off x="1155700" y="763270"/>
                            <a:ext cx="129667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5" name="直接连接符 562"/>
                        <wps:cNvCnPr/>
                        <wps:spPr>
                          <a:xfrm flipV="1">
                            <a:off x="2436495" y="319405"/>
                            <a:ext cx="0" cy="4362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6" name="文本框 563"/>
                        <wps:cNvSpPr txBox="1"/>
                        <wps:spPr>
                          <a:xfrm>
                            <a:off x="1766570" y="56832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7" name="文本框 564"/>
                        <wps:cNvSpPr txBox="1"/>
                        <wps:spPr>
                          <a:xfrm>
                            <a:off x="3830955" y="50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8" name="直接连接符 565"/>
                        <wps:cNvCnPr/>
                        <wps:spPr>
                          <a:xfrm>
                            <a:off x="3602990" y="215900"/>
                            <a:ext cx="0" cy="2940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9" name="文本框 566"/>
                        <wps:cNvSpPr txBox="1"/>
                        <wps:spPr>
                          <a:xfrm>
                            <a:off x="3179445" y="457200"/>
                            <a:ext cx="95948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0" name="文本框 567"/>
                        <wps:cNvSpPr txBox="1"/>
                        <wps:spPr>
                          <a:xfrm>
                            <a:off x="3561080" y="20320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1" name="文本框 568"/>
                        <wps:cNvSpPr txBox="1"/>
                        <wps:spPr>
                          <a:xfrm>
                            <a:off x="2854325" y="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213.9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2" name="文本框 569"/>
                        <wps:cNvSpPr txBox="1"/>
                        <wps:spPr>
                          <a:xfrm>
                            <a:off x="1941830" y="1425575"/>
                            <a:ext cx="833120"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3" name="直接连接符 570"/>
                        <wps:cNvCnPr/>
                        <wps:spPr>
                          <a:xfrm>
                            <a:off x="777240" y="1553845"/>
                            <a:ext cx="116649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44" name="文本框 571"/>
                        <wps:cNvSpPr txBox="1"/>
                        <wps:spPr>
                          <a:xfrm>
                            <a:off x="1290955" y="133921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1584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5" name="直接连接符 572"/>
                        <wps:cNvCnPr/>
                        <wps:spPr>
                          <a:xfrm>
                            <a:off x="2783205" y="1553210"/>
                            <a:ext cx="89408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46" name="直接连接符 573"/>
                        <wps:cNvCnPr/>
                        <wps:spPr>
                          <a:xfrm flipV="1">
                            <a:off x="2214245" y="1327150"/>
                            <a:ext cx="467995" cy="1028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47" name="文本框 574"/>
                        <wps:cNvSpPr txBox="1"/>
                        <wps:spPr>
                          <a:xfrm>
                            <a:off x="2616200" y="120396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损耗158.4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8" name="文本框 575"/>
                        <wps:cNvSpPr txBox="1"/>
                        <wps:spPr>
                          <a:xfrm>
                            <a:off x="2886710" y="136207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9" name="文本框 576"/>
                        <wps:cNvSpPr txBox="1"/>
                        <wps:spPr>
                          <a:xfrm>
                            <a:off x="3672205" y="1449705"/>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0" name="文本框 577"/>
                        <wps:cNvSpPr txBox="1"/>
                        <wps:spPr>
                          <a:xfrm>
                            <a:off x="4346575" y="137033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1636.8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1" name="直接连接符 578"/>
                        <wps:cNvCnPr/>
                        <wps:spPr>
                          <a:xfrm>
                            <a:off x="4354830" y="1576705"/>
                            <a:ext cx="692785"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2" name="文本框 579"/>
                        <wps:cNvSpPr txBox="1"/>
                        <wps:spPr>
                          <a:xfrm>
                            <a:off x="5029835" y="1386205"/>
                            <a:ext cx="1016000" cy="452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3" name="直接连接符 580"/>
                        <wps:cNvCnPr/>
                        <wps:spPr>
                          <a:xfrm flipV="1">
                            <a:off x="777875" y="2578100"/>
                            <a:ext cx="1214120" cy="12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4" name="文本框 581"/>
                        <wps:cNvSpPr txBox="1"/>
                        <wps:spPr>
                          <a:xfrm>
                            <a:off x="1154430" y="2379980"/>
                            <a:ext cx="56388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4125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5" name="文本框 582"/>
                        <wps:cNvSpPr txBox="1"/>
                        <wps:spPr>
                          <a:xfrm>
                            <a:off x="1965960" y="2425700"/>
                            <a:ext cx="1087120" cy="2489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软水制备系统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6" name="文本框 583"/>
                        <wps:cNvSpPr txBox="1"/>
                        <wps:spPr>
                          <a:xfrm>
                            <a:off x="1849120" y="3023235"/>
                            <a:ext cx="1443355" cy="26797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7" name="直接连接符 584"/>
                        <wps:cNvCnPr/>
                        <wps:spPr>
                          <a:xfrm>
                            <a:off x="2495550" y="2684145"/>
                            <a:ext cx="0" cy="3651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8" name="文本框 585"/>
                        <wps:cNvSpPr txBox="1"/>
                        <wps:spPr>
                          <a:xfrm>
                            <a:off x="2541905" y="27133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9" name="直接连接符 586"/>
                        <wps:cNvCnPr/>
                        <wps:spPr>
                          <a:xfrm>
                            <a:off x="2470150" y="3300730"/>
                            <a:ext cx="6350" cy="2438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60" name="直接连接符 587"/>
                        <wps:cNvCnPr/>
                        <wps:spPr>
                          <a:xfrm flipH="1">
                            <a:off x="1327785" y="3533140"/>
                            <a:ext cx="1162685" cy="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961" name="直接连接符 588"/>
                        <wps:cNvCnPr/>
                        <wps:spPr>
                          <a:xfrm flipV="1">
                            <a:off x="1329055" y="3239770"/>
                            <a:ext cx="0" cy="30162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962" name="直接连接符 589"/>
                        <wps:cNvCnPr/>
                        <wps:spPr>
                          <a:xfrm>
                            <a:off x="1314450" y="3256280"/>
                            <a:ext cx="5334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63" name="文本框 590"/>
                        <wps:cNvSpPr txBox="1"/>
                        <wps:spPr>
                          <a:xfrm>
                            <a:off x="1575435" y="3334385"/>
                            <a:ext cx="69723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3798300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4" name="直接连接符 591"/>
                        <wps:cNvCnPr>
                          <a:stCxn id="582" idx="3"/>
                        </wps:cNvCnPr>
                        <wps:spPr>
                          <a:xfrm>
                            <a:off x="3053080" y="2550160"/>
                            <a:ext cx="1689735" cy="63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65" name="直接连接符 592"/>
                        <wps:cNvCnPr/>
                        <wps:spPr>
                          <a:xfrm>
                            <a:off x="4720590" y="2553335"/>
                            <a:ext cx="4445" cy="205867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66" name="文本框 593"/>
                        <wps:cNvSpPr txBox="1"/>
                        <wps:spPr>
                          <a:xfrm>
                            <a:off x="1965960" y="3964940"/>
                            <a:ext cx="1372235" cy="2305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7" name="直接连接符 594"/>
                        <wps:cNvCnPr/>
                        <wps:spPr>
                          <a:xfrm>
                            <a:off x="777875" y="4093845"/>
                            <a:ext cx="119634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68" name="文本框 595"/>
                        <wps:cNvSpPr txBox="1"/>
                        <wps:spPr>
                          <a:xfrm>
                            <a:off x="1219835" y="388683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9" name="直接连接符 596"/>
                        <wps:cNvCnPr/>
                        <wps:spPr>
                          <a:xfrm flipV="1">
                            <a:off x="1491615" y="4087495"/>
                            <a:ext cx="0" cy="45275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70" name="直接连接符 597"/>
                        <wps:cNvCnPr/>
                        <wps:spPr>
                          <a:xfrm flipH="1">
                            <a:off x="1483995" y="4523740"/>
                            <a:ext cx="1158240" cy="63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971" name="直接连接符 598"/>
                        <wps:cNvCnPr>
                          <a:stCxn id="593" idx="2"/>
                        </wps:cNvCnPr>
                        <wps:spPr>
                          <a:xfrm flipH="1">
                            <a:off x="2650490" y="4195445"/>
                            <a:ext cx="1905" cy="3606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72" name="文本框 599"/>
                        <wps:cNvSpPr txBox="1"/>
                        <wps:spPr>
                          <a:xfrm>
                            <a:off x="1584960" y="4331335"/>
                            <a:ext cx="9436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23617440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3" name="直接连接符 600"/>
                        <wps:cNvCnPr>
                          <a:stCxn id="593" idx="0"/>
                        </wps:cNvCnPr>
                        <wps:spPr>
                          <a:xfrm flipV="1">
                            <a:off x="2652395" y="3836035"/>
                            <a:ext cx="546100" cy="128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74" name="文本框 601"/>
                        <wps:cNvSpPr txBox="1"/>
                        <wps:spPr>
                          <a:xfrm>
                            <a:off x="3180715" y="369570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损耗118800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5" name="直接连接符 602"/>
                        <wps:cNvCnPr>
                          <a:stCxn id="583" idx="0"/>
                        </wps:cNvCnPr>
                        <wps:spPr>
                          <a:xfrm flipV="1">
                            <a:off x="2571115" y="2937510"/>
                            <a:ext cx="519430" cy="8572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76" name="文本框 603"/>
                        <wps:cNvSpPr txBox="1"/>
                        <wps:spPr>
                          <a:xfrm>
                            <a:off x="3045460" y="2679700"/>
                            <a:ext cx="100711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损耗2640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7" name="文本框 604"/>
                        <wps:cNvSpPr txBox="1"/>
                        <wps:spPr>
                          <a:xfrm>
                            <a:off x="1779270" y="2005330"/>
                            <a:ext cx="1443355" cy="28702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8" name="直接连接符 658"/>
                        <wps:cNvCnPr/>
                        <wps:spPr>
                          <a:xfrm flipH="1" flipV="1">
                            <a:off x="4093845" y="2162810"/>
                            <a:ext cx="1905" cy="38862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79" name="直接连接符 659"/>
                        <wps:cNvCnPr/>
                        <wps:spPr>
                          <a:xfrm flipH="1">
                            <a:off x="3215640" y="2165350"/>
                            <a:ext cx="885190" cy="317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80" name="文本框 660"/>
                        <wps:cNvSpPr txBox="1"/>
                        <wps:spPr>
                          <a:xfrm>
                            <a:off x="3387725" y="21272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140.76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1" name="文本框 661"/>
                        <wps:cNvSpPr txBox="1"/>
                        <wps:spPr>
                          <a:xfrm>
                            <a:off x="3103880" y="234315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825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2" name="文本框 662"/>
                        <wps:cNvSpPr txBox="1"/>
                        <wps:spPr>
                          <a:xfrm>
                            <a:off x="4124960" y="234759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684.24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3" name="直接连接符 663"/>
                        <wps:cNvCnPr>
                          <a:stCxn id="583" idx="3"/>
                        </wps:cNvCnPr>
                        <wps:spPr>
                          <a:xfrm flipV="1">
                            <a:off x="3292475" y="3153410"/>
                            <a:ext cx="142811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84" name="文本框 664"/>
                        <wps:cNvSpPr txBox="1"/>
                        <wps:spPr>
                          <a:xfrm>
                            <a:off x="3943985" y="2974975"/>
                            <a:ext cx="478790" cy="225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5" name="直接连接符 665"/>
                        <wps:cNvCnPr>
                          <a:stCxn id="593" idx="3"/>
                        </wps:cNvCnPr>
                        <wps:spPr>
                          <a:xfrm flipV="1">
                            <a:off x="3338195" y="4077970"/>
                            <a:ext cx="1382395"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86" name="文本框 666"/>
                        <wps:cNvSpPr txBox="1"/>
                        <wps:spPr>
                          <a:xfrm>
                            <a:off x="3315335" y="3895090"/>
                            <a:ext cx="74549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23760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7" name="文本框 668"/>
                        <wps:cNvSpPr txBox="1"/>
                        <wps:spPr>
                          <a:xfrm>
                            <a:off x="4986020" y="3877310"/>
                            <a:ext cx="6858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2595.1954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8" name="文本框 669"/>
                        <wps:cNvSpPr txBox="1"/>
                        <wps:spPr>
                          <a:xfrm>
                            <a:off x="4021455" y="4592955"/>
                            <a:ext cx="130048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清下水21836.93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9" name="文本框 671"/>
                        <wps:cNvSpPr txBox="1"/>
                        <wps:spPr>
                          <a:xfrm>
                            <a:off x="5085715" y="4630420"/>
                            <a:ext cx="975360" cy="23812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0" name="直接连接符 672"/>
                        <wps:cNvCnPr/>
                        <wps:spPr>
                          <a:xfrm flipH="1">
                            <a:off x="5578475" y="4878705"/>
                            <a:ext cx="1270" cy="3225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1" name="文本框 673"/>
                        <wps:cNvSpPr txBox="1"/>
                        <wps:spPr>
                          <a:xfrm>
                            <a:off x="5092065" y="519430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损耗3267.31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2" name="直接连接符 674"/>
                        <wps:cNvCnPr/>
                        <wps:spPr>
                          <a:xfrm>
                            <a:off x="780415" y="1123315"/>
                            <a:ext cx="5080" cy="297815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993" name="直接连接符 675"/>
                        <wps:cNvCnPr/>
                        <wps:spPr>
                          <a:xfrm flipV="1">
                            <a:off x="39370" y="2839720"/>
                            <a:ext cx="730250" cy="190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4" name="文本框 676"/>
                        <wps:cNvSpPr txBox="1"/>
                        <wps:spPr>
                          <a:xfrm>
                            <a:off x="0" y="262445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148533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文本框 677"/>
                        <wps:cNvSpPr txBox="1"/>
                        <wps:spPr>
                          <a:xfrm>
                            <a:off x="0" y="2839085"/>
                            <a:ext cx="7696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6" name="直接连接符 678"/>
                        <wps:cNvCnPr/>
                        <wps:spPr>
                          <a:xfrm flipV="1">
                            <a:off x="2446655" y="1884045"/>
                            <a:ext cx="286385" cy="11366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7" name="文本框 679"/>
                        <wps:cNvSpPr txBox="1"/>
                        <wps:spPr>
                          <a:xfrm>
                            <a:off x="2676525" y="1730375"/>
                            <a:ext cx="1007110" cy="261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损耗进入33.2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8" name="直接连接符 680"/>
                        <wps:cNvCnPr/>
                        <wps:spPr>
                          <a:xfrm>
                            <a:off x="3236595" y="2061210"/>
                            <a:ext cx="86360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99" name="文本框 681"/>
                        <wps:cNvSpPr txBox="1"/>
                        <wps:spPr>
                          <a:xfrm>
                            <a:off x="4084955" y="1900555"/>
                            <a:ext cx="1635125"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进入脱硫石膏266.14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0" name="文本框 7"/>
                        <wps:cNvSpPr txBox="1"/>
                        <wps:spPr>
                          <a:xfrm>
                            <a:off x="1941830" y="5742305"/>
                            <a:ext cx="2339340" cy="32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图3.3.2-4 全厂项目水平衡图 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1" name="直接连接符 472"/>
                        <wps:cNvCnPr/>
                        <wps:spPr>
                          <a:xfrm>
                            <a:off x="4720590" y="2543810"/>
                            <a:ext cx="86487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2" name="文本框 662"/>
                        <wps:cNvSpPr txBox="1"/>
                        <wps:spPr>
                          <a:xfrm>
                            <a:off x="4847590" y="233362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3" name="文本框 662"/>
                        <wps:cNvSpPr txBox="1"/>
                        <wps:spPr>
                          <a:xfrm>
                            <a:off x="4641850" y="259778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4" name="直接连接符 475"/>
                        <wps:cNvCnPr/>
                        <wps:spPr>
                          <a:xfrm>
                            <a:off x="5585460" y="2550160"/>
                            <a:ext cx="0" cy="21005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5" name="直接连接符 476"/>
                        <wps:cNvCnPr/>
                        <wps:spPr>
                          <a:xfrm>
                            <a:off x="4742815" y="3157855"/>
                            <a:ext cx="835025"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6" name="文本框 662"/>
                        <wps:cNvSpPr txBox="1"/>
                        <wps:spPr>
                          <a:xfrm>
                            <a:off x="4964430" y="296926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7" name="文本框 662"/>
                        <wps:cNvSpPr txBox="1"/>
                        <wps:spPr>
                          <a:xfrm>
                            <a:off x="4634865" y="3205480"/>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672.12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8" name="直接连接符 479"/>
                        <wps:cNvCnPr/>
                        <wps:spPr>
                          <a:xfrm>
                            <a:off x="4728210" y="4080510"/>
                            <a:ext cx="85725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9" name="文本框 668"/>
                        <wps:cNvSpPr txBox="1"/>
                        <wps:spPr>
                          <a:xfrm>
                            <a:off x="4620895" y="4135120"/>
                            <a:ext cx="7886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21836.93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0" name="直接连接符 570"/>
                        <wps:cNvCnPr/>
                        <wps:spPr>
                          <a:xfrm>
                            <a:off x="782955" y="1123950"/>
                            <a:ext cx="116649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11" name="文本框 571"/>
                        <wps:cNvSpPr txBox="1"/>
                        <wps:spPr>
                          <a:xfrm>
                            <a:off x="1021080" y="90995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264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2" name="文本框 569"/>
                        <wps:cNvSpPr txBox="1"/>
                        <wps:spPr>
                          <a:xfrm>
                            <a:off x="1957705" y="997585"/>
                            <a:ext cx="833120" cy="24574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食堂用水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3" name="直接连接符 743"/>
                        <wps:cNvCnPr>
                          <a:stCxn id="742" idx="0"/>
                        </wps:cNvCnPr>
                        <wps:spPr>
                          <a:xfrm flipV="1">
                            <a:off x="2374265" y="883285"/>
                            <a:ext cx="493395" cy="11430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14" name="文本框 574"/>
                        <wps:cNvSpPr txBox="1"/>
                        <wps:spPr>
                          <a:xfrm>
                            <a:off x="2846705" y="735330"/>
                            <a:ext cx="100711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损耗52.8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5" name="直接连接符 745"/>
                        <wps:cNvCnPr>
                          <a:stCxn id="742" idx="3"/>
                        </wps:cNvCnPr>
                        <wps:spPr>
                          <a:xfrm flipV="1">
                            <a:off x="2790825" y="1120140"/>
                            <a:ext cx="894715" cy="63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16" name="文本框 576"/>
                        <wps:cNvSpPr txBox="1"/>
                        <wps:spPr>
                          <a:xfrm>
                            <a:off x="3672205" y="965200"/>
                            <a:ext cx="682625" cy="26225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7" name="直接连接符 747"/>
                        <wps:cNvCnPr/>
                        <wps:spPr>
                          <a:xfrm>
                            <a:off x="4018280" y="1221105"/>
                            <a:ext cx="0" cy="24638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18" name="文本框 567"/>
                        <wps:cNvSpPr txBox="1"/>
                        <wps:spPr>
                          <a:xfrm>
                            <a:off x="2941955" y="934085"/>
                            <a:ext cx="61087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9" name="直接连接符 125"/>
                        <wps:cNvCnPr>
                          <a:endCxn id="722" idx="1"/>
                        </wps:cNvCnPr>
                        <wps:spPr>
                          <a:xfrm>
                            <a:off x="1447165" y="2145030"/>
                            <a:ext cx="332105" cy="38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20" name="文本框 581"/>
                        <wps:cNvSpPr txBox="1"/>
                        <wps:spPr>
                          <a:xfrm>
                            <a:off x="822960" y="1917700"/>
                            <a:ext cx="744855" cy="400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废气带入163.9</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94.2pt;width:481.3pt;" coordsize="6112510,6276340" editas="canvas" o:gfxdata="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">
                <o:lock v:ext="edit" aspectratio="f"/>
                <v:shape id="_x0000_s1026" o:spid="_x0000_s1026" style="position:absolute;left:0;top:0;height:6276340;width:6112510;" filled="f" stroked="f" coordsize="21600,21600" o:gfxdata="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">
                  <v:fill on="f" focussize="0,0"/>
                  <v:stroke on="f"/>
                  <v:imagedata o:title=""/>
                  <o:lock v:ext="edit" aspectratio="f"/>
                </v:shape>
                <v:shape id="文本框 554" o:spid="_x0000_s1026" o:spt="202" type="#_x0000_t202" style="position:absolute;left:360045;top:55880;height:2622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B1aLbxKgIAACU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lang w:val="en-US" w:eastAsia="zh-CN"/>
                          </w:rPr>
                        </w:pPr>
                        <w:r>
                          <w:rPr>
                            <w:rFonts w:hint="eastAsia"/>
                            <w:sz w:val="21"/>
                            <w:lang w:val="en-US" w:eastAsia="zh-CN"/>
                          </w:rPr>
                          <w:t>煅后焦带入水</w:t>
                        </w:r>
                      </w:p>
                    </w:txbxContent>
                  </v:textbox>
                </v:shape>
                <v:line id="直接连接符 555" o:spid="_x0000_s1026" o:spt="20" style="position:absolute;left:1248410;top:203835;height:2540;width:89408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XsJnVAAAABQEAAA8AAAAAAAAAAQAgAAAAIgAAAGRycy9kb3ducmV2LnhtbFBLAQIUABQA&#10;AAAIAIdO4kBHQsA88wEAAKADAAAOAAAAAAAAAAEAIAAAACQBAABkcnMvZTJvRG9jLnhtbFBLBQYA&#10;AAAABgAGAFkBAACJBQAAAAA=&#10;">
                  <v:fill on="f" focussize="0,0"/>
                  <v:stroke weight="0.5pt" color="#000000 [3213]" miterlimit="8" joinstyle="miter" endarrow="block" endarrowwidth="narrow" endarrowlength="long"/>
                  <v:imagedata o:title=""/>
                  <o:lock v:ext="edit" aspectratio="f"/>
                </v:line>
                <v:shape id="文本框 556" o:spid="_x0000_s1026" o:spt="202" type="#_x0000_t202" style="position:absolute;left:1353820;top: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vBVb1wAAAAUBAAAPAAAAAAAAAAEAIAAAACIAAABkcnMvZG93bnJldi54bWxQSwECFAAUAAAACACH&#10;TuJA46zttiUCAAAhBAAADgAAAAAAAAABACAAAAAm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202.36</w:t>
                        </w:r>
                      </w:p>
                    </w:txbxContent>
                  </v:textbox>
                </v:shape>
                <v:shape id="文本框 557" o:spid="_x0000_s1026" o:spt="202" type="#_x0000_t202" style="position:absolute;left:2148205;top:76200;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m62X1gAAAAUBAAAPAAAAAAAAAAEAIAAAACIAAABkcnMv&#10;ZG93bnJldi54bWxQSwECFAAUAAAACACHTuJAs3Rtdj4CAABOBAAADgAAAAAAAAABACAAAAAlAQAA&#10;ZHJzL2Uyb0RvYy54bWxQSwUGAAAAAAYABgBZAQAA1Q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电煅炉</w:t>
                        </w:r>
                      </w:p>
                    </w:txbxContent>
                  </v:textbox>
                </v:shape>
                <v:line id="直接连接符 558" o:spid="_x0000_s1026" o:spt="20" style="position:absolute;left:2830830;top:206375;flip:y;height:9525;width:158178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wvhy1gAAAAUBAAAPAAAAAAAAAAEAIAAAACIAAABkcnMvZG93bnJldi54&#10;bWxQSwECFAAUAAAACACHTuJA4lrnIPwBAACrAwAADgAAAAAAAAABACAAAAAlAQAAZHJzL2Uyb0Rv&#10;Yy54bWxQSwUGAAAAAAYABgBZAQAAkwUAAAAA&#10;">
                  <v:fill on="f" focussize="0,0"/>
                  <v:stroke weight="0.5pt" color="#000000 [3213]" miterlimit="8" joinstyle="miter" endarrow="block" endarrowwidth="narrow" endarrowlength="long"/>
                  <v:imagedata o:title=""/>
                  <o:lock v:ext="edit" aspectratio="f"/>
                </v:line>
                <v:shape id="文本框 559" o:spid="_x0000_s1026" o:spt="202" type="#_x0000_t202" style="position:absolute;left:4363085;top:60325;height:2622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J8NLOUsAgAAJg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进入废气G1-2</w:t>
                        </w:r>
                      </w:p>
                    </w:txbxContent>
                  </v:textbox>
                </v:shape>
                <v:shape id="文本框 560" o:spid="_x0000_s1026" o:spt="202" type="#_x0000_t202" style="position:absolute;left:377825;top:615950;height:262255;width:73914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DYzTyQpAgAAJQ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空气带入</w:t>
                        </w:r>
                      </w:p>
                    </w:txbxContent>
                  </v:textbox>
                </v:shape>
                <v:line id="直接连接符 561" o:spid="_x0000_s1026" o:spt="20" style="position:absolute;left:1155700;top:763270;height:0;width:129667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ewmdUAAAAFAQAADwAAAAAAAAABACAAAAAiAAAAZHJzL2Rvd25yZXYueG1sUEsBAhQAFAAA&#10;AAgAh07iQB6g/6DyAQAAngMAAA4AAAAAAAAAAQAgAAAAJAEAAGRycy9lMm9Eb2MueG1sUEsFBgAA&#10;AAAGAAYAWQEAAIgFAAAAAA==&#10;">
                  <v:fill on="f" focussize="0,0"/>
                  <v:stroke weight="0.5pt" color="#000000 [3213]" miterlimit="8" joinstyle="miter" endarrow="block" endarrowwidth="narrow" endarrowlength="long"/>
                  <v:imagedata o:title=""/>
                  <o:lock v:ext="edit" aspectratio="f"/>
                </v:line>
                <v:line id="直接连接符 562" o:spid="_x0000_s1026" o:spt="20" style="position:absolute;left:2436495;top:319405;flip:y;height:436245;width: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cL4ctYAAAAFAQAADwAAAAAAAAABACAAAAAiAAAAZHJzL2Rvd25yZXYueG1sUEsB&#10;AhQAFAAAAAgAh07iQAu2QF73AQAApwMAAA4AAAAAAAAAAQAgAAAAJQEAAGRycy9lMm9Eb2MueG1s&#10;UEsFBgAAAAAGAAYAWQEAAI4FAAAAAA==&#10;">
                  <v:fill on="f" focussize="0,0"/>
                  <v:stroke weight="0.5pt" color="#000000 [3213]" miterlimit="8" joinstyle="miter" endarrow="block" endarrowwidth="narrow" endarrowlength="long"/>
                  <v:imagedata o:title=""/>
                  <o:lock v:ext="edit" aspectratio="f"/>
                </v:line>
                <v:shape id="文本框 563" o:spid="_x0000_s1026" o:spt="202" type="#_x0000_t202" style="position:absolute;left:1766570;top:56832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KODy6CsCAAAm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11.54</w:t>
                        </w:r>
                      </w:p>
                    </w:txbxContent>
                  </v:textbox>
                </v:shape>
                <v:shape id="文本框 564" o:spid="_x0000_s1026" o:spt="202" type="#_x0000_t202" style="position:absolute;left:3830955;top:508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EgTew0pAgAAJA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163.9</w:t>
                        </w:r>
                      </w:p>
                    </w:txbxContent>
                  </v:textbox>
                </v:shape>
                <v:line id="直接连接符 565" o:spid="_x0000_s1026" o:spt="20" style="position:absolute;left:3602990;top:215900;height:294005;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DiJsQI8AEAAJ0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566" o:spid="_x0000_s1026" o:spt="202" type="#_x0000_t202" style="position:absolute;left:3179445;top:457200;height:262255;width:95948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EYiMzosAgAAJg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进入产品</w:t>
                        </w:r>
                      </w:p>
                    </w:txbxContent>
                  </v:textbox>
                </v:shape>
                <v:shape id="文本框 567" o:spid="_x0000_s1026" o:spt="202" type="#_x0000_t202" style="position:absolute;left:3561080;top:20320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GVSzYygCAAAm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50</w:t>
                        </w:r>
                      </w:p>
                    </w:txbxContent>
                  </v:textbox>
                </v:shape>
                <v:shape id="文本框 568" o:spid="_x0000_s1026" o:spt="202" type="#_x0000_t202" style="position:absolute;left:2854325;top: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O8FVvXAAAABQEAAA8AAAAAAAAAAQAgAAAAIgAAAGRycy9kb3ducmV2LnhtbFBLAQIUABQAAAAI&#10;AIdO4kDKuyF8JwIAACEEAAAOAAAAAAAAAAEAIAAAACY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213.9</w:t>
                        </w:r>
                      </w:p>
                    </w:txbxContent>
                  </v:textbox>
                </v:shape>
                <v:shape id="文本框 569" o:spid="_x0000_s1026" o:spt="202" type="#_x0000_t202" style="position:absolute;left:1941830;top:1425575;height:230505;width:833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brZfWAAAABQEAAA8AAAAAAAAAAQAgAAAAIgAA&#10;AGRycy9kb3ducmV2LnhtbFBLAQIUABQAAAAIAIdO4kAO0wsJQwIAAFAEAAAOAAAAAAAAAAEAIAAA&#10;ACU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eastAsia="宋体"/>
                            <w:sz w:val="21"/>
                            <w:lang w:val="en-US" w:eastAsia="zh-CN"/>
                          </w:rPr>
                        </w:pPr>
                        <w:r>
                          <w:rPr>
                            <w:rFonts w:hint="eastAsia"/>
                            <w:sz w:val="21"/>
                            <w:lang w:val="en-US" w:eastAsia="zh-CN"/>
                          </w:rPr>
                          <w:t>生活用水</w:t>
                        </w:r>
                      </w:p>
                    </w:txbxContent>
                  </v:textbox>
                </v:shape>
                <v:line id="直接连接符 570" o:spid="_x0000_s1026" o:spt="20" style="position:absolute;left:777240;top:1553845;height:3810;width:116649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XsJnVAAAABQEAAA8AAAAAAAAAAQAgAAAAIgAAAGRycy9kb3ducmV2LnhtbFBLAQIU&#10;ABQAAAAIAIdO4kAl0Us19gEAAKEDAAAOAAAAAAAAAAEAIAAAACQBAABkcnMvZTJvRG9jLnhtbFBL&#10;BQYAAAAABgAGAFkBAACMBQAAAAA=&#10;">
                  <v:fill on="f" focussize="0,0"/>
                  <v:stroke weight="0.5pt" color="#000000 [3213]" miterlimit="8" joinstyle="miter" endarrow="block" endarrowwidth="narrow" endarrowlength="long"/>
                  <v:imagedata o:title=""/>
                  <o:lock v:ext="edit" aspectratio="f"/>
                </v:line>
                <v:shape id="文本框 571" o:spid="_x0000_s1026" o:spt="202" type="#_x0000_t202" style="position:absolute;left:1290955;top:133921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MRtIs4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1584</w:t>
                        </w:r>
                      </w:p>
                    </w:txbxContent>
                  </v:textbox>
                </v:shape>
                <v:line id="直接连接符 572" o:spid="_x0000_s1026" o:spt="20" style="position:absolute;left:2783205;top:1553210;height:2540;width:89408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dewmdUAAAAFAQAADwAAAAAAAAABACAAAAAiAAAAZHJzL2Rvd25yZXYueG1sUEsBAhQA&#10;FAAAAAgAh07iQGCZnO31AQAAoQMAAA4AAAAAAAAAAQAgAAAAJAEAAGRycy9lMm9Eb2MueG1sUEsF&#10;BgAAAAAGAAYAWQEAAIsFAAAAAA==&#10;">
                  <v:fill on="f" focussize="0,0"/>
                  <v:stroke weight="0.5pt" color="#000000 [3213]" miterlimit="8" joinstyle="miter" endarrow="block" endarrowwidth="narrow" endarrowlength="long"/>
                  <v:imagedata o:title=""/>
                  <o:lock v:ext="edit" aspectratio="f"/>
                </v:line>
                <v:line id="直接连接符 573" o:spid="_x0000_s1026" o:spt="20" style="position:absolute;left:2214245;top:1327150;flip:y;height:102870;width:46799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wvhy1gAAAAUBAAAPAAAAAAAAAAEAIAAAACIAAABkcnMvZG93bnJldi54&#10;bWxQSwECFAAUAAAACACHTuJAJF5L6vwBAACtAwAADgAAAAAAAAABACAAAAAlAQAAZHJzL2Uyb0Rv&#10;Yy54bWxQSwUGAAAAAAYABgBZAQAAkwUAAAAA&#10;">
                  <v:fill on="f" focussize="0,0"/>
                  <v:stroke weight="0.5pt" color="#000000 [3213]" miterlimit="8" joinstyle="miter" endarrow="block" endarrowwidth="narrow" endarrowlength="long"/>
                  <v:imagedata o:title=""/>
                  <o:lock v:ext="edit" aspectratio="f"/>
                </v:line>
                <v:shape id="文本框 574" o:spid="_x0000_s1026" o:spt="202" type="#_x0000_t202" style="position:absolute;left:2616200;top:120396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Ru5BdSsCAAAo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损耗158.4</w:t>
                        </w:r>
                      </w:p>
                    </w:txbxContent>
                  </v:textbox>
                </v:shape>
                <v:shape id="文本框 575" o:spid="_x0000_s1026" o:spt="202" type="#_x0000_t202" style="position:absolute;left:2886710;top:136207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P1wyBs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w:t>
                        </w:r>
                      </w:p>
                    </w:txbxContent>
                  </v:textbox>
                </v:shape>
                <v:shape id="文本框 576" o:spid="_x0000_s1026" o:spt="202" type="#_x0000_t202" style="position:absolute;left:3672205;top:1449705;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utl9YAAAAFAQAADwAAAAAAAAABACAAAAAiAAAAZHJz&#10;L2Rvd25yZXYueG1sUEsBAhQAFAAAAAgAh07iQC2xdxg/AgAAUAQAAA4AAAAAAAAAAQAgAAAAJQ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化粪池</w:t>
                        </w:r>
                      </w:p>
                    </w:txbxContent>
                  </v:textbox>
                </v:shape>
                <v:shape id="文本框 577" o:spid="_x0000_s1026" o:spt="202" type="#_x0000_t202" style="position:absolute;left:4346575;top:137033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B2W3QY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1636.8</w:t>
                        </w:r>
                      </w:p>
                    </w:txbxContent>
                  </v:textbox>
                </v:shape>
                <v:line id="直接连接符 578" o:spid="_x0000_s1026" o:spt="20" style="position:absolute;left:4354830;top:1576705;height:3175;width:69278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XsJnVAAAABQEAAA8AAAAAAAAAAQAgAAAAIgAAAGRycy9kb3ducmV2LnhtbFBLAQIU&#10;ABQAAAAIAIdO4kDH26mc9gEAAKEDAAAOAAAAAAAAAAEAIAAAACQBAABkcnMvZTJvRG9jLnhtbFBL&#10;BQYAAAAABgAGAFkBAACMBQAAAAA=&#10;">
                  <v:fill on="f" focussize="0,0"/>
                  <v:stroke weight="0.5pt" color="#000000 [3213]" miterlimit="8" joinstyle="miter" endarrow="block" endarrowwidth="narrow" endarrowlength="long"/>
                  <v:imagedata o:title=""/>
                  <o:lock v:ext="edit" aspectratio="f"/>
                </v:line>
                <v:shape id="文本框 579" o:spid="_x0000_s1026" o:spt="202" type="#_x0000_t202" style="position:absolute;left:5029835;top:1386205;height:452755;width:10160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CRhLQi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青湖镇联村生活污水处理厂</w:t>
                        </w:r>
                      </w:p>
                    </w:txbxContent>
                  </v:textbox>
                </v:shape>
                <v:line id="直接连接符 580" o:spid="_x0000_s1026" o:spt="20" style="position:absolute;left:777875;top:2578100;flip:y;height:1270;width:121412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cL4ctYAAAAFAQAADwAAAAAAAAABACAAAAAiAAAAZHJzL2Rvd25yZXYu&#10;eG1sUEsBAhQAFAAAAAgAh07iQBH6i779AQAAqwMAAA4AAAAAAAAAAQAgAAAAJQEAAGRycy9lMm9E&#10;b2MueG1sUEsFBgAAAAAGAAYAWQEAAJQFA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1154430;top:2379980;height:262255;width:56388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FBBhiU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4125</w:t>
                        </w:r>
                      </w:p>
                    </w:txbxContent>
                  </v:textbox>
                </v:shape>
                <v:shape id="文本框 582" o:spid="_x0000_s1026" o:spt="202" type="#_x0000_t202" style="position:absolute;left:1965960;top:2425700;height:248920;width:1087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putl9YAAAAFAQAADwAAAAAAAAABACAAAAAiAAAAZHJz&#10;L2Rvd25yZXYueG1sUEsBAhQAFAAAAAgAh07iQD7JmEM/AgAAUQQAAA4AAAAAAAAAAQAgAAAAJQEA&#10;AGRycy9lMm9Eb2MueG1sUEsFBgAAAAAGAAYAWQEAANY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软水制备系统</w:t>
                        </w:r>
                      </w:p>
                    </w:txbxContent>
                  </v:textbox>
                </v:shape>
                <v:shape id="文本框 583" o:spid="_x0000_s1026" o:spt="202" type="#_x0000_t202" style="position:absolute;left:1849120;top:3023235;height:267970;width:144335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m62X1gAAAAUBAAAPAAAAAAAAAAEAIAAAACIA&#10;AABkcnMvZG93bnJldi54bWxQSwECFAAUAAAACACHTuJAvS9HMUQCAABRBAAADgAAAAAAAAABACAA&#10;AAAlAQAAZHJzL2Uyb0RvYy54bWxQSwUGAAAAAAYABgBZAQAA2w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变压器循环冷却用水</w:t>
                        </w:r>
                      </w:p>
                    </w:txbxContent>
                  </v:textbox>
                </v:shape>
                <v:line id="直接连接符 584" o:spid="_x0000_s1026" o:spt="20" style="position:absolute;left:2495550;top:2684145;height:365125;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XsJnVAAAABQEAAA8AAAAAAAAAAQAgAAAAIgAAAGRycy9kb3ducmV2LnhtbFBLAQIUABQA&#10;AAAIAIdO4kBZl70B8wEAAJ4DAAAOAAAAAAAAAAEAIAAAACQBAABkcnMvZTJvRG9jLnhtbFBLBQYA&#10;AAAABgAGAFkBAACJBQAAAAA=&#10;">
                  <v:fill on="f" focussize="0,0"/>
                  <v:stroke weight="0.5pt" color="#000000 [3213]" miterlimit="8" joinstyle="miter" endarrow="block" endarrowwidth="narrow" endarrowlength="long"/>
                  <v:imagedata o:title=""/>
                  <o:lock v:ext="edit" aspectratio="f"/>
                </v:line>
                <v:shape id="文本框 585" o:spid="_x0000_s1026" o:spt="202" type="#_x0000_t202" style="position:absolute;left:2541905;top:271335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Iaaw8M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3300</w:t>
                        </w:r>
                      </w:p>
                    </w:txbxContent>
                  </v:textbox>
                </v:shape>
                <v:line id="直接连接符 586" o:spid="_x0000_s1026" o:spt="20" style="position:absolute;left:2470150;top:3300730;height:243840;width:635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A7nMke8AEAAKEDAAAOAAAAAAAAAAEAIAAAACQBAABkcnMvZTJvRG9jLnhtbFBLBQYAAAAA&#10;BgAGAFkBAACGBQAAAAA=&#10;">
                  <v:fill on="f" focussize="0,0"/>
                  <v:stroke weight="0.5pt" color="#000000 [3213]" miterlimit="8" joinstyle="miter" endarrow="block" endarrowwidth="narrow" endarrowlength="long"/>
                  <v:imagedata o:title=""/>
                  <o:lock v:ext="edit" aspectratio="f"/>
                </v:line>
                <v:line id="直接连接符 587" o:spid="_x0000_s1026" o:spt="20" style="position:absolute;left:1327785;top:3533140;flip:x;height:0;width:1162685;"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w4ou2AAAAAUBAAAPAAAAAAAAAAEAIAAAACIAAABkcnMvZG93bnJldi54bWxQ&#10;SwECFAAUAAAACACHTuJA06lo2PcBAAClAwAADgAAAAAAAAABACAAAAAnAQAAZHJzL2Uyb0RvYy54&#10;bWxQSwUGAAAAAAYABgBZAQAAkAUAAAAA&#10;">
                  <v:fill on="f" focussize="0,0"/>
                  <v:stroke weight="0.5pt" color="#000000 [3213]" miterlimit="8" joinstyle="miter" endarrowwidth="narrow" endarrowlength="long"/>
                  <v:imagedata o:title=""/>
                  <o:lock v:ext="edit" aspectratio="f"/>
                </v:line>
                <v:line id="直接连接符 588" o:spid="_x0000_s1026" o:spt="20" style="position:absolute;left:1329055;top:3239770;flip:y;height:301625;width:0;"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3Dii7YAAAABQEAAA8AAAAAAAAAAQAgAAAAIgAAAGRycy9kb3ducmV2LnhtbFBL&#10;AQIUABQAAAAIAIdO4kARvQPl9gEAAKQDAAAOAAAAAAAAAAEAIAAAACcBAABkcnMvZTJvRG9jLnht&#10;bFBLBQYAAAAABgAGAFkBAACPBQAAAAA=&#10;">
                  <v:fill on="f" focussize="0,0"/>
                  <v:stroke weight="0.5pt" color="#000000 [3213]" miterlimit="8" joinstyle="miter" endarrowwidth="narrow" endarrowlength="long"/>
                  <v:imagedata o:title=""/>
                  <o:lock v:ext="edit" aspectratio="f"/>
                </v:line>
                <v:line id="直接连接符 589" o:spid="_x0000_s1026" o:spt="20" style="position:absolute;left:1314450;top:3256280;height:0;width:53340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17CZ1QAAAAUBAAAPAAAAAAAAAAEAIAAAACIAAABkcnMvZG93bnJldi54bWxQSwECFAAUAAAA&#10;CACHTuJA8njWQvEBAACeAwAADgAAAAAAAAABACAAAAAkAQAAZHJzL2Uyb0RvYy54bWxQSwUGAAAA&#10;AAYABgBZAQAAhwUAAAAA&#10;">
                  <v:fill on="f" focussize="0,0"/>
                  <v:stroke weight="0.5pt" color="#000000 [3213]" miterlimit="8" joinstyle="miter" endarrow="block" endarrowwidth="narrow" endarrowlength="long"/>
                  <v:imagedata o:title=""/>
                  <o:lock v:ext="edit" aspectratio="f"/>
                </v:line>
                <v:shape id="文本框 590" o:spid="_x0000_s1026" o:spt="202" type="#_x0000_t202" style="position:absolute;left:1575435;top:3334385;height:262255;width:69723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IZ4two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3798300</w:t>
                        </w:r>
                      </w:p>
                    </w:txbxContent>
                  </v:textbox>
                </v:shape>
                <v:line id="直接连接符 591" o:spid="_x0000_s1026" o:spt="20" style="position:absolute;left:3053080;top:2550160;height:635;width:168973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HXsJnVAAAABQEAAA8AAAAAAAAAAQAgAAAAIgAAAGRycy9k&#10;b3ducmV2LnhtbFBLAQIUABQAAAAIAIdO4kA7/ZmfBQIAAMkDAAAOAAAAAAAAAAEAIAAAACQBAABk&#10;cnMvZTJvRG9jLnhtbFBLBQYAAAAABgAGAFkBAACbBQAAAAA=&#10;">
                  <v:fill on="f" focussize="0,0"/>
                  <v:stroke weight="0.5pt" color="#000000 [3213]" miterlimit="8" joinstyle="miter" endarrow="block" endarrowwidth="narrow" endarrowlength="long"/>
                  <v:imagedata o:title=""/>
                  <o:lock v:ext="edit" aspectratio="f"/>
                </v:line>
                <v:line id="直接连接符 592" o:spid="_x0000_s1026" o:spt="20" style="position:absolute;left:4720590;top:2553335;height:2058670;width:444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XsJnVAAAABQEAAA8AAAAAAAAAAQAgAAAAIgAAAGRycy9kb3ducmV2LnhtbFBLAQIU&#10;ABQAAAAIAIdO4kDLUgtF9gEAAKIDAAAOAAAAAAAAAAEAIAAAACQBAABkcnMvZTJvRG9jLnhtbFBL&#10;BQYAAAAABgAGAFkBAACMBQAAAAA=&#10;">
                  <v:fill on="f" focussize="0,0"/>
                  <v:stroke weight="0.5pt" color="#000000 [3213]" miterlimit="8" joinstyle="miter" endarrow="block" endarrowwidth="narrow" endarrowlength="long"/>
                  <v:imagedata o:title=""/>
                  <o:lock v:ext="edit" aspectratio="f"/>
                </v:line>
                <v:shape id="文本框 593" o:spid="_x0000_s1026" o:spt="202" type="#_x0000_t202" style="position:absolute;left:1965960;top:3964940;height:230505;width:137223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KbrZfWAAAABQEAAA8AAAAAAAAAAQAgAAAAIgAA&#10;AGRycy9kb3ducmV2LnhtbFBLAQIUABQAAAAIAIdO4kDZ2TxaQwIAAFEEAAAOAAAAAAAAAAEAIAAA&#10;ACUBAABkcnMvZTJvRG9jLnhtbFBLBQYAAAAABgAGAFkBAADa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电煅炉冷却用水</w:t>
                        </w:r>
                      </w:p>
                    </w:txbxContent>
                  </v:textbox>
                </v:shape>
                <v:line id="直接连接符 594" o:spid="_x0000_s1026" o:spt="20" style="position:absolute;left:777875;top:4093845;height:3175;width:119634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B17CZ1QAAAAUBAAAPAAAAAAAAAAEAIAAAACIAAABkcnMvZG93bnJldi54bWxQSwECFAAU&#10;AAAACACHTuJA6szvnvQBAAChAwAADgAAAAAAAAABACAAAAAkAQAAZHJzL2Uyb0RvYy54bWxQSwUG&#10;AAAAAAYABgBZAQAAigUAAAAA&#10;">
                  <v:fill on="f" focussize="0,0"/>
                  <v:stroke weight="0.5pt" color="#000000 [3213]" miterlimit="8" joinstyle="miter" endarrow="block" endarrowwidth="narrow" endarrowlength="long"/>
                  <v:imagedata o:title=""/>
                  <o:lock v:ext="edit" aspectratio="f"/>
                </v:line>
                <v:shape id="文本框 595" o:spid="_x0000_s1026" o:spt="202" type="#_x0000_t202" style="position:absolute;left:1219835;top:388683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qON9u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142560</w:t>
                        </w:r>
                      </w:p>
                    </w:txbxContent>
                  </v:textbox>
                </v:shape>
                <v:line id="直接连接符 596" o:spid="_x0000_s1026" o:spt="20" style="position:absolute;left:1491615;top:4087495;flip:y;height:452755;width: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EHAy736AQAAqAMAAA4AAAAAAAAAAQAgAAAAJQEAAGRycy9lMm9Eb2Mu&#10;eG1sUEsFBgAAAAAGAAYAWQEAAJEFAAAAAA==&#10;">
                  <v:fill on="f" focussize="0,0"/>
                  <v:stroke weight="0.5pt" color="#000000 [3213]" miterlimit="8" joinstyle="miter" endarrow="block" endarrowwidth="narrow" endarrowlength="long"/>
                  <v:imagedata o:title=""/>
                  <o:lock v:ext="edit" aspectratio="f"/>
                </v:line>
                <v:line id="直接连接符 597" o:spid="_x0000_s1026" o:spt="20" style="position:absolute;left:1483995;top:4523740;flip:x;height:635;width:1158240;" filled="f" stroked="t" coordsize="21600,21600" o:gfxdata="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3Dii7YAAAABQEAAA8AAAAAAAAAAQAgAAAAIgAAAGRycy9kb3ducmV2LnhtbFBL&#10;AQIUABQAAAAIAIdO4kD0DMwK9gEAAKcDAAAOAAAAAAAAAAEAIAAAACcBAABkcnMvZTJvRG9jLnht&#10;bFBLBQYAAAAABgAGAFkBAACPBQAAAAA=&#10;">
                  <v:fill on="f" focussize="0,0"/>
                  <v:stroke weight="0.5pt" color="#000000 [3213]" miterlimit="8" joinstyle="miter" endarrowwidth="narrow" endarrowlength="long"/>
                  <v:imagedata o:title=""/>
                  <o:lock v:ext="edit" aspectratio="f"/>
                </v:line>
                <v:line id="直接连接符 598" o:spid="_x0000_s1026" o:spt="20" style="position:absolute;left:2650490;top:4195445;flip:x;height:360680;width:190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HC+HLWAAAABQEAAA8AAAAAAAAAAQAg&#10;AAAAIgAAAGRycy9kb3ducmV2LnhtbFBLAQIUABQAAAAIAIdO4kD7VONOEAIAANMDAAAOAAAAAAAA&#10;AAEAIAAAACUBAABkcnMvZTJvRG9jLnhtbFBLBQYAAAAABgAGAFkBAACnBQAAAAA=&#10;">
                  <v:fill on="f" focussize="0,0"/>
                  <v:stroke weight="0.5pt" color="#000000 [3213]" miterlimit="8" joinstyle="miter" endarrow="block" endarrowwidth="narrow" endarrowlength="long"/>
                  <v:imagedata o:title=""/>
                  <o:lock v:ext="edit" aspectratio="f"/>
                </v:line>
                <v:shape id="文本框 599" o:spid="_x0000_s1026" o:spt="202" type="#_x0000_t202" style="position:absolute;left:1584960;top:4331335;height:262255;width:9436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TmBwki4CAAAn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23617440</w:t>
                        </w:r>
                      </w:p>
                    </w:txbxContent>
                  </v:textbox>
                </v:shape>
                <v:line id="直接连接符 600" o:spid="_x0000_s1026" o:spt="20" style="position:absolute;left:2652395;top:3836035;flip:y;height:128905;width:54610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cL4ctYAAAAFAQAADwAAAAAAAAABACAA&#10;AAAiAAAAZHJzL2Rvd25yZXYueG1sUEsBAhQAFAAAAAgAh07iQAqgx7cPAgAA1QMAAA4AAAAAAAAA&#10;AQAgAAAAJQEAAGRycy9lMm9Eb2MueG1sUEsFBgAAAAAGAAYAWQEAAKYFAAAAAA==&#10;">
                  <v:fill on="f" focussize="0,0"/>
                  <v:stroke weight="0.5pt" color="#000000 [3213]" miterlimit="8" joinstyle="miter" endarrow="block" endarrowwidth="narrow" endarrowlength="long"/>
                  <v:imagedata o:title=""/>
                  <o:lock v:ext="edit" aspectratio="f"/>
                </v:line>
                <v:shape id="文本框 601" o:spid="_x0000_s1026" o:spt="202" type="#_x0000_t202" style="position:absolute;left:3180715;top:369570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Nr0ARg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损耗118800</w:t>
                        </w:r>
                      </w:p>
                    </w:txbxContent>
                  </v:textbox>
                </v:shape>
                <v:line id="直接连接符 602" o:spid="_x0000_s1026" o:spt="20" style="position:absolute;left:2571115;top:2937510;flip:y;height:85725;width:51943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L4ctYAAAAFAQAADwAAAAAAAAABACAAAAAi&#10;AAAAZHJzL2Rvd25yZXYueG1sUEsBAhQAFAAAAAgAh07iQGPsJHkMAgAA1A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文本框 603" o:spid="_x0000_s1026" o:spt="202" type="#_x0000_t202" style="position:absolute;left:3045460;top:2679700;height:261620;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ISy9dY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损耗2640</w:t>
                        </w:r>
                      </w:p>
                    </w:txbxContent>
                  </v:textbox>
                </v:shape>
                <v:shape id="文本框 604" o:spid="_x0000_s1026" o:spt="202" type="#_x0000_t202" style="position:absolute;left:1779270;top:2005330;height:287020;width:144335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&#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m62X1gAAAAUBAAAPAAAAAAAAAAEAIAAAACIAAABk&#10;cnMvZG93bnJldi54bWxQSwECFAAUAAAACACHTuJApP2/iEECAABRBAAADgAAAAAAAAABACAAAAAl&#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脱硫系统补充用水</w:t>
                        </w:r>
                      </w:p>
                    </w:txbxContent>
                  </v:textbox>
                </v:shape>
                <v:line id="直接连接符 658" o:spid="_x0000_s1026" o:spt="20" style="position:absolute;left:4093845;top:2162810;flip:x y;height:388620;width:1905;" filled="f" stroked="t" coordsize="21600,21600" o:gfxdata="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DdUb1gAAAAUBAAAPAAAAAAAAAAEAIAAAACIAAABkcnMvZG93&#10;bnJldi54bWxQSwECFAAUAAAACACHTuJAxFb6FAICAAC1AwAADgAAAAAAAAABACAAAAAlAQAAZHJz&#10;L2Uyb0RvYy54bWxQSwUGAAAAAAYABgBZAQAAmQUAAAAA&#10;">
                  <v:fill on="f" focussize="0,0"/>
                  <v:stroke weight="0.5pt" color="#000000 [3213]" miterlimit="8" joinstyle="miter" endarrow="block" endarrowwidth="narrow" endarrowlength="long"/>
                  <v:imagedata o:title=""/>
                  <o:lock v:ext="edit" aspectratio="f"/>
                </v:line>
                <v:line id="直接连接符 659" o:spid="_x0000_s1026" o:spt="20" style="position:absolute;left:3215640;top:2165350;flip:x;height:3175;width:88519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wvhy1gAAAAUBAAAPAAAAAAAAAAEAIAAAACIAAABkcnMvZG93bnJldi54&#10;bWxQSwECFAAUAAAACACHTuJA107VzvwBAACrAwAADgAAAAAAAAABACAAAAAlAQAAZHJzL2Uyb0Rv&#10;Yy54bWxQSwUGAAAAAAYABgBZAQAAkwUAAAAA&#10;">
                  <v:fill on="f" focussize="0,0"/>
                  <v:stroke weight="0.5pt" color="#000000 [3213]" miterlimit="8" joinstyle="miter" endarrow="block" endarrowwidth="narrow" endarrowlength="long"/>
                  <v:imagedata o:title=""/>
                  <o:lock v:ext="edit" aspectratio="f"/>
                </v:line>
                <v:shape id="文本框 660" o:spid="_x0000_s1026" o:spt="202" type="#_x0000_t202" style="position:absolute;left:3387725;top:212725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g63VeygCAAAn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color w:val="auto"/>
                            <w:sz w:val="21"/>
                            <w:lang w:val="en-US" w:eastAsia="zh-CN"/>
                          </w:rPr>
                        </w:pPr>
                        <w:r>
                          <w:rPr>
                            <w:rFonts w:hint="eastAsia"/>
                            <w:color w:val="auto"/>
                            <w:sz w:val="21"/>
                            <w:lang w:val="en-US" w:eastAsia="zh-CN"/>
                          </w:rPr>
                          <w:t>140.76</w:t>
                        </w:r>
                      </w:p>
                    </w:txbxContent>
                  </v:textbox>
                </v:shape>
                <v:shape id="文本框 661" o:spid="_x0000_s1026" o:spt="202" type="#_x0000_t202" style="position:absolute;left:3103880;top:234315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Bi29hsKgIAACc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825</w:t>
                        </w:r>
                      </w:p>
                    </w:txbxContent>
                  </v:textbox>
                </v:shape>
                <v:shape id="文本框 662" o:spid="_x0000_s1026" o:spt="202" type="#_x0000_t202" style="position:absolute;left:4124960;top:234759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Di0AfS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684.24</w:t>
                        </w:r>
                      </w:p>
                    </w:txbxContent>
                  </v:textbox>
                </v:shape>
                <v:line id="直接连接符 663" o:spid="_x0000_s1026" o:spt="20" style="position:absolute;left:3292475;top:3153410;flip:y;height:3810;width:142811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cL4ctYAAAAFAQAADwAAAAAAAAABACAAAAAi&#10;AAAAZHJzL2Rvd25yZXYueG1sUEsBAhQAFAAAAAgAh07iQH6evvUMAgAA1A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文本框 664" o:spid="_x0000_s1026" o:spt="202" type="#_x0000_t202" style="position:absolute;left:3943985;top:2974975;height:225425;width:47879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GLbeRi4CAAAn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660</w:t>
                        </w:r>
                      </w:p>
                    </w:txbxContent>
                  </v:textbox>
                </v:shape>
                <v:line id="直接连接符 665" o:spid="_x0000_s1026" o:spt="20" style="position:absolute;left:3338195;top:4077970;flip:y;height:2540;width:138239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C+HLWAAAABQEAAA8AAAAAAAAAAQAgAAAA&#10;IgAAAGRycy9kb3ducmV2LnhtbFBLAQIUABQAAAAIAIdO4kBsSSufDQIAANQDAAAOAAAAAAAAAAEA&#10;IAAAACUBAABkcnMvZTJvRG9jLnhtbFBLBQYAAAAABgAGAFkBAACkBQAAAAA=&#10;">
                  <v:fill on="f" focussize="0,0"/>
                  <v:stroke weight="0.5pt" color="#000000 [3213]" miterlimit="8" joinstyle="miter" endarrow="block" endarrowwidth="narrow" endarrowlength="long"/>
                  <v:imagedata o:title=""/>
                  <o:lock v:ext="edit" aspectratio="f"/>
                </v:line>
                <v:shape id="文本框 666" o:spid="_x0000_s1026" o:spt="202" type="#_x0000_t202" style="position:absolute;left:3315335;top:3895090;height:262255;width:74549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Iu9WLg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23760</w:t>
                        </w:r>
                      </w:p>
                    </w:txbxContent>
                  </v:textbox>
                </v:shape>
                <v:shape id="文本框 668" o:spid="_x0000_s1026" o:spt="202" type="#_x0000_t202" style="position:absolute;left:4986020;top:3877310;height:262255;width:68580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D+hTCK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2595.1954</w:t>
                        </w:r>
                      </w:p>
                    </w:txbxContent>
                  </v:textbox>
                </v:shape>
                <v:shape id="文本框 669" o:spid="_x0000_s1026" o:spt="202" type="#_x0000_t202" style="position:absolute;left:4021455;top:4592955;height:262255;width:130048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qCUPx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清下水21836.93</w:t>
                        </w:r>
                      </w:p>
                    </w:txbxContent>
                  </v:textbox>
                </v:shape>
                <v:shape id="文本框 671" o:spid="_x0000_s1026" o:spt="202" type="#_x0000_t202" style="position:absolute;left:5085715;top:4630420;height:238125;width:97536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Sm62X1gAAAAUBAAAPAAAAAAAAAAEAIAAAACIA&#10;AABkcnMvZG93bnJldi54bWxQSwECFAAUAAAACACHTuJABF+6U0QCAABQBAAADgAAAAAAAAABACAA&#10;AAAlAQAAZHJzL2Uyb0RvYy54bWxQSwUGAAAAAAYABgBZAQAA2w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绿化用水</w:t>
                        </w:r>
                      </w:p>
                    </w:txbxContent>
                  </v:textbox>
                </v:shape>
                <v:line id="直接连接符 672" o:spid="_x0000_s1026" o:spt="20" style="position:absolute;left:5578475;top:4878705;flip:x;height:322580;width:127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xwvhy1gAAAAUBAAAPAAAAAAAAAAEAIAAAACIAAABkcnMvZG93bnJl&#10;di54bWxQSwECFAAUAAAACACHTuJAr4aglf8BAACrAwAADgAAAAAAAAABACAAAAAlAQAAZHJzL2Uy&#10;b0RvYy54bWxQSwUGAAAAAAYABgBZAQAAlgUAAAAA&#10;">
                  <v:fill on="f" focussize="0,0"/>
                  <v:stroke weight="0.5pt" color="#000000 [3213]" miterlimit="8" joinstyle="miter" endarrow="block" endarrowwidth="narrow" endarrowlength="long"/>
                  <v:imagedata o:title=""/>
                  <o:lock v:ext="edit" aspectratio="f"/>
                </v:line>
                <v:shape id="文本框 673" o:spid="_x0000_s1026" o:spt="202" type="#_x0000_t202" style="position:absolute;left:5092065;top:519430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D+mm4E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损耗3267.31</w:t>
                        </w:r>
                      </w:p>
                    </w:txbxContent>
                  </v:textbox>
                </v:shape>
                <v:line id="直接连接符 674" o:spid="_x0000_s1026" o:spt="20" style="position:absolute;left:780415;top:1123315;height:2978150;width:5080;" filled="f" stroked="t" coordsize="21600,21600" o:gfxdata="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471dYAAAAFAQAADwAAAAAAAAABACAAAAAiAAAAZHJzL2Rvd25yZXYueG1sUEsBAhQA&#10;FAAAAAgAh07iQPwnsJ70AQAAnQMAAA4AAAAAAAAAAQAgAAAAJQEAAGRycy9lMm9Eb2MueG1sUEsF&#10;BgAAAAAGAAYAWQEAAIsFAAAAAA==&#10;">
                  <v:fill on="f" focussize="0,0"/>
                  <v:stroke weight="0.5pt" color="#000000 [3213]" miterlimit="8" joinstyle="miter" endarrowwidth="narrow" endarrowlength="long"/>
                  <v:imagedata o:title=""/>
                  <o:lock v:ext="edit" aspectratio="f"/>
                </v:line>
                <v:line id="直接连接符 675" o:spid="_x0000_s1026" o:spt="20" style="position:absolute;left:39370;top:2839720;flip:y;height:1905;width:730250;"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DLNJPH6AQAAq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6" o:spid="_x0000_s1026" o:spt="202" type="#_x0000_t202" style="position:absolute;left:0;top:262445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7wVW9cAAAAFAQAADwAAAAAAAAABACAAAAAiAAAAZHJzL2Rvd25yZXYueG1sUEsBAhQAFAAAAAgA&#10;h07iQAQ749UmAgAAIQQAAA4AAAAAAAAAAQAgAAAAJ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148533</w:t>
                        </w:r>
                      </w:p>
                    </w:txbxContent>
                  </v:textbox>
                </v:shape>
                <v:shape id="文本框 677" o:spid="_x0000_s1026" o:spt="202" type="#_x0000_t202" style="position:absolute;left:0;top:2839085;height:262255;width:76962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zvBVb1wAAAAUBAAAPAAAAAAAAAAEAIAAAACIAAABkcnMvZG93bnJldi54bWxQSwECFAAUAAAA&#10;CACHTuJA3LWv7ygCAAAhBAAADgAAAAAAAAABACAAAAAmAQAAZHJzL2Uyb0RvYy54bWxQSwUGAAAA&#10;AAYABgBZAQAAw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新鲜水</w:t>
                        </w:r>
                      </w:p>
                    </w:txbxContent>
                  </v:textbox>
                </v:shape>
                <v:line id="直接连接符 678" o:spid="_x0000_s1026" o:spt="20" style="position:absolute;left:2446655;top:1884045;flip:y;height:113665;width:28638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L4ctYAAAAFAQAADwAAAAAAAAABACAAAAAiAAAAZHJzL2Rvd25yZXYueG1s&#10;UEsBAhQAFAAAAAgAh07iQCcGHCb6AQAArQMAAA4AAAAAAAAAAQAgAAAAJQEAAGRycy9lMm9Eb2Mu&#10;eG1sUEsFBgAAAAAGAAYAWQEAAJEFAAAAAA==&#10;">
                  <v:fill on="f" focussize="0,0"/>
                  <v:stroke weight="0.5pt" color="#000000 [3213]" miterlimit="8" joinstyle="miter" endarrow="block" endarrowwidth="narrow" endarrowlength="long"/>
                  <v:imagedata o:title=""/>
                  <o:lock v:ext="edit" aspectratio="f"/>
                </v:line>
                <v:shape id="文本框 679" o:spid="_x0000_s1026" o:spt="202" type="#_x0000_t202" style="position:absolute;left:2676525;top:1730375;height:261620;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7wVW9cAAAAFAQAADwAAAAAAAAABACAAAAAiAAAAZHJzL2Rvd25yZXYueG1sUEsB&#10;AhQAFAAAAAgAh07iQOVz6V0vAgAAKAQAAA4AAAAAAAAAAQAgAAAAJg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损耗进入33.2</w:t>
                        </w:r>
                      </w:p>
                    </w:txbxContent>
                  </v:textbox>
                </v:shape>
                <v:line id="直接连接符 680" o:spid="_x0000_s1026" o:spt="20" style="position:absolute;left:3236595;top:2061210;height:0;width:86360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Awyv4k8AEAAJ4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681" o:spid="_x0000_s1026" o:spt="202" type="#_x0000_t202" style="position:absolute;left:4084955;top:1900555;height:262255;width:163512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LyIQ+o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进入脱硫石膏266.14</w:t>
                        </w:r>
                      </w:p>
                    </w:txbxContent>
                  </v:textbox>
                </v:shape>
                <v:shape id="文本框 7" o:spid="_x0000_s1026" o:spt="202" type="#_x0000_t202" style="position:absolute;left:1941830;top:5742305;height:329565;width:233934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8FQE3LQIAACc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eastAsia="宋体"/>
                            <w:b/>
                            <w:bCs/>
                            <w:sz w:val="24"/>
                            <w:szCs w:val="24"/>
                            <w:lang w:val="en-US" w:eastAsia="zh-CN"/>
                          </w:rPr>
                        </w:pPr>
                        <w:r>
                          <w:rPr>
                            <w:rFonts w:hint="eastAsia"/>
                            <w:b/>
                            <w:bCs/>
                            <w:sz w:val="24"/>
                            <w:szCs w:val="24"/>
                            <w:lang w:val="en-US" w:eastAsia="zh-CN"/>
                          </w:rPr>
                          <w:t>图3.3.2-4 全厂项目水平衡图 t/a</w:t>
                        </w:r>
                      </w:p>
                    </w:txbxContent>
                  </v:textbox>
                </v:shape>
                <v:line id="直接连接符 472" o:spid="_x0000_s1026" o:spt="20" style="position:absolute;left:4720590;top:2543810;height:0;width:86487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dewmdUAAAAFAQAADwAAAAAAAAABACAAAAAiAAAAZHJzL2Rvd25yZXYueG1sUEsBAhQAFAAA&#10;AAgAh07iQKdxF3LyAQAAnwMAAA4AAAAAAAAAAQAgAAAAJAEAAGRycy9lMm9Eb2MueG1sUEsFBgAA&#10;AAAGAAYAWQEAAIgFAAAAAA==&#10;">
                  <v:fill on="f" focussize="0,0"/>
                  <v:stroke weight="0.5pt" color="#000000 [3213]" miterlimit="8" joinstyle="miter" endarrow="block" endarrowwidth="narrow" endarrowlength="long"/>
                  <v:imagedata o:title=""/>
                  <o:lock v:ext="edit" aspectratio="f"/>
                </v:line>
                <v:shape id="文本框 662" o:spid="_x0000_s1026" o:spt="202" type="#_x0000_t202" style="position:absolute;left:4847590;top:233362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AP+f67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v:textbox>
                </v:shape>
                <v:shape id="文本框 662" o:spid="_x0000_s1026" o:spt="202" type="#_x0000_t202" style="position:absolute;left:4641850;top:259778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7wVW9cAAAAFAQAADwAAAAAAAAABACAAAAAiAAAAZHJzL2Rvd25yZXYueG1sUEsBAhQA&#10;FAAAAAgAh07iQJ1zZU0sAgAAKA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342.12</w:t>
                        </w:r>
                      </w:p>
                    </w:txbxContent>
                  </v:textbox>
                </v:shape>
                <v:line id="直接连接符 475" o:spid="_x0000_s1026" o:spt="20" style="position:absolute;left:5585460;top:2550160;height:2100580;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17CZ1QAAAAUBAAAPAAAAAAAAAAEAIAAAACIAAABkcnMvZG93bnJldi54bWxQSwECFAAUAAAA&#10;CACHTuJA2HSeQ/EBAACgAwAADgAAAAAAAAABACAAAAAkAQAAZHJzL2Uyb0RvYy54bWxQSwUGAAAA&#10;AAYABgBZAQAAhwUAAAAA&#10;">
                  <v:fill on="f" focussize="0,0"/>
                  <v:stroke weight="0.5pt" color="#000000 [3213]" miterlimit="8" joinstyle="miter" endarrow="block" endarrowwidth="narrow" endarrowlength="long"/>
                  <v:imagedata o:title=""/>
                  <o:lock v:ext="edit" aspectratio="f"/>
                </v:line>
                <v:line id="直接连接符 476" o:spid="_x0000_s1026" o:spt="20" style="position:absolute;left:4742815;top:3157855;height:0;width:83502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XsJnVAAAABQEAAA8AAAAAAAAAAQAgAAAAIgAAAGRycy9kb3ducmV2LnhtbFBLAQIUABQA&#10;AAAIAIdO4kDbKDvn8wEAAJ8DAAAOAAAAAAAAAAEAIAAAACQBAABkcnMvZTJvRG9jLnhtbFBLBQYA&#10;AAAABgAGAFkBAACJBQAAAAA=&#10;">
                  <v:fill on="f" focussize="0,0"/>
                  <v:stroke weight="0.5pt" color="#000000 [3213]" miterlimit="8" joinstyle="miter" endarrow="block" endarrowwidth="narrow" endarrowlength="long"/>
                  <v:imagedata o:title=""/>
                  <o:lock v:ext="edit" aspectratio="f"/>
                </v:line>
                <v:shape id="文本框 662" o:spid="_x0000_s1026" o:spt="202" type="#_x0000_t202" style="position:absolute;left:4964430;top:296926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ZwDj/isCAAAo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330</w:t>
                        </w:r>
                      </w:p>
                    </w:txbxContent>
                  </v:textbox>
                </v:shape>
                <v:shape id="文本框 662" o:spid="_x0000_s1026" o:spt="202" type="#_x0000_t202" style="position:absolute;left:4634865;top:3205480;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Bsktk4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672.12</w:t>
                        </w:r>
                      </w:p>
                    </w:txbxContent>
                  </v:textbox>
                </v:shape>
                <v:line id="直接连接符 479" o:spid="_x0000_s1026" o:spt="20" style="position:absolute;left:4728210;top:4080510;height:0;width:85725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B17CZ1QAAAAUBAAAPAAAAAAAAAAEAIAAAACIAAABkcnMvZG93bnJldi54bWxQSwECFAAUAAAA&#10;CACHTuJAMTkicvEBAACfAwAADgAAAAAAAAABACAAAAAkAQAAZHJzL2Uyb0RvYy54bWxQSwUGAAAA&#10;AAYABgBZAQAAhwUAAAAA&#10;">
                  <v:fill on="f" focussize="0,0"/>
                  <v:stroke weight="0.5pt" color="#000000 [3213]" miterlimit="8" joinstyle="miter" endarrow="block" endarrowwidth="narrow" endarrowlength="long"/>
                  <v:imagedata o:title=""/>
                  <o:lock v:ext="edit" aspectratio="f"/>
                </v:line>
                <v:shape id="文本框 668" o:spid="_x0000_s1026" o:spt="202" type="#_x0000_t202" style="position:absolute;left:4620895;top:4135120;height:262255;width:7886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BVb1wAAAAUBAAAPAAAAAAAAAAEAIAAAACIAAABkcnMvZG93bnJldi54bWxQSwEC&#10;FAAUAAAACACHTuJAmTl8vS4CAAAo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21836.93</w:t>
                        </w:r>
                      </w:p>
                    </w:txbxContent>
                  </v:textbox>
                </v:shape>
                <v:line id="直接连接符 570" o:spid="_x0000_s1026" o:spt="20" style="position:absolute;left:782955;top:1123950;height:3810;width:116649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XsJnVAAAABQEAAA8AAAAAAAAAAQAgAAAAIgAAAGRycy9kb3ducmV2LnhtbFBLAQIUABQA&#10;AAAIAIdO4kAhXWLv8wEAAKIDAAAOAAAAAAAAAAEAIAAAACQBAABkcnMvZTJvRG9jLnhtbFBLBQYA&#10;AAAABgAGAFkBAACJBQAAAAA=&#10;">
                  <v:fill on="f" focussize="0,0"/>
                  <v:stroke weight="0.5pt" color="#000000 [3213]" miterlimit="8" joinstyle="miter" endarrow="block" endarrowwidth="narrow" endarrowlength="long"/>
                  <v:imagedata o:title=""/>
                  <o:lock v:ext="edit" aspectratio="f"/>
                </v:line>
                <v:shape id="文本框 571" o:spid="_x0000_s1026" o:spt="202" type="#_x0000_t202" style="position:absolute;left:1021080;top:90995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7wVW9cAAAAFAQAADwAAAAAAAAABACAAAAAiAAAAZHJzL2Rvd25yZXYueG1sUEsBAhQAFAAA&#10;AAgAh07iQMn1fVopAgAAJwQAAA4AAAAAAAAAAQAgAAAAJg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264</w:t>
                        </w:r>
                      </w:p>
                    </w:txbxContent>
                  </v:textbox>
                </v:shape>
                <v:shape id="文本框 569" o:spid="_x0000_s1026" o:spt="202" type="#_x0000_t202" style="position:absolute;left:1957705;top:997585;height:245745;width:833120;"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putl9YAAAAFAQAADwAAAAAAAAABACAAAAAiAAAA&#10;ZHJzL2Rvd25yZXYueG1sUEsBAhQAFAAAAAgAh07iQBHqJjhCAgAAUAQAAA4AAAAAAAAAAQAgAAAA&#10;JQ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sz w:val="21"/>
                            <w:lang w:val="en-US" w:eastAsia="zh-CN"/>
                          </w:rPr>
                        </w:pPr>
                        <w:r>
                          <w:rPr>
                            <w:rFonts w:hint="eastAsia"/>
                            <w:sz w:val="21"/>
                            <w:lang w:val="en-US" w:eastAsia="zh-CN"/>
                          </w:rPr>
                          <w:t>食堂用水</w:t>
                        </w:r>
                      </w:p>
                    </w:txbxContent>
                  </v:textbox>
                </v:shape>
                <v:line id="直接连接符 743" o:spid="_x0000_s1026" o:spt="20" style="position:absolute;left:2374265;top:883285;flip:y;height:114300;width:49339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cL4ctYAAAAFAQAADwAAAAAAAAABACAA&#10;AAAiAAAAZHJzL2Rvd25yZXYueG1sUEsBAhQAFAAAAAgAh07iQC4uZA4PAgAA1QMAAA4AAAAAAAAA&#10;AQAgAAAAJQEAAGRycy9lMm9Eb2MueG1sUEsFBgAAAAAGAAYAWQEAAKYFAAAAAA==&#10;">
                  <v:fill on="f" focussize="0,0"/>
                  <v:stroke weight="0.5pt" color="#000000 [3213]" miterlimit="8" joinstyle="miter" endarrow="block" endarrowwidth="narrow" endarrowlength="long"/>
                  <v:imagedata o:title=""/>
                  <o:lock v:ext="edit" aspectratio="f"/>
                </v:line>
                <v:shape id="文本框 574" o:spid="_x0000_s1026" o:spt="202" type="#_x0000_t202" style="position:absolute;left:2846705;top:735330;height:262255;width:100711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8FVvXAAAABQEAAA8AAAAAAAAAAQAgAAAAIgAAAGRycy9kb3ducmV2LnhtbFBLAQIU&#10;ABQAAAAIAIdO4kAVvKGp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损耗52.8</w:t>
                        </w:r>
                      </w:p>
                    </w:txbxContent>
                  </v:textbox>
                </v:shape>
                <v:line id="直接连接符 745" o:spid="_x0000_s1026" o:spt="20" style="position:absolute;left:2790825;top:1120140;flip:y;height:635;width:894715;" filled="f" stroked="t" coordsize="21600,21600" o:gfxdata="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cL4ctYAAAAFAQAADwAAAAAAAAABACAAAAAiAAAA&#10;ZHJzL2Rvd25yZXYueG1sUEsBAhQAFAAAAAgAh07iQKqJx4QJAgAA0wMAAA4AAAAAAAAAAQAgAAAA&#10;JQEAAGRycy9lMm9Eb2MueG1sUEsFBgAAAAAGAAYAWQEAAKAFAAAAAA==&#10;">
                  <v:fill on="f" focussize="0,0"/>
                  <v:stroke weight="0.5pt" color="#000000 [3213]" miterlimit="8" joinstyle="miter" endarrow="block" endarrowwidth="narrow" endarrowlength="long"/>
                  <v:imagedata o:title=""/>
                  <o:lock v:ext="edit" aspectratio="f"/>
                </v:line>
                <v:shape id="文本框 576" o:spid="_x0000_s1026" o:spt="202" type="#_x0000_t202" style="position:absolute;left:3672205;top:965200;height:262255;width:682625;" filled="f" stroked="t" coordsize="21600,21600" o:gfxdata="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&#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KbrZfWAAAABQEAAA8AAAAAAAAAAQAgAAAAIgAAAGRy&#10;cy9kb3ducmV2LnhtbFBLAQIUABQAAAAIAIdO4kDrsRH2QAIAAFAEAAAOAAAAAAAAAAEAIAAAACUB&#10;AABkcnMvZTJvRG9jLnhtbFBLBQYAAAAABgAGAFkBAADX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lang w:val="en-US" w:eastAsia="zh-CN"/>
                          </w:rPr>
                        </w:pPr>
                        <w:r>
                          <w:rPr>
                            <w:rFonts w:hint="eastAsia"/>
                            <w:sz w:val="21"/>
                            <w:lang w:val="en-US" w:eastAsia="zh-CN"/>
                          </w:rPr>
                          <w:t>隔油池池</w:t>
                        </w:r>
                      </w:p>
                    </w:txbxContent>
                  </v:textbox>
                </v:shape>
                <v:line id="直接连接符 747" o:spid="_x0000_s1026" o:spt="20" style="position:absolute;left:4018280;top:1221105;height:246380;width:0;"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XsJnVAAAABQEAAA8AAAAAAAAAAQAgAAAAIgAAAGRycy9kb3ducmV2LnhtbFBLAQIUABQAAAAI&#10;AIdO4kBwBVgj8AEAAJ8DAAAOAAAAAAAAAAEAIAAAACQBAABkcnMvZTJvRG9jLnhtbFBLBQYAAAAA&#10;BgAGAFkBAACGBQAAAAA=&#10;">
                  <v:fill on="f" focussize="0,0"/>
                  <v:stroke weight="0.5pt" color="#000000 [3213]" miterlimit="8" joinstyle="miter" endarrow="block" endarrowwidth="narrow" endarrowlength="long"/>
                  <v:imagedata o:title=""/>
                  <o:lock v:ext="edit" aspectratio="f"/>
                </v:line>
                <v:shape id="文本框 567" o:spid="_x0000_s1026" o:spt="202" type="#_x0000_t202" style="position:absolute;left:2941955;top:934085;height:262255;width:610870;"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vBVb1wAAAAUBAAAPAAAAAAAAAAEAIAAAACIAAABkcnMvZG93bnJldi54bWxQSwECFAAU&#10;AAAACACHTuJAgvBzFi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211.2</w:t>
                        </w:r>
                      </w:p>
                    </w:txbxContent>
                  </v:textbox>
                </v:shape>
                <v:line id="直接连接符 125" o:spid="_x0000_s1026" o:spt="20" style="position:absolute;left:1447165;top:2145030;height:3810;width:332105;" filled="f" stroked="t" coordsize="21600,21600" o:gfxdata="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17CZ1QAAAAUBAAAPAAAAAAAAAAEAIAAAACIAAABkcnMv&#10;ZG93bnJldi54bWxQSwECFAAUAAAACACHTuJAYiqcDQYCAADLAwAADgAAAAAAAAABACAAAAAkAQAA&#10;ZHJzL2Uyb0RvYy54bWxQSwUGAAAAAAYABgBZAQAAnAUAAAAA&#10;">
                  <v:fill on="f" focussize="0,0"/>
                  <v:stroke weight="0.5pt" color="#000000 [3213]" miterlimit="8" joinstyle="miter" endarrow="block" endarrowwidth="narrow" endarrowlength="long"/>
                  <v:imagedata o:title=""/>
                  <o:lock v:ext="edit" aspectratio="f"/>
                </v:line>
                <v:shape id="文本框 581" o:spid="_x0000_s1026" o:spt="202" type="#_x0000_t202" style="position:absolute;left:822960;top:1917700;height:400685;width:744855;" filled="f" stroked="f" coordsize="21600,21600" o:gfxdata="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O8FVvXAAAABQEAAA8AAAAAAAAAAQAgAAAAIgAAAGRycy9kb3ducmV2LnhtbFBLAQIUABQA&#10;AAAIAIdO4kBWtCMCKgIAACc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lang w:val="en-US" w:eastAsia="zh-CN"/>
                          </w:rPr>
                        </w:pPr>
                        <w:r>
                          <w:rPr>
                            <w:rFonts w:hint="eastAsia"/>
                            <w:sz w:val="21"/>
                            <w:lang w:val="en-US" w:eastAsia="zh-CN"/>
                          </w:rPr>
                          <w:t>废气带入163.9</w:t>
                        </w:r>
                      </w:p>
                    </w:txbxContent>
                  </v:textbox>
                </v:shape>
                <w10:wrap type="none"/>
                <w10:anchorlock/>
              </v:group>
            </w:pict>
          </mc:Fallback>
        </mc:AlternateContent>
      </w:r>
    </w:p>
    <w:p>
      <w:pPr>
        <w:pStyle w:val="5"/>
        <w:bidi w:val="0"/>
        <w:outlineLvl w:val="9"/>
        <w:rPr>
          <w:rFonts w:hint="eastAsia"/>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rPr>
          <w:rFonts w:hint="eastAsia"/>
          <w:lang w:val="en-US" w:eastAsia="zh-CN"/>
        </w:rPr>
      </w:pPr>
      <w:r>
        <w:rPr>
          <w:rFonts w:hint="eastAsia"/>
          <w:lang w:val="en-US" w:eastAsia="zh-CN"/>
        </w:rPr>
        <w:t>3.3.3 污染物排放分析</w:t>
      </w:r>
    </w:p>
    <w:p>
      <w:pPr>
        <w:pStyle w:val="6"/>
        <w:bidi w:val="0"/>
        <w:rPr>
          <w:rFonts w:hint="default"/>
          <w:lang w:val="en-US" w:eastAsia="zh-CN"/>
        </w:rPr>
      </w:pPr>
      <w:r>
        <w:rPr>
          <w:rFonts w:hint="eastAsia"/>
          <w:lang w:val="en-US" w:eastAsia="zh-CN"/>
        </w:rPr>
        <w:t xml:space="preserve">3.3.3.1 废气排放分析 </w:t>
      </w:r>
    </w:p>
    <w:p>
      <w:pPr>
        <w:rPr>
          <w:rFonts w:hint="eastAsia"/>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进料粉尘</w:t>
      </w:r>
    </w:p>
    <w:p>
      <w:pPr>
        <w:rPr>
          <w:rFonts w:hint="default"/>
          <w:lang w:val="en-US" w:eastAsia="zh-CN"/>
        </w:rPr>
      </w:pPr>
      <w:r>
        <w:rPr>
          <w:rFonts w:hint="eastAsia"/>
          <w:lang w:val="en-US" w:eastAsia="zh-CN"/>
        </w:rPr>
        <w:t>进料粉尘产生量按产品产量的0.05%计，粉尘产生量为25t/a，该工段每天工作16h。</w:t>
      </w:r>
    </w:p>
    <w:p>
      <w:pPr>
        <w:rPr>
          <w:rFonts w:hint="eastAsia"/>
          <w:lang w:val="en-US" w:eastAsia="zh-CN"/>
        </w:rPr>
      </w:pPr>
      <w:r>
        <w:rPr>
          <w:rFonts w:hint="eastAsia"/>
          <w:lang w:val="en-US" w:eastAsia="zh-CN"/>
        </w:rPr>
        <w:t>每台电煅炉进料口分别采用2套集尘效率</w:t>
      </w:r>
      <w:r>
        <w:rPr>
          <w:rFonts w:hint="default" w:ascii="Arial" w:hAnsi="Arial" w:cs="Arial"/>
          <w:lang w:val="en-US" w:eastAsia="zh-CN"/>
        </w:rPr>
        <w:t>≥</w:t>
      </w:r>
      <w:r>
        <w:rPr>
          <w:rFonts w:hint="eastAsia"/>
          <w:lang w:val="en-US" w:eastAsia="zh-CN"/>
        </w:rPr>
        <w:t>95%的集尘罩除尘下灰，收集后的粉尘汇集后经净化效率为99.5%的袋式除尘器进行处理后由一根35m的排气筒排放。</w:t>
      </w:r>
    </w:p>
    <w:p>
      <w:pPr>
        <w:rPr>
          <w:rFonts w:hint="eastAsia"/>
          <w:lang w:val="en-US" w:eastAsia="zh-CN"/>
        </w:rPr>
      </w:pPr>
      <w:r>
        <w:rPr>
          <w:rFonts w:hint="eastAsia"/>
          <w:lang w:val="en-US" w:eastAsia="zh-CN"/>
        </w:rPr>
        <w:t>进料粉尘G</w:t>
      </w:r>
      <w:r>
        <w:rPr>
          <w:rFonts w:hint="eastAsia"/>
          <w:vertAlign w:val="subscript"/>
          <w:lang w:val="en-US" w:eastAsia="zh-CN"/>
        </w:rPr>
        <w:t>1-1</w:t>
      </w:r>
      <w:r>
        <w:rPr>
          <w:rFonts w:hint="eastAsia"/>
          <w:lang w:val="en-US" w:eastAsia="zh-CN"/>
        </w:rPr>
        <w:t>：粉尘产生速率为23.75t/a、4.50kg/h，排气量为2000m</w:t>
      </w:r>
      <w:r>
        <w:rPr>
          <w:rFonts w:hint="eastAsia"/>
          <w:vertAlign w:val="superscript"/>
          <w:lang w:val="en-US" w:eastAsia="zh-CN"/>
        </w:rPr>
        <w:t>3</w:t>
      </w:r>
      <w:r>
        <w:rPr>
          <w:rFonts w:hint="eastAsia"/>
          <w:lang w:val="en-US" w:eastAsia="zh-CN"/>
        </w:rPr>
        <w:t>/h，产生浓度为2249.05mg/m</w:t>
      </w:r>
      <w:r>
        <w:rPr>
          <w:rFonts w:hint="eastAsia"/>
          <w:vertAlign w:val="superscript"/>
          <w:lang w:val="en-US" w:eastAsia="zh-CN"/>
        </w:rPr>
        <w:t>3</w:t>
      </w:r>
      <w:r>
        <w:rPr>
          <w:rFonts w:hint="eastAsia"/>
          <w:lang w:val="en-US" w:eastAsia="zh-CN"/>
        </w:rPr>
        <w:t>，排放量为0.12t/a、排放速率为0.022kg/h，排放浓度为11.23mg/m</w:t>
      </w:r>
      <w:r>
        <w:rPr>
          <w:rFonts w:hint="eastAsia"/>
          <w:vertAlign w:val="superscript"/>
          <w:lang w:val="en-US" w:eastAsia="zh-CN"/>
        </w:rPr>
        <w:t>3</w:t>
      </w:r>
      <w:r>
        <w:rPr>
          <w:rFonts w:hint="eastAsia"/>
          <w:lang w:val="en-US" w:eastAsia="zh-CN"/>
        </w:rPr>
        <w:t>。</w:t>
      </w:r>
    </w:p>
    <w:p>
      <w:pPr>
        <w:rPr>
          <w:rFonts w:hint="eastAsia"/>
          <w:lang w:val="en-US" w:eastAsia="zh-CN"/>
        </w:rPr>
      </w:pPr>
      <w:r>
        <w:rPr>
          <w:rFonts w:hint="eastAsia"/>
          <w:lang w:val="en-US" w:eastAsia="zh-CN"/>
        </w:rPr>
        <w:t>进料G</w:t>
      </w:r>
      <w:r>
        <w:rPr>
          <w:rFonts w:hint="eastAsia"/>
          <w:vertAlign w:val="subscript"/>
          <w:lang w:val="en-US" w:eastAsia="zh-CN"/>
        </w:rPr>
        <w:t>U1-1</w:t>
      </w:r>
      <w:r>
        <w:rPr>
          <w:rFonts w:hint="eastAsia"/>
          <w:lang w:val="en-US" w:eastAsia="zh-CN"/>
        </w:rPr>
        <w:t>无组织粉尘产生量为1.25t/a，0.24g/h。</w:t>
      </w:r>
    </w:p>
    <w:p>
      <w:pPr>
        <w:rPr>
          <w:rFonts w:hint="eastAsia"/>
          <w:vertAlign w:val="subscript"/>
          <w:lang w:val="en-US" w:eastAsia="zh-CN"/>
        </w:rPr>
      </w:pPr>
      <w:r>
        <w:rPr>
          <w:rFonts w:hint="default"/>
          <w:lang w:val="en-US" w:eastAsia="zh-CN"/>
        </w:rPr>
        <w:fldChar w:fldCharType="begin"/>
      </w:r>
      <w:r>
        <w:rPr>
          <w:rFonts w:hint="default"/>
          <w:lang w:val="en-US" w:eastAsia="zh-CN"/>
        </w:rPr>
        <w:instrText xml:space="preserve"> = 2 \* GB2 \* MERGEFORMAT </w:instrText>
      </w:r>
      <w:r>
        <w:rPr>
          <w:rFonts w:hint="default"/>
          <w:lang w:val="en-US" w:eastAsia="zh-CN"/>
        </w:rPr>
        <w:fldChar w:fldCharType="separate"/>
      </w:r>
      <w:r>
        <w:t>⑵</w:t>
      </w:r>
      <w:r>
        <w:rPr>
          <w:rFonts w:hint="default"/>
          <w:lang w:val="en-US" w:eastAsia="zh-CN"/>
        </w:rPr>
        <w:fldChar w:fldCharType="end"/>
      </w:r>
      <w:r>
        <w:rPr>
          <w:rFonts w:hint="eastAsia"/>
          <w:lang w:val="en-US" w:eastAsia="zh-CN"/>
        </w:rPr>
        <w:t>电煅废气G</w:t>
      </w:r>
      <w:r>
        <w:rPr>
          <w:rFonts w:hint="eastAsia"/>
          <w:vertAlign w:val="subscript"/>
          <w:lang w:val="en-US" w:eastAsia="zh-CN"/>
        </w:rPr>
        <w:t>1-2</w:t>
      </w:r>
    </w:p>
    <w:p>
      <w:pPr>
        <w:rPr>
          <w:rFonts w:hint="default"/>
          <w:vertAlign w:val="baseline"/>
          <w:lang w:val="en-US" w:eastAsia="zh-CN"/>
        </w:rPr>
      </w:pPr>
      <w:r>
        <w:rPr>
          <w:rFonts w:hint="eastAsia"/>
          <w:vertAlign w:val="baseline"/>
          <w:lang w:val="en-US" w:eastAsia="zh-CN"/>
        </w:rPr>
        <w:t>电煅阶段的废气主要有烟尘、SO</w:t>
      </w:r>
      <w:r>
        <w:rPr>
          <w:rFonts w:hint="eastAsia"/>
          <w:vertAlign w:val="subscript"/>
          <w:lang w:val="en-US" w:eastAsia="zh-CN"/>
        </w:rPr>
        <w:t>2</w:t>
      </w:r>
      <w:r>
        <w:rPr>
          <w:rFonts w:hint="eastAsia"/>
          <w:vertAlign w:val="baseline"/>
          <w:lang w:val="en-US" w:eastAsia="zh-CN"/>
        </w:rPr>
        <w:t>、NOx，本项目通过物料横算法计算SO</w:t>
      </w:r>
      <w:r>
        <w:rPr>
          <w:rFonts w:hint="eastAsia"/>
          <w:vertAlign w:val="subscript"/>
          <w:lang w:val="en-US" w:eastAsia="zh-CN"/>
        </w:rPr>
        <w:t>2</w:t>
      </w:r>
      <w:r>
        <w:rPr>
          <w:rFonts w:hint="eastAsia"/>
          <w:vertAlign w:val="baseline"/>
          <w:lang w:val="en-US" w:eastAsia="zh-CN"/>
        </w:rPr>
        <w:t>产生量，采用排污系数法计算NOx、采用产污系数法计算烟尘。</w:t>
      </w:r>
    </w:p>
    <w:p>
      <w:pPr>
        <w:rPr>
          <w:rFonts w:hint="default"/>
          <w:lang w:val="en-US" w:eastAsia="zh-CN"/>
        </w:rPr>
      </w:pPr>
      <w:r>
        <w:rPr>
          <w:rFonts w:hint="eastAsia"/>
          <w:lang w:val="en-US" w:eastAsia="zh-CN"/>
        </w:rPr>
        <w:t>SO</w:t>
      </w:r>
      <w:r>
        <w:rPr>
          <w:rFonts w:hint="eastAsia"/>
          <w:vertAlign w:val="subscript"/>
          <w:lang w:val="en-US" w:eastAsia="zh-CN"/>
        </w:rPr>
        <w:t>2</w:t>
      </w:r>
      <w:r>
        <w:rPr>
          <w:rFonts w:hint="eastAsia"/>
          <w:lang w:val="en-US" w:eastAsia="zh-CN"/>
        </w:rPr>
        <w:t>:</w:t>
      </w:r>
    </w:p>
    <w:p>
      <w:pPr>
        <w:pStyle w:val="27"/>
        <w:bidi w:val="0"/>
        <w:rPr>
          <w:rFonts w:hint="eastAsia"/>
          <w:lang w:val="en-US" w:eastAsia="zh-CN"/>
        </w:rPr>
      </w:pPr>
      <w:r>
        <w:rPr>
          <w:rFonts w:hint="eastAsia"/>
          <w:lang w:val="en-US" w:eastAsia="zh-CN"/>
        </w:rPr>
        <w:t>表3.3.3-1 电煅前后原料中硫的变化情况</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170"/>
        <w:gridCol w:w="699"/>
        <w:gridCol w:w="1297"/>
        <w:gridCol w:w="1474"/>
        <w:gridCol w:w="1048"/>
        <w:gridCol w:w="699"/>
        <w:gridCol w:w="1295"/>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pct"/>
            <w:gridSpan w:val="4"/>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入炉前</w:t>
            </w:r>
          </w:p>
        </w:tc>
        <w:tc>
          <w:tcPr>
            <w:tcW w:w="2267" w:type="pct"/>
            <w:gridSpan w:val="4"/>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出炉后</w:t>
            </w:r>
          </w:p>
        </w:tc>
        <w:tc>
          <w:tcPr>
            <w:tcW w:w="649"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损失量t/a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物料</w:t>
            </w:r>
          </w:p>
        </w:tc>
        <w:tc>
          <w:tcPr>
            <w:tcW w:w="587"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用量t/a</w:t>
            </w:r>
          </w:p>
        </w:tc>
        <w:tc>
          <w:tcPr>
            <w:tcW w:w="351"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硫%</w:t>
            </w:r>
          </w:p>
        </w:tc>
        <w:tc>
          <w:tcPr>
            <w:tcW w:w="649"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含硫量t/a</w:t>
            </w:r>
          </w:p>
        </w:tc>
        <w:tc>
          <w:tcPr>
            <w:tcW w:w="740"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产品</w:t>
            </w:r>
          </w:p>
        </w:tc>
        <w:tc>
          <w:tcPr>
            <w:tcW w:w="526"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产量t/a</w:t>
            </w:r>
          </w:p>
        </w:tc>
        <w:tc>
          <w:tcPr>
            <w:tcW w:w="351"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硫%</w:t>
            </w:r>
          </w:p>
        </w:tc>
        <w:tc>
          <w:tcPr>
            <w:tcW w:w="649"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含硫量t/a</w:t>
            </w:r>
          </w:p>
        </w:tc>
        <w:tc>
          <w:tcPr>
            <w:tcW w:w="649" w:type="pct"/>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煅后焦</w:t>
            </w:r>
          </w:p>
        </w:tc>
        <w:tc>
          <w:tcPr>
            <w:tcW w:w="587" w:type="pct"/>
            <w:vAlign w:val="center"/>
          </w:tcPr>
          <w:p>
            <w:pPr>
              <w:pStyle w:val="28"/>
              <w:suppressLineNumbers w:val="0"/>
              <w:bidi w:val="0"/>
              <w:spacing w:before="0" w:after="0"/>
              <w:ind w:left="0" w:right="0"/>
              <w:jc w:val="center"/>
              <w:rPr>
                <w:rFonts w:hint="default"/>
                <w:lang w:val="en-US" w:eastAsia="zh-CN"/>
              </w:rPr>
            </w:pPr>
            <w:r>
              <w:rPr>
                <w:rFonts w:hint="eastAsia"/>
                <w:sz w:val="21"/>
                <w:lang w:val="en-US" w:eastAsia="zh-CN"/>
              </w:rPr>
              <w:t>50589.95</w:t>
            </w:r>
          </w:p>
        </w:tc>
        <w:tc>
          <w:tcPr>
            <w:tcW w:w="351"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0.3</w:t>
            </w:r>
          </w:p>
        </w:tc>
        <w:tc>
          <w:tcPr>
            <w:tcW w:w="649"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 xml:space="preserve">151.28 </w:t>
            </w:r>
          </w:p>
        </w:tc>
        <w:tc>
          <w:tcPr>
            <w:tcW w:w="740"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新型增碳剂</w:t>
            </w:r>
          </w:p>
        </w:tc>
        <w:tc>
          <w:tcPr>
            <w:tcW w:w="526"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50000</w:t>
            </w:r>
          </w:p>
        </w:tc>
        <w:tc>
          <w:tcPr>
            <w:tcW w:w="351"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0.05</w:t>
            </w:r>
          </w:p>
        </w:tc>
        <w:tc>
          <w:tcPr>
            <w:tcW w:w="649"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25</w:t>
            </w:r>
          </w:p>
        </w:tc>
        <w:tc>
          <w:tcPr>
            <w:tcW w:w="649"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126.28</w:t>
            </w:r>
          </w:p>
        </w:tc>
      </w:tr>
    </w:tbl>
    <w:p>
      <w:pPr>
        <w:rPr>
          <w:rFonts w:hint="eastAsia"/>
          <w:lang w:val="en-US" w:eastAsia="zh-CN"/>
        </w:rPr>
      </w:pPr>
      <w:r>
        <w:rPr>
          <w:rFonts w:hint="eastAsia"/>
          <w:lang w:val="en-US" w:eastAsia="zh-CN"/>
        </w:rPr>
        <w:t>由上表可知，单期项目正常生产过程中硫的损失量为126.28t/a，全部转化成SO</w:t>
      </w:r>
      <w:r>
        <w:rPr>
          <w:rFonts w:hint="eastAsia"/>
          <w:vertAlign w:val="subscript"/>
          <w:lang w:val="en-US" w:eastAsia="zh-CN"/>
        </w:rPr>
        <w:t>2</w:t>
      </w:r>
      <w:r>
        <w:rPr>
          <w:rFonts w:hint="eastAsia"/>
          <w:lang w:val="en-US" w:eastAsia="zh-CN"/>
        </w:rPr>
        <w:t>，约为252.57t/a，每天运行24h。</w:t>
      </w:r>
    </w:p>
    <w:p>
      <w:pPr>
        <w:rPr>
          <w:rFonts w:hint="eastAsia"/>
          <w:lang w:val="en-US" w:eastAsia="zh-CN"/>
        </w:rPr>
      </w:pPr>
      <w:r>
        <w:rPr>
          <w:rFonts w:hint="eastAsia"/>
          <w:lang w:val="en-US" w:eastAsia="zh-CN"/>
        </w:rPr>
        <w:t>NOx：</w:t>
      </w:r>
    </w:p>
    <w:p>
      <w:pPr>
        <w:bidi w:val="0"/>
        <w:rPr>
          <w:rFonts w:hint="eastAsia"/>
          <w:lang w:val="en-US" w:eastAsia="zh-CN"/>
        </w:rPr>
      </w:pPr>
      <w:r>
        <w:rPr>
          <w:rFonts w:hint="eastAsia"/>
          <w:lang w:val="en-US" w:eastAsia="zh-CN"/>
        </w:rPr>
        <w:t>参考《</w:t>
      </w:r>
      <w:r>
        <w:rPr>
          <w:rFonts w:hint="eastAsia"/>
        </w:rPr>
        <w:t>排污许可证申请与核发技术规范</w:t>
      </w:r>
      <w:r>
        <w:rPr>
          <w:rFonts w:hint="eastAsia"/>
          <w:lang w:val="en-US" w:eastAsia="zh-CN"/>
        </w:rPr>
        <w:t xml:space="preserve"> </w:t>
      </w:r>
      <w:r>
        <w:rPr>
          <w:rFonts w:hint="eastAsia"/>
        </w:rPr>
        <w:t>石墨及其他非金属矿物制品制造</w:t>
      </w:r>
      <w:r>
        <w:rPr>
          <w:rFonts w:hint="eastAsia"/>
          <w:lang w:val="en-US" w:eastAsia="zh-CN"/>
        </w:rPr>
        <w:t>》（</w:t>
      </w:r>
      <w:r>
        <w:rPr>
          <w:rFonts w:hint="eastAsia"/>
        </w:rPr>
        <w:t>HJ1119—2020</w:t>
      </w:r>
      <w:r>
        <w:rPr>
          <w:rFonts w:hint="eastAsia"/>
          <w:lang w:val="en-US" w:eastAsia="zh-CN"/>
        </w:rPr>
        <w:t>）中</w:t>
      </w:r>
      <w:r>
        <w:rPr>
          <w:rFonts w:hint="eastAsia"/>
        </w:rPr>
        <w:t>表11 排污单位废气污染物许可排放量排污绩效系数表（α）</w:t>
      </w:r>
      <w:r>
        <w:rPr>
          <w:rFonts w:hint="eastAsia"/>
          <w:lang w:eastAsia="zh-CN"/>
        </w:rPr>
        <w:t>的电煅烧炉的排污绩效系数，及根据企业提供的资料，本项目</w:t>
      </w:r>
      <w:r>
        <w:rPr>
          <w:rFonts w:hint="eastAsia"/>
          <w:lang w:val="en-US" w:eastAsia="zh-CN"/>
        </w:rPr>
        <w:t>NOx的排污系数取3.0t/万吨。则单期项目NOx产生量为15t/a，1.89kg/h，排气量为30000m</w:t>
      </w:r>
      <w:r>
        <w:rPr>
          <w:rFonts w:hint="eastAsia"/>
          <w:vertAlign w:val="superscript"/>
          <w:lang w:val="en-US" w:eastAsia="zh-CN"/>
        </w:rPr>
        <w:t>3</w:t>
      </w:r>
      <w:r>
        <w:rPr>
          <w:rFonts w:hint="eastAsia"/>
          <w:lang w:val="en-US" w:eastAsia="zh-CN"/>
        </w:rPr>
        <w:t>/h，产生浓度为63.13mg/m</w:t>
      </w:r>
      <w:r>
        <w:rPr>
          <w:rFonts w:hint="eastAsia"/>
          <w:vertAlign w:val="superscript"/>
          <w:lang w:val="en-US" w:eastAsia="zh-CN"/>
        </w:rPr>
        <w:t>3</w:t>
      </w:r>
      <w:r>
        <w:rPr>
          <w:rFonts w:hint="eastAsia"/>
          <w:lang w:val="en-US" w:eastAsia="zh-CN"/>
        </w:rPr>
        <w:t>，排放速率为1.89kg/h，排放浓度为63.13mg/m</w:t>
      </w:r>
      <w:r>
        <w:rPr>
          <w:rFonts w:hint="eastAsia"/>
          <w:vertAlign w:val="superscript"/>
          <w:lang w:val="en-US" w:eastAsia="zh-CN"/>
        </w:rPr>
        <w:t>3</w:t>
      </w:r>
      <w:r>
        <w:rPr>
          <w:rFonts w:hint="eastAsia"/>
          <w:lang w:val="en-US" w:eastAsia="zh-CN"/>
        </w:rPr>
        <w:t>。</w:t>
      </w:r>
    </w:p>
    <w:p>
      <w:pPr>
        <w:bidi w:val="0"/>
        <w:rPr>
          <w:rFonts w:hint="default"/>
          <w:lang w:val="en-US" w:eastAsia="zh-CN"/>
        </w:rPr>
      </w:pPr>
      <w:r>
        <w:rPr>
          <w:rFonts w:hint="eastAsia"/>
          <w:lang w:val="en-US" w:eastAsia="zh-CN"/>
        </w:rPr>
        <w:t>烟尘：</w:t>
      </w:r>
    </w:p>
    <w:p>
      <w:pPr>
        <w:bidi w:val="0"/>
        <w:rPr>
          <w:rFonts w:hint="eastAsia"/>
          <w:lang w:val="en-US" w:eastAsia="zh-CN"/>
        </w:rPr>
      </w:pPr>
      <w:r>
        <w:rPr>
          <w:rFonts w:hint="eastAsia"/>
          <w:lang w:val="en-US" w:eastAsia="zh-CN"/>
        </w:rPr>
        <w:t>参考《工业污染源产污系数手册》石墨及碳素制品制造业产排污系数，结合项目原料组分，烟尘产生系数为3.7kg/t产品，则一期项目烟尘产生量为185t/a，23.36kg/h。煅烧废气经负压收集后经“布袋除尘+二级氧化钙法”处理除尘效率为99.5%，排气量为30000m</w:t>
      </w:r>
      <w:r>
        <w:rPr>
          <w:rFonts w:hint="eastAsia"/>
          <w:vertAlign w:val="superscript"/>
          <w:lang w:val="en-US" w:eastAsia="zh-CN"/>
        </w:rPr>
        <w:t>3</w:t>
      </w:r>
      <w:r>
        <w:rPr>
          <w:rFonts w:hint="eastAsia"/>
          <w:lang w:val="en-US" w:eastAsia="zh-CN"/>
        </w:rPr>
        <w:t>/h，产生浓度为778.67mg/m</w:t>
      </w:r>
      <w:r>
        <w:rPr>
          <w:rFonts w:hint="eastAsia"/>
          <w:vertAlign w:val="superscript"/>
          <w:lang w:val="en-US" w:eastAsia="zh-CN"/>
        </w:rPr>
        <w:t>3</w:t>
      </w:r>
      <w:r>
        <w:rPr>
          <w:rFonts w:hint="eastAsia"/>
          <w:lang w:val="en-US" w:eastAsia="zh-CN"/>
        </w:rPr>
        <w:t>，排放量为0.84t/a，排放速率为0.11kg/h，排放浓度为3.67mg/m</w:t>
      </w:r>
      <w:r>
        <w:rPr>
          <w:rFonts w:hint="eastAsia"/>
          <w:vertAlign w:val="superscript"/>
          <w:lang w:val="en-US" w:eastAsia="zh-CN"/>
        </w:rPr>
        <w:t>3</w:t>
      </w:r>
      <w:r>
        <w:rPr>
          <w:rFonts w:hint="eastAsia"/>
          <w:lang w:val="en-US" w:eastAsia="zh-CN"/>
        </w:rPr>
        <w:t>。</w:t>
      </w:r>
    </w:p>
    <w:p>
      <w:pPr>
        <w:rPr>
          <w:rFonts w:hint="eastAsia" w:eastAsia="宋体"/>
          <w:lang w:val="en-US" w:eastAsia="zh-CN"/>
        </w:rPr>
      </w:pPr>
      <w:r>
        <w:rPr>
          <w:rFonts w:hint="default"/>
          <w:lang w:val="en-US" w:eastAsia="zh-CN"/>
        </w:rPr>
        <w:fldChar w:fldCharType="begin"/>
      </w:r>
      <w:r>
        <w:rPr>
          <w:rFonts w:hint="default"/>
          <w:lang w:val="en-US" w:eastAsia="zh-CN"/>
        </w:rPr>
        <w:instrText xml:space="preserve"> = 3 \* GB3 \* MERGEFORMAT </w:instrText>
      </w:r>
      <w:r>
        <w:rPr>
          <w:rFonts w:hint="default"/>
          <w:lang w:val="en-US" w:eastAsia="zh-CN"/>
        </w:rPr>
        <w:fldChar w:fldCharType="separate"/>
      </w:r>
      <w:r>
        <w:t>③</w:t>
      </w:r>
      <w:r>
        <w:rPr>
          <w:rFonts w:hint="default"/>
          <w:lang w:val="en-US" w:eastAsia="zh-CN"/>
        </w:rPr>
        <w:fldChar w:fldCharType="end"/>
      </w:r>
      <w:r>
        <w:rPr>
          <w:rFonts w:hint="eastAsia"/>
          <w:lang w:val="en-US" w:eastAsia="zh-CN"/>
        </w:rPr>
        <w:t>排料废气</w:t>
      </w:r>
    </w:p>
    <w:p>
      <w:pPr>
        <w:rPr>
          <w:rFonts w:hint="eastAsia"/>
          <w:lang w:val="en-US" w:eastAsia="zh-CN"/>
        </w:rPr>
      </w:pPr>
      <w:r>
        <w:rPr>
          <w:rFonts w:hint="eastAsia"/>
          <w:lang w:val="en-US" w:eastAsia="zh-CN"/>
        </w:rPr>
        <w:t>排料粉尘产生量按产品产量的0.05%计，粉尘产生量为25t/a，该工段每天工作16h。该工段废气密闭收集，收集后的粉尘汇集后经净化效率为99.5%的袋式除尘器进行处理后由一根35m的排气筒排放。</w:t>
      </w:r>
    </w:p>
    <w:p>
      <w:pPr>
        <w:rPr>
          <w:rFonts w:hint="eastAsia"/>
          <w:lang w:val="en-US" w:eastAsia="zh-CN"/>
        </w:rPr>
      </w:pPr>
      <w:r>
        <w:rPr>
          <w:rFonts w:hint="eastAsia"/>
          <w:lang w:val="en-US" w:eastAsia="zh-CN"/>
        </w:rPr>
        <w:t>排料粉尘G</w:t>
      </w:r>
      <w:r>
        <w:rPr>
          <w:rFonts w:hint="eastAsia"/>
          <w:vertAlign w:val="subscript"/>
          <w:lang w:val="en-US" w:eastAsia="zh-CN"/>
        </w:rPr>
        <w:t>1-3</w:t>
      </w:r>
      <w:r>
        <w:rPr>
          <w:rFonts w:hint="eastAsia"/>
          <w:lang w:val="en-US" w:eastAsia="zh-CN"/>
        </w:rPr>
        <w:t>：粉尘产生速率为25t/a、4.73kg/h，排气量为2000m</w:t>
      </w:r>
      <w:r>
        <w:rPr>
          <w:rFonts w:hint="eastAsia"/>
          <w:vertAlign w:val="superscript"/>
          <w:lang w:val="en-US" w:eastAsia="zh-CN"/>
        </w:rPr>
        <w:t>3</w:t>
      </w:r>
      <w:r>
        <w:rPr>
          <w:rFonts w:hint="eastAsia"/>
          <w:lang w:val="en-US" w:eastAsia="zh-CN"/>
        </w:rPr>
        <w:t>/h，产生浓度为2367.42mg/m</w:t>
      </w:r>
      <w:r>
        <w:rPr>
          <w:rFonts w:hint="eastAsia"/>
          <w:vertAlign w:val="superscript"/>
          <w:lang w:val="en-US" w:eastAsia="zh-CN"/>
        </w:rPr>
        <w:t>3</w:t>
      </w:r>
      <w:r>
        <w:rPr>
          <w:rFonts w:hint="eastAsia"/>
          <w:lang w:val="en-US" w:eastAsia="zh-CN"/>
        </w:rPr>
        <w:t>。排放量为0.125t/a、排放速率为0.024kg/h，排放浓度为11.84mg/m</w:t>
      </w:r>
      <w:r>
        <w:rPr>
          <w:rFonts w:hint="eastAsia"/>
          <w:vertAlign w:val="superscript"/>
          <w:lang w:val="en-US" w:eastAsia="zh-CN"/>
        </w:rPr>
        <w:t>3</w:t>
      </w:r>
      <w:r>
        <w:rPr>
          <w:rFonts w:hint="eastAsia"/>
          <w:lang w:val="en-US" w:eastAsia="zh-CN"/>
        </w:rPr>
        <w:t>。</w:t>
      </w:r>
    </w:p>
    <w:p>
      <w:pPr>
        <w:rPr>
          <w:rFonts w:hint="default"/>
          <w:lang w:val="en-US" w:eastAsia="zh-CN"/>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t>④</w:t>
      </w:r>
      <w:r>
        <w:rPr>
          <w:rFonts w:hint="default"/>
          <w:lang w:val="en-US" w:eastAsia="zh-CN"/>
        </w:rPr>
        <w:fldChar w:fldCharType="end"/>
      </w:r>
      <w:r>
        <w:rPr>
          <w:rFonts w:hint="eastAsia"/>
          <w:lang w:val="en-US" w:eastAsia="zh-CN"/>
        </w:rPr>
        <w:t>中间包装废气</w:t>
      </w:r>
    </w:p>
    <w:p>
      <w:pPr>
        <w:rPr>
          <w:rFonts w:hint="default"/>
          <w:lang w:val="en-US" w:eastAsia="zh-CN"/>
        </w:rPr>
      </w:pPr>
      <w:r>
        <w:rPr>
          <w:rFonts w:hint="eastAsia"/>
          <w:lang w:val="en-US" w:eastAsia="zh-CN"/>
        </w:rPr>
        <w:t>中间包装粉尘产生量按产品产量的0.05%计，粉尘产生量为25t/a，该工段每天工作16h。</w:t>
      </w:r>
    </w:p>
    <w:p>
      <w:pPr>
        <w:rPr>
          <w:rFonts w:hint="eastAsia"/>
          <w:lang w:val="en-US" w:eastAsia="zh-CN"/>
        </w:rPr>
      </w:pPr>
      <w:r>
        <w:rPr>
          <w:rFonts w:hint="eastAsia"/>
          <w:lang w:val="en-US" w:eastAsia="zh-CN"/>
        </w:rPr>
        <w:t>包装粉尘采用集尘效率</w:t>
      </w:r>
      <w:r>
        <w:rPr>
          <w:rFonts w:hint="default" w:ascii="Arial" w:hAnsi="Arial" w:cs="Arial"/>
          <w:lang w:val="en-US" w:eastAsia="zh-CN"/>
        </w:rPr>
        <w:t>≥</w:t>
      </w:r>
      <w:r>
        <w:rPr>
          <w:rFonts w:hint="eastAsia"/>
          <w:lang w:val="en-US" w:eastAsia="zh-CN"/>
        </w:rPr>
        <w:t>95%的集尘罩，收集后的粉尘汇集后经净化效率为99.5%的袋式除尘器进行处理后由一根35m的排气筒排放。</w:t>
      </w:r>
    </w:p>
    <w:p>
      <w:pPr>
        <w:rPr>
          <w:rFonts w:hint="eastAsia"/>
          <w:lang w:val="en-US" w:eastAsia="zh-CN"/>
        </w:rPr>
      </w:pPr>
      <w:r>
        <w:rPr>
          <w:rFonts w:hint="eastAsia"/>
          <w:lang w:val="en-US" w:eastAsia="zh-CN"/>
        </w:rPr>
        <w:t>进料粉尘G</w:t>
      </w:r>
      <w:r>
        <w:rPr>
          <w:rFonts w:hint="eastAsia"/>
          <w:vertAlign w:val="subscript"/>
          <w:lang w:val="en-US" w:eastAsia="zh-CN"/>
        </w:rPr>
        <w:t>1-4</w:t>
      </w:r>
      <w:r>
        <w:rPr>
          <w:rFonts w:hint="eastAsia"/>
          <w:lang w:val="en-US" w:eastAsia="zh-CN"/>
        </w:rPr>
        <w:t>粉尘产生速率为23.75t/a、4.5kg/h，排气量为2000m</w:t>
      </w:r>
      <w:r>
        <w:rPr>
          <w:rFonts w:hint="eastAsia"/>
          <w:vertAlign w:val="superscript"/>
          <w:lang w:val="en-US" w:eastAsia="zh-CN"/>
        </w:rPr>
        <w:t>3</w:t>
      </w:r>
      <w:r>
        <w:rPr>
          <w:rFonts w:hint="eastAsia"/>
          <w:lang w:val="en-US" w:eastAsia="zh-CN"/>
        </w:rPr>
        <w:t>/h，产生浓度为2249.05mg/m</w:t>
      </w:r>
      <w:r>
        <w:rPr>
          <w:rFonts w:hint="eastAsia"/>
          <w:vertAlign w:val="superscript"/>
          <w:lang w:val="en-US" w:eastAsia="zh-CN"/>
        </w:rPr>
        <w:t>3</w:t>
      </w:r>
      <w:r>
        <w:rPr>
          <w:rFonts w:hint="eastAsia"/>
          <w:lang w:val="en-US" w:eastAsia="zh-CN"/>
        </w:rPr>
        <w:t>，排放量为0.12t/a、排放速率为0.022kg/h，排放浓度为11.23mg/m</w:t>
      </w:r>
      <w:r>
        <w:rPr>
          <w:rFonts w:hint="eastAsia"/>
          <w:vertAlign w:val="superscript"/>
          <w:lang w:val="en-US" w:eastAsia="zh-CN"/>
        </w:rPr>
        <w:t>3</w:t>
      </w:r>
      <w:r>
        <w:rPr>
          <w:rFonts w:hint="eastAsia"/>
          <w:lang w:val="en-US" w:eastAsia="zh-CN"/>
        </w:rPr>
        <w:t>。</w:t>
      </w:r>
    </w:p>
    <w:p>
      <w:pPr>
        <w:rPr>
          <w:rFonts w:hint="eastAsia"/>
          <w:lang w:val="en-US" w:eastAsia="zh-CN"/>
        </w:rPr>
      </w:pPr>
      <w:r>
        <w:rPr>
          <w:rFonts w:hint="eastAsia"/>
          <w:lang w:val="en-US" w:eastAsia="zh-CN"/>
        </w:rPr>
        <w:t>进料无组织粉尘G</w:t>
      </w:r>
      <w:r>
        <w:rPr>
          <w:rFonts w:hint="eastAsia"/>
          <w:vertAlign w:val="subscript"/>
          <w:lang w:val="en-US" w:eastAsia="zh-CN"/>
        </w:rPr>
        <w:t>U1-2</w:t>
      </w:r>
      <w:r>
        <w:rPr>
          <w:rFonts w:hint="eastAsia"/>
          <w:lang w:val="en-US" w:eastAsia="zh-CN"/>
        </w:rPr>
        <w:t>产生量为1.25t/a，0.24g/h。</w:t>
      </w:r>
    </w:p>
    <w:p>
      <w:pPr>
        <w:rPr>
          <w:rFonts w:hint="eastAsia"/>
          <w:lang w:val="en-US" w:eastAsia="zh-CN"/>
        </w:rPr>
      </w:pPr>
      <w:r>
        <w:rPr>
          <w:rFonts w:hint="eastAsia"/>
          <w:lang w:val="en-US" w:eastAsia="zh-CN"/>
        </w:rPr>
        <w:fldChar w:fldCharType="begin"/>
      </w:r>
      <w:r>
        <w:rPr>
          <w:rFonts w:hint="eastAsia"/>
          <w:lang w:val="en-US" w:eastAsia="zh-CN"/>
        </w:rPr>
        <w:instrText xml:space="preserve"> = 5 \* GB3 \* MERGEFORMAT </w:instrText>
      </w:r>
      <w:r>
        <w:rPr>
          <w:rFonts w:hint="eastAsia"/>
          <w:lang w:val="en-US" w:eastAsia="zh-CN"/>
        </w:rPr>
        <w:fldChar w:fldCharType="separate"/>
      </w:r>
      <w:r>
        <w:t>⑤</w:t>
      </w:r>
      <w:r>
        <w:rPr>
          <w:rFonts w:hint="eastAsia"/>
          <w:lang w:val="en-US" w:eastAsia="zh-CN"/>
        </w:rPr>
        <w:fldChar w:fldCharType="end"/>
      </w:r>
      <w:r>
        <w:rPr>
          <w:rFonts w:hint="eastAsia"/>
          <w:lang w:val="en-US" w:eastAsia="zh-CN"/>
        </w:rPr>
        <w:t>半成品仓2废气</w:t>
      </w:r>
    </w:p>
    <w:p>
      <w:pPr>
        <w:rPr>
          <w:rFonts w:hint="default"/>
          <w:lang w:val="en-US" w:eastAsia="zh-CN"/>
        </w:rPr>
      </w:pPr>
      <w:r>
        <w:rPr>
          <w:rFonts w:hint="eastAsia"/>
          <w:lang w:val="en-US" w:eastAsia="zh-CN"/>
        </w:rPr>
        <w:t>半成品仓粉尘产生量按产品产量的0.05%计，粉尘产生量为25t/a，该工段每天工作16h。</w:t>
      </w:r>
    </w:p>
    <w:p>
      <w:pPr>
        <w:rPr>
          <w:rFonts w:hint="eastAsia"/>
          <w:lang w:val="en-US" w:eastAsia="zh-CN"/>
        </w:rPr>
      </w:pPr>
      <w:r>
        <w:rPr>
          <w:rFonts w:hint="eastAsia"/>
          <w:lang w:val="en-US" w:eastAsia="zh-CN"/>
        </w:rPr>
        <w:t>包装粉尘采用集尘效率</w:t>
      </w:r>
      <w:r>
        <w:rPr>
          <w:rFonts w:hint="default" w:ascii="Arial" w:hAnsi="Arial" w:cs="Arial"/>
          <w:lang w:val="en-US" w:eastAsia="zh-CN"/>
        </w:rPr>
        <w:t>≥</w:t>
      </w:r>
      <w:r>
        <w:rPr>
          <w:rFonts w:hint="eastAsia"/>
          <w:lang w:val="en-US" w:eastAsia="zh-CN"/>
        </w:rPr>
        <w:t>95%的集尘罩，收集后的粉尘汇集后经净化效率为99.5%的袋式除尘器进行处理后由一根35m的排气筒排放。</w:t>
      </w:r>
    </w:p>
    <w:p>
      <w:pPr>
        <w:rPr>
          <w:rFonts w:hint="eastAsia"/>
          <w:lang w:val="en-US" w:eastAsia="zh-CN"/>
        </w:rPr>
      </w:pPr>
      <w:r>
        <w:rPr>
          <w:rFonts w:hint="eastAsia"/>
          <w:lang w:val="en-US" w:eastAsia="zh-CN"/>
        </w:rPr>
        <w:t>进料粉尘G</w:t>
      </w:r>
      <w:r>
        <w:rPr>
          <w:rFonts w:hint="eastAsia"/>
          <w:vertAlign w:val="subscript"/>
          <w:lang w:val="en-US" w:eastAsia="zh-CN"/>
        </w:rPr>
        <w:t>1-5</w:t>
      </w:r>
      <w:r>
        <w:rPr>
          <w:rFonts w:hint="eastAsia"/>
          <w:lang w:val="en-US" w:eastAsia="zh-CN"/>
        </w:rPr>
        <w:t>：粉尘产生速率为23.75t/a、4.5kg/h，排气量为2000m</w:t>
      </w:r>
      <w:r>
        <w:rPr>
          <w:rFonts w:hint="eastAsia"/>
          <w:vertAlign w:val="superscript"/>
          <w:lang w:val="en-US" w:eastAsia="zh-CN"/>
        </w:rPr>
        <w:t>3</w:t>
      </w:r>
      <w:r>
        <w:rPr>
          <w:rFonts w:hint="eastAsia"/>
          <w:lang w:val="en-US" w:eastAsia="zh-CN"/>
        </w:rPr>
        <w:t>/h，产生浓度为2249.05mg/m</w:t>
      </w:r>
      <w:r>
        <w:rPr>
          <w:rFonts w:hint="eastAsia"/>
          <w:vertAlign w:val="superscript"/>
          <w:lang w:val="en-US" w:eastAsia="zh-CN"/>
        </w:rPr>
        <w:t>3</w:t>
      </w:r>
      <w:r>
        <w:rPr>
          <w:rFonts w:hint="eastAsia"/>
          <w:lang w:val="en-US" w:eastAsia="zh-CN"/>
        </w:rPr>
        <w:t>，排放量为0.12t/a、排放速率为0.022kg/h，排放浓度为11.23mg/m</w:t>
      </w:r>
      <w:r>
        <w:rPr>
          <w:rFonts w:hint="eastAsia"/>
          <w:vertAlign w:val="superscript"/>
          <w:lang w:val="en-US" w:eastAsia="zh-CN"/>
        </w:rPr>
        <w:t>3</w:t>
      </w:r>
      <w:r>
        <w:rPr>
          <w:rFonts w:hint="eastAsia"/>
          <w:lang w:val="en-US" w:eastAsia="zh-CN"/>
        </w:rPr>
        <w:t>。</w:t>
      </w:r>
    </w:p>
    <w:p>
      <w:pPr>
        <w:rPr>
          <w:rFonts w:hint="eastAsia"/>
          <w:lang w:val="en-US" w:eastAsia="zh-CN"/>
        </w:rPr>
      </w:pPr>
      <w:r>
        <w:rPr>
          <w:rFonts w:hint="eastAsia"/>
          <w:lang w:val="en-US" w:eastAsia="zh-CN"/>
        </w:rPr>
        <w:t>进料无组织粉尘G</w:t>
      </w:r>
      <w:r>
        <w:rPr>
          <w:rFonts w:hint="eastAsia"/>
          <w:vertAlign w:val="subscript"/>
          <w:lang w:val="en-US" w:eastAsia="zh-CN"/>
        </w:rPr>
        <w:t>U1-3</w:t>
      </w:r>
      <w:r>
        <w:rPr>
          <w:rFonts w:hint="eastAsia"/>
          <w:lang w:val="en-US" w:eastAsia="zh-CN"/>
        </w:rPr>
        <w:t>产生量为1.25t/a，0.24g/h。</w:t>
      </w:r>
    </w:p>
    <w:p>
      <w:pPr>
        <w:rPr>
          <w:rFonts w:hint="eastAsia"/>
          <w:lang w:val="en-US" w:eastAsia="zh-CN"/>
        </w:rPr>
      </w:pPr>
      <w:r>
        <w:rPr>
          <w:rFonts w:hint="eastAsia"/>
          <w:lang w:val="en-US" w:eastAsia="zh-CN"/>
        </w:rPr>
        <w:fldChar w:fldCharType="begin"/>
      </w:r>
      <w:r>
        <w:rPr>
          <w:rFonts w:hint="eastAsia"/>
          <w:lang w:val="en-US" w:eastAsia="zh-CN"/>
        </w:rPr>
        <w:instrText xml:space="preserve"> = 6 \* GB3 \* MERGEFORMAT </w:instrText>
      </w:r>
      <w:r>
        <w:rPr>
          <w:rFonts w:hint="eastAsia"/>
          <w:lang w:val="en-US" w:eastAsia="zh-CN"/>
        </w:rPr>
        <w:fldChar w:fldCharType="separate"/>
      </w:r>
      <w:r>
        <w:t>⑥</w:t>
      </w:r>
      <w:r>
        <w:rPr>
          <w:rFonts w:hint="eastAsia"/>
          <w:lang w:val="en-US" w:eastAsia="zh-CN"/>
        </w:rPr>
        <w:fldChar w:fldCharType="end"/>
      </w:r>
      <w:r>
        <w:rPr>
          <w:rFonts w:hint="eastAsia"/>
          <w:lang w:val="en-US" w:eastAsia="zh-CN"/>
        </w:rPr>
        <w:t>破碎、筛分废气</w:t>
      </w:r>
    </w:p>
    <w:p>
      <w:pPr>
        <w:rPr>
          <w:rFonts w:hint="eastAsia"/>
          <w:lang w:val="en-US" w:eastAsia="zh-CN"/>
        </w:rPr>
      </w:pPr>
      <w:r>
        <w:rPr>
          <w:rFonts w:hint="eastAsia"/>
          <w:lang w:val="en-US" w:eastAsia="zh-CN"/>
        </w:rPr>
        <w:t>排料粉尘产生量按产品产量的0.05%计，粉尘产生量为25t/a，该工段每天工作16h。该工段废气密闭收集，收集后的粉尘汇集后经净化效率为99.5%的袋式除尘器进行处理后由一根30m的排气筒排放。</w:t>
      </w:r>
    </w:p>
    <w:p>
      <w:pPr>
        <w:rPr>
          <w:rFonts w:hint="eastAsia"/>
          <w:lang w:val="en-US" w:eastAsia="zh-CN"/>
        </w:rPr>
      </w:pPr>
      <w:r>
        <w:rPr>
          <w:rFonts w:hint="eastAsia"/>
          <w:lang w:val="en-US" w:eastAsia="zh-CN"/>
        </w:rPr>
        <w:t>排料粉尘G</w:t>
      </w:r>
      <w:r>
        <w:rPr>
          <w:rFonts w:hint="eastAsia"/>
          <w:vertAlign w:val="subscript"/>
          <w:lang w:val="en-US" w:eastAsia="zh-CN"/>
        </w:rPr>
        <w:t>1-6</w:t>
      </w:r>
      <w:r>
        <w:rPr>
          <w:rFonts w:hint="eastAsia"/>
          <w:lang w:val="en-US" w:eastAsia="zh-CN"/>
        </w:rPr>
        <w:t>：粉尘产生速率为25t/a、4.73kg/h，排气量为2000m</w:t>
      </w:r>
      <w:r>
        <w:rPr>
          <w:rFonts w:hint="eastAsia"/>
          <w:vertAlign w:val="superscript"/>
          <w:lang w:val="en-US" w:eastAsia="zh-CN"/>
        </w:rPr>
        <w:t>3</w:t>
      </w:r>
      <w:r>
        <w:rPr>
          <w:rFonts w:hint="eastAsia"/>
          <w:lang w:val="en-US" w:eastAsia="zh-CN"/>
        </w:rPr>
        <w:t>/h，产生浓度为2367.42mg/m</w:t>
      </w:r>
      <w:r>
        <w:rPr>
          <w:rFonts w:hint="eastAsia"/>
          <w:vertAlign w:val="superscript"/>
          <w:lang w:val="en-US" w:eastAsia="zh-CN"/>
        </w:rPr>
        <w:t>3</w:t>
      </w:r>
      <w:r>
        <w:rPr>
          <w:rFonts w:hint="eastAsia"/>
          <w:lang w:val="en-US" w:eastAsia="zh-CN"/>
        </w:rPr>
        <w:t>。排放量为0.125t/a、排放速率为0.024kg/h，排放浓度为11.82mg/m</w:t>
      </w:r>
      <w:r>
        <w:rPr>
          <w:rFonts w:hint="eastAsia"/>
          <w:vertAlign w:val="superscript"/>
          <w:lang w:val="en-US" w:eastAsia="zh-CN"/>
        </w:rPr>
        <w:t>3</w:t>
      </w:r>
      <w:r>
        <w:rPr>
          <w:rFonts w:hint="eastAsia"/>
          <w:lang w:val="en-US" w:eastAsia="zh-CN"/>
        </w:rPr>
        <w:t>。</w:t>
      </w:r>
    </w:p>
    <w:p>
      <w:pPr>
        <w:rPr>
          <w:rFonts w:hint="eastAsia"/>
          <w:lang w:val="en-US" w:eastAsia="zh-CN"/>
        </w:rPr>
      </w:pPr>
      <w:r>
        <w:rPr>
          <w:rFonts w:hint="default"/>
          <w:lang w:val="en-US" w:eastAsia="zh-CN"/>
        </w:rPr>
        <w:fldChar w:fldCharType="begin"/>
      </w:r>
      <w:r>
        <w:rPr>
          <w:rFonts w:hint="default"/>
          <w:lang w:val="en-US" w:eastAsia="zh-CN"/>
        </w:rPr>
        <w:instrText xml:space="preserve"> = 7 \* GB3 \* MERGEFORMAT </w:instrText>
      </w:r>
      <w:r>
        <w:rPr>
          <w:rFonts w:hint="default"/>
          <w:lang w:val="en-US" w:eastAsia="zh-CN"/>
        </w:rPr>
        <w:fldChar w:fldCharType="separate"/>
      </w:r>
      <w:r>
        <w:t>⑦</w:t>
      </w:r>
      <w:r>
        <w:rPr>
          <w:rFonts w:hint="default"/>
          <w:lang w:val="en-US" w:eastAsia="zh-CN"/>
        </w:rPr>
        <w:fldChar w:fldCharType="end"/>
      </w:r>
      <w:r>
        <w:rPr>
          <w:rFonts w:hint="eastAsia"/>
          <w:lang w:val="en-US" w:eastAsia="zh-CN"/>
        </w:rPr>
        <w:t>包装废气</w:t>
      </w:r>
    </w:p>
    <w:p>
      <w:pPr>
        <w:rPr>
          <w:rFonts w:hint="default"/>
          <w:lang w:val="en-US" w:eastAsia="zh-CN"/>
        </w:rPr>
      </w:pPr>
      <w:r>
        <w:rPr>
          <w:rFonts w:hint="eastAsia"/>
          <w:lang w:val="en-US" w:eastAsia="zh-CN"/>
        </w:rPr>
        <w:t>包装粉尘产生量按产品产量的0.05%计，粉尘产生量为25t/a，该工段每天工作16h。</w:t>
      </w:r>
    </w:p>
    <w:p>
      <w:pPr>
        <w:rPr>
          <w:rFonts w:hint="eastAsia"/>
          <w:lang w:val="en-US" w:eastAsia="zh-CN"/>
        </w:rPr>
      </w:pPr>
      <w:r>
        <w:rPr>
          <w:rFonts w:hint="eastAsia"/>
          <w:lang w:val="en-US" w:eastAsia="zh-CN"/>
        </w:rPr>
        <w:t>包装粉尘采用2套集尘效率</w:t>
      </w:r>
      <w:r>
        <w:rPr>
          <w:rFonts w:hint="default" w:ascii="Arial" w:hAnsi="Arial" w:cs="Arial"/>
          <w:lang w:val="en-US" w:eastAsia="zh-CN"/>
        </w:rPr>
        <w:t>≥</w:t>
      </w:r>
      <w:r>
        <w:rPr>
          <w:rFonts w:hint="eastAsia"/>
          <w:lang w:val="en-US" w:eastAsia="zh-CN"/>
        </w:rPr>
        <w:t>95%的集尘罩除尘下灰，收集后的粉尘汇集后经净化效率为99.5%的袋式除尘器进行处理后由一根30m的排气筒排放。</w:t>
      </w:r>
    </w:p>
    <w:p>
      <w:pPr>
        <w:rPr>
          <w:rFonts w:hint="eastAsia"/>
          <w:lang w:val="en-US" w:eastAsia="zh-CN"/>
        </w:rPr>
      </w:pPr>
      <w:r>
        <w:rPr>
          <w:rFonts w:hint="eastAsia"/>
          <w:lang w:val="en-US" w:eastAsia="zh-CN"/>
        </w:rPr>
        <w:t>包装粉尘G</w:t>
      </w:r>
      <w:r>
        <w:rPr>
          <w:rFonts w:hint="eastAsia"/>
          <w:vertAlign w:val="subscript"/>
          <w:lang w:val="en-US" w:eastAsia="zh-CN"/>
        </w:rPr>
        <w:t>1-7</w:t>
      </w:r>
      <w:r>
        <w:rPr>
          <w:rFonts w:hint="eastAsia"/>
          <w:lang w:val="en-US" w:eastAsia="zh-CN"/>
        </w:rPr>
        <w:t>：粉尘产生速率为23.75t/a、4.5kg/h，排气量为2000m</w:t>
      </w:r>
      <w:r>
        <w:rPr>
          <w:rFonts w:hint="eastAsia"/>
          <w:vertAlign w:val="superscript"/>
          <w:lang w:val="en-US" w:eastAsia="zh-CN"/>
        </w:rPr>
        <w:t>3</w:t>
      </w:r>
      <w:r>
        <w:rPr>
          <w:rFonts w:hint="eastAsia"/>
          <w:lang w:val="en-US" w:eastAsia="zh-CN"/>
        </w:rPr>
        <w:t>/h，产生浓度为2249.05mg/m</w:t>
      </w:r>
      <w:r>
        <w:rPr>
          <w:rFonts w:hint="eastAsia"/>
          <w:vertAlign w:val="superscript"/>
          <w:lang w:val="en-US" w:eastAsia="zh-CN"/>
        </w:rPr>
        <w:t>3</w:t>
      </w:r>
      <w:r>
        <w:rPr>
          <w:rFonts w:hint="eastAsia"/>
          <w:lang w:val="en-US" w:eastAsia="zh-CN"/>
        </w:rPr>
        <w:t>，排放量为0.12t/a、排放速率为0.022kg/h，排放浓度为11.23mg/m</w:t>
      </w:r>
      <w:r>
        <w:rPr>
          <w:rFonts w:hint="eastAsia"/>
          <w:vertAlign w:val="superscript"/>
          <w:lang w:val="en-US" w:eastAsia="zh-CN"/>
        </w:rPr>
        <w:t>3</w:t>
      </w:r>
      <w:r>
        <w:rPr>
          <w:rFonts w:hint="eastAsia"/>
          <w:lang w:val="en-US" w:eastAsia="zh-CN"/>
        </w:rPr>
        <w:t>。</w:t>
      </w:r>
    </w:p>
    <w:p>
      <w:pPr>
        <w:rPr>
          <w:rFonts w:hint="eastAsia"/>
          <w:lang w:val="en-US" w:eastAsia="zh-CN"/>
        </w:rPr>
      </w:pPr>
      <w:r>
        <w:rPr>
          <w:rFonts w:hint="eastAsia"/>
          <w:lang w:val="en-US" w:eastAsia="zh-CN"/>
        </w:rPr>
        <w:t>进料无组织粉尘G</w:t>
      </w:r>
      <w:r>
        <w:rPr>
          <w:rFonts w:hint="eastAsia"/>
          <w:vertAlign w:val="subscript"/>
          <w:lang w:val="en-US" w:eastAsia="zh-CN"/>
        </w:rPr>
        <w:t>U1-4</w:t>
      </w:r>
      <w:r>
        <w:rPr>
          <w:rFonts w:hint="eastAsia"/>
          <w:lang w:val="en-US" w:eastAsia="zh-CN"/>
        </w:rPr>
        <w:t>产生量为1.25t/a，0.24g/h。</w:t>
      </w:r>
    </w:p>
    <w:p>
      <w:pPr>
        <w:rPr>
          <w:rFonts w:hint="eastAsia"/>
          <w:lang w:val="en-US" w:eastAsia="zh-CN"/>
        </w:rPr>
      </w:pPr>
      <w:r>
        <w:rPr>
          <w:rFonts w:hint="eastAsia"/>
          <w:lang w:val="en-US" w:eastAsia="zh-CN"/>
        </w:rPr>
        <w:t>（2）二期工艺废气排放</w:t>
      </w:r>
    </w:p>
    <w:p>
      <w:pPr>
        <w:rPr>
          <w:rFonts w:hint="eastAsia"/>
          <w:lang w:val="en-US" w:eastAsia="zh-CN"/>
        </w:rPr>
      </w:pPr>
      <w:r>
        <w:rPr>
          <w:rFonts w:hint="eastAsia"/>
          <w:lang w:val="en-US" w:eastAsia="zh-CN"/>
        </w:rPr>
        <w:t>二期工艺废气排放情况与一期相同，在此不再赘述。</w:t>
      </w:r>
    </w:p>
    <w:p>
      <w:pPr>
        <w:numPr>
          <w:ilvl w:val="0"/>
          <w:numId w:val="6"/>
        </w:numPr>
        <w:bidi w:val="0"/>
        <w:ind w:left="0" w:leftChars="0" w:firstLine="560" w:firstLineChars="200"/>
        <w:rPr>
          <w:rFonts w:hint="eastAsia"/>
          <w:lang w:val="en-US" w:eastAsia="zh-CN"/>
        </w:rPr>
      </w:pPr>
      <w:r>
        <w:rPr>
          <w:rFonts w:hint="eastAsia"/>
          <w:lang w:val="en-US" w:eastAsia="zh-CN"/>
        </w:rPr>
        <w:t>食堂油烟废气</w:t>
      </w:r>
    </w:p>
    <w:p>
      <w:pPr>
        <w:bidi w:val="0"/>
      </w:pPr>
      <w:r>
        <w:t>项目食堂提供就餐人员约</w:t>
      </w:r>
      <w:r>
        <w:rPr>
          <w:rFonts w:hint="eastAsia"/>
          <w:lang w:val="en-US" w:eastAsia="zh-CN"/>
        </w:rPr>
        <w:t>4</w:t>
      </w:r>
      <w:r>
        <w:t>0人</w:t>
      </w:r>
      <w:r>
        <w:rPr>
          <w:rFonts w:hint="eastAsia"/>
        </w:rPr>
        <w:t>，</w:t>
      </w:r>
      <w:r>
        <w:t>根据对连云港市居民用油情况的类比调查，目前人均食用油日用量约30g/人·d，一般油烟挥发量占总耗油量的2-4%，平均为2.83%，则油烟产生量约为0.01</w:t>
      </w:r>
      <w:r>
        <w:rPr>
          <w:rFonts w:hint="eastAsia"/>
          <w:lang w:val="en-US" w:eastAsia="zh-CN"/>
        </w:rPr>
        <w:t>0</w:t>
      </w:r>
      <w:r>
        <w:t>t/a。</w:t>
      </w:r>
      <w:r>
        <w:rPr>
          <w:rFonts w:hint="eastAsia"/>
        </w:rPr>
        <w:t>食堂</w:t>
      </w:r>
      <w:r>
        <w:t>油烟排放目前还没有环保标准规定，本项目采用高效油烟净化器，其净化效率大约为60%，则本项目预计</w:t>
      </w:r>
      <w:r>
        <w:rPr>
          <w:rFonts w:hint="eastAsia"/>
        </w:rPr>
        <w:t>食堂</w:t>
      </w:r>
      <w:r>
        <w:t>油烟排放量为0.00</w:t>
      </w:r>
      <w:r>
        <w:rPr>
          <w:rFonts w:hint="eastAsia"/>
          <w:lang w:val="en-US" w:eastAsia="zh-CN"/>
        </w:rPr>
        <w:t>41</w:t>
      </w:r>
      <w:r>
        <w:t>t/a。项目食堂内设置</w:t>
      </w:r>
      <w:r>
        <w:rPr>
          <w:rFonts w:hint="eastAsia"/>
        </w:rPr>
        <w:t>2</w:t>
      </w:r>
      <w:r>
        <w:t>个灶头，属于小型食堂。食堂油烟机总风量为</w:t>
      </w:r>
      <w:r>
        <w:rPr>
          <w:rFonts w:hint="eastAsia"/>
          <w:lang w:val="en-US" w:eastAsia="zh-CN"/>
        </w:rPr>
        <w:t>3</w:t>
      </w:r>
      <w:r>
        <w:rPr>
          <w:rFonts w:hint="eastAsia"/>
        </w:rPr>
        <w:t>0</w:t>
      </w:r>
      <w:r>
        <w:t>00m³/h，日工作时间3小时计，油烟排放</w:t>
      </w:r>
      <w:r>
        <w:rPr>
          <w:rFonts w:hint="eastAsia"/>
        </w:rPr>
        <w:t>浓度</w:t>
      </w:r>
      <w:r>
        <w:t>为</w:t>
      </w:r>
      <w:r>
        <w:rPr>
          <w:rFonts w:hint="eastAsia"/>
          <w:lang w:val="en-US" w:eastAsia="zh-CN"/>
        </w:rPr>
        <w:t>1.52</w:t>
      </w:r>
      <w:r>
        <w:t>mg/m</w:t>
      </w:r>
      <w:r>
        <w:rPr>
          <w:vertAlign w:val="superscript"/>
        </w:rPr>
        <w:t>3</w:t>
      </w:r>
      <w:r>
        <w:t>，满足《饮食业油烟排放标准》（GB18483-2001）小型标准，最高允许排放浓度为2 mg/m</w:t>
      </w:r>
      <w:r>
        <w:rPr>
          <w:vertAlign w:val="superscript"/>
        </w:rPr>
        <w:t>3</w:t>
      </w:r>
      <w:r>
        <w:t>。</w:t>
      </w:r>
    </w:p>
    <w:p>
      <w:pPr>
        <w:bidi w:val="0"/>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bidi w:val="0"/>
        <w:rPr>
          <w:rFonts w:hint="eastAsia"/>
          <w:lang w:val="en-US" w:eastAsia="zh-CN"/>
        </w:rPr>
      </w:pPr>
      <w:r>
        <w:rPr>
          <w:rFonts w:hint="eastAsia"/>
          <w:lang w:val="en-US" w:eastAsia="zh-CN"/>
        </w:rPr>
        <w:t>表3.3.3-2 项目正常工况下废气产生排放情况一览表</w:t>
      </w:r>
    </w:p>
    <w:tbl>
      <w:tblPr>
        <w:tblStyle w:val="22"/>
        <w:tblW w:w="21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719"/>
        <w:gridCol w:w="1167"/>
        <w:gridCol w:w="800"/>
        <w:gridCol w:w="1366"/>
        <w:gridCol w:w="1000"/>
        <w:gridCol w:w="1117"/>
        <w:gridCol w:w="850"/>
        <w:gridCol w:w="867"/>
        <w:gridCol w:w="2166"/>
        <w:gridCol w:w="984"/>
        <w:gridCol w:w="1316"/>
        <w:gridCol w:w="950"/>
        <w:gridCol w:w="1200"/>
        <w:gridCol w:w="850"/>
        <w:gridCol w:w="684"/>
        <w:gridCol w:w="1033"/>
        <w:gridCol w:w="933"/>
        <w:gridCol w:w="584"/>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822"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工序/生产线</w:t>
            </w:r>
          </w:p>
        </w:tc>
        <w:tc>
          <w:tcPr>
            <w:tcW w:w="1719"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装置</w:t>
            </w:r>
          </w:p>
        </w:tc>
        <w:tc>
          <w:tcPr>
            <w:tcW w:w="1167"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污染源</w:t>
            </w:r>
          </w:p>
        </w:tc>
        <w:tc>
          <w:tcPr>
            <w:tcW w:w="80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污染物</w:t>
            </w:r>
          </w:p>
        </w:tc>
        <w:tc>
          <w:tcPr>
            <w:tcW w:w="5200" w:type="dxa"/>
            <w:gridSpan w:val="5"/>
            <w:vAlign w:val="center"/>
          </w:tcPr>
          <w:p>
            <w:pPr>
              <w:pStyle w:val="28"/>
              <w:suppressLineNumbers w:val="0"/>
              <w:bidi w:val="0"/>
              <w:spacing w:before="0" w:after="0"/>
              <w:ind w:left="0" w:right="0"/>
              <w:rPr>
                <w:rFonts w:hint="default"/>
                <w:lang w:val="en-US" w:eastAsia="zh-CN"/>
              </w:rPr>
            </w:pPr>
            <w:r>
              <w:rPr>
                <w:rFonts w:hint="eastAsia"/>
                <w:lang w:val="en-US" w:eastAsia="zh-CN"/>
              </w:rPr>
              <w:t>污染物产生</w:t>
            </w:r>
          </w:p>
        </w:tc>
        <w:tc>
          <w:tcPr>
            <w:tcW w:w="3150" w:type="dxa"/>
            <w:gridSpan w:val="2"/>
            <w:vAlign w:val="center"/>
          </w:tcPr>
          <w:p>
            <w:pPr>
              <w:pStyle w:val="28"/>
              <w:suppressLineNumbers w:val="0"/>
              <w:bidi w:val="0"/>
              <w:spacing w:before="0" w:after="0"/>
              <w:ind w:left="0" w:right="0"/>
              <w:rPr>
                <w:rFonts w:hint="default"/>
                <w:lang w:val="en-US" w:eastAsia="zh-CN"/>
              </w:rPr>
            </w:pPr>
            <w:r>
              <w:rPr>
                <w:rFonts w:hint="eastAsia"/>
                <w:lang w:val="en-US" w:eastAsia="zh-CN"/>
              </w:rPr>
              <w:t>治理措施</w:t>
            </w:r>
          </w:p>
        </w:tc>
        <w:tc>
          <w:tcPr>
            <w:tcW w:w="5000" w:type="dxa"/>
            <w:gridSpan w:val="5"/>
            <w:vAlign w:val="center"/>
          </w:tcPr>
          <w:p>
            <w:pPr>
              <w:pStyle w:val="28"/>
              <w:suppressLineNumbers w:val="0"/>
              <w:bidi w:val="0"/>
              <w:spacing w:before="0" w:after="0"/>
              <w:ind w:left="0" w:right="0"/>
              <w:rPr>
                <w:rFonts w:hint="default"/>
                <w:lang w:val="en-US" w:eastAsia="zh-CN"/>
              </w:rPr>
            </w:pPr>
            <w:r>
              <w:rPr>
                <w:rFonts w:hint="eastAsia"/>
                <w:lang w:val="en-US" w:eastAsia="zh-CN"/>
              </w:rPr>
              <w:t>污染物排放</w:t>
            </w:r>
          </w:p>
        </w:tc>
        <w:tc>
          <w:tcPr>
            <w:tcW w:w="2550" w:type="dxa"/>
            <w:gridSpan w:val="3"/>
            <w:vAlign w:val="center"/>
          </w:tcPr>
          <w:p>
            <w:pPr>
              <w:pStyle w:val="28"/>
              <w:suppressLineNumbers w:val="0"/>
              <w:bidi w:val="0"/>
              <w:spacing w:before="0" w:after="0"/>
              <w:ind w:left="0" w:right="0"/>
              <w:rPr>
                <w:rFonts w:hint="default"/>
                <w:lang w:val="en-US" w:eastAsia="zh-CN"/>
              </w:rPr>
            </w:pPr>
            <w:r>
              <w:rPr>
                <w:rFonts w:hint="eastAsia"/>
                <w:lang w:val="en-US" w:eastAsia="zh-CN"/>
              </w:rPr>
              <w:t>排放口参数</w:t>
            </w:r>
          </w:p>
        </w:tc>
        <w:tc>
          <w:tcPr>
            <w:tcW w:w="69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default"/>
                <w:lang w:val="en-US" w:eastAsia="zh-CN"/>
              </w:rPr>
            </w:pPr>
          </w:p>
        </w:tc>
        <w:tc>
          <w:tcPr>
            <w:tcW w:w="1167" w:type="dxa"/>
            <w:vMerge w:val="continue"/>
            <w:vAlign w:val="center"/>
          </w:tcPr>
          <w:p>
            <w:pPr>
              <w:pStyle w:val="28"/>
              <w:suppressLineNumbers w:val="0"/>
              <w:bidi w:val="0"/>
              <w:spacing w:before="0" w:after="0"/>
              <w:ind w:left="0" w:right="0"/>
              <w:outlineLvl w:val="9"/>
              <w:rPr>
                <w:rFonts w:hint="default"/>
                <w:lang w:val="en-US" w:eastAsia="zh-CN"/>
              </w:rPr>
            </w:pPr>
          </w:p>
        </w:tc>
        <w:tc>
          <w:tcPr>
            <w:tcW w:w="800" w:type="dxa"/>
            <w:vMerge w:val="continue"/>
            <w:vAlign w:val="center"/>
          </w:tcPr>
          <w:p>
            <w:pPr>
              <w:pStyle w:val="28"/>
              <w:suppressLineNumbers w:val="0"/>
              <w:bidi w:val="0"/>
              <w:spacing w:before="0" w:after="0"/>
              <w:ind w:left="0" w:right="0"/>
              <w:outlineLvl w:val="9"/>
              <w:rPr>
                <w:rFonts w:hint="default"/>
                <w:lang w:val="en-US" w:eastAsia="zh-CN"/>
              </w:rPr>
            </w:pPr>
          </w:p>
        </w:tc>
        <w:tc>
          <w:tcPr>
            <w:tcW w:w="136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核算方法</w:t>
            </w:r>
          </w:p>
        </w:tc>
        <w:tc>
          <w:tcPr>
            <w:tcW w:w="100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产生废气量（m3/h）</w:t>
            </w:r>
          </w:p>
        </w:tc>
        <w:tc>
          <w:tcPr>
            <w:tcW w:w="1117"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产生浓度（mg/m3）</w:t>
            </w:r>
          </w:p>
        </w:tc>
        <w:tc>
          <w:tcPr>
            <w:tcW w:w="1717" w:type="dxa"/>
            <w:gridSpan w:val="2"/>
            <w:vAlign w:val="center"/>
          </w:tcPr>
          <w:p>
            <w:pPr>
              <w:pStyle w:val="28"/>
              <w:suppressLineNumbers w:val="0"/>
              <w:bidi w:val="0"/>
              <w:spacing w:before="0" w:after="0"/>
              <w:ind w:left="0" w:right="0"/>
              <w:rPr>
                <w:rFonts w:hint="default"/>
                <w:lang w:val="en-US" w:eastAsia="zh-CN"/>
              </w:rPr>
            </w:pPr>
            <w:r>
              <w:rPr>
                <w:rFonts w:hint="eastAsia"/>
                <w:lang w:val="en-US" w:eastAsia="zh-CN"/>
              </w:rPr>
              <w:t>产生量</w:t>
            </w:r>
          </w:p>
        </w:tc>
        <w:tc>
          <w:tcPr>
            <w:tcW w:w="216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工艺</w:t>
            </w:r>
          </w:p>
        </w:tc>
        <w:tc>
          <w:tcPr>
            <w:tcW w:w="9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效率（%）</w:t>
            </w:r>
          </w:p>
        </w:tc>
        <w:tc>
          <w:tcPr>
            <w:tcW w:w="131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核算方法</w:t>
            </w:r>
          </w:p>
          <w:p>
            <w:pPr>
              <w:pStyle w:val="28"/>
              <w:suppressLineNumbers w:val="0"/>
              <w:bidi w:val="0"/>
              <w:spacing w:before="0" w:after="0"/>
              <w:ind w:left="0" w:right="0"/>
              <w:outlineLvl w:val="9"/>
              <w:rPr>
                <w:rFonts w:hint="default"/>
                <w:lang w:val="en-US" w:eastAsia="zh-CN"/>
              </w:rPr>
            </w:pPr>
          </w:p>
        </w:tc>
        <w:tc>
          <w:tcPr>
            <w:tcW w:w="95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排放废气量（m3/h）</w:t>
            </w:r>
          </w:p>
        </w:tc>
        <w:tc>
          <w:tcPr>
            <w:tcW w:w="120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排放浓度（mg/m3）</w:t>
            </w:r>
          </w:p>
        </w:tc>
        <w:tc>
          <w:tcPr>
            <w:tcW w:w="1534" w:type="dxa"/>
            <w:gridSpan w:val="2"/>
            <w:vAlign w:val="center"/>
          </w:tcPr>
          <w:p>
            <w:pPr>
              <w:pStyle w:val="28"/>
              <w:suppressLineNumbers w:val="0"/>
              <w:bidi w:val="0"/>
              <w:spacing w:before="0" w:after="0"/>
              <w:ind w:left="0" w:right="0"/>
              <w:rPr>
                <w:rFonts w:hint="default"/>
                <w:lang w:val="en-US" w:eastAsia="zh-CN"/>
              </w:rPr>
            </w:pPr>
            <w:r>
              <w:rPr>
                <w:rFonts w:hint="eastAsia"/>
                <w:lang w:val="en-US" w:eastAsia="zh-CN"/>
              </w:rPr>
              <w:t>产生量</w:t>
            </w:r>
          </w:p>
        </w:tc>
        <w:tc>
          <w:tcPr>
            <w:tcW w:w="10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排气筒编号</w:t>
            </w:r>
          </w:p>
        </w:tc>
        <w:tc>
          <w:tcPr>
            <w:tcW w:w="9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排气筒高度/内径（m）</w:t>
            </w:r>
          </w:p>
        </w:tc>
        <w:tc>
          <w:tcPr>
            <w:tcW w:w="5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排放温度/℃</w:t>
            </w: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default"/>
                <w:lang w:val="en-US" w:eastAsia="zh-CN"/>
              </w:rPr>
            </w:pPr>
          </w:p>
        </w:tc>
        <w:tc>
          <w:tcPr>
            <w:tcW w:w="1167" w:type="dxa"/>
            <w:vMerge w:val="continue"/>
            <w:vAlign w:val="center"/>
          </w:tcPr>
          <w:p>
            <w:pPr>
              <w:pStyle w:val="28"/>
              <w:suppressLineNumbers w:val="0"/>
              <w:bidi w:val="0"/>
              <w:spacing w:before="0" w:after="0"/>
              <w:ind w:left="0" w:right="0"/>
              <w:outlineLvl w:val="9"/>
              <w:rPr>
                <w:rFonts w:hint="default"/>
                <w:lang w:val="en-US" w:eastAsia="zh-CN"/>
              </w:rPr>
            </w:pPr>
          </w:p>
        </w:tc>
        <w:tc>
          <w:tcPr>
            <w:tcW w:w="800" w:type="dxa"/>
            <w:vMerge w:val="continue"/>
            <w:vAlign w:val="center"/>
          </w:tcPr>
          <w:p>
            <w:pPr>
              <w:pStyle w:val="28"/>
              <w:suppressLineNumbers w:val="0"/>
              <w:bidi w:val="0"/>
              <w:spacing w:before="0" w:after="0"/>
              <w:ind w:left="0" w:right="0"/>
              <w:outlineLvl w:val="9"/>
              <w:rPr>
                <w:rFonts w:hint="default"/>
                <w:lang w:val="en-US" w:eastAsia="zh-CN"/>
              </w:rPr>
            </w:pPr>
          </w:p>
        </w:tc>
        <w:tc>
          <w:tcPr>
            <w:tcW w:w="1366" w:type="dxa"/>
            <w:vMerge w:val="continue"/>
            <w:vAlign w:val="center"/>
          </w:tcPr>
          <w:p>
            <w:pPr>
              <w:pStyle w:val="28"/>
              <w:suppressLineNumbers w:val="0"/>
              <w:bidi w:val="0"/>
              <w:spacing w:before="0" w:after="0"/>
              <w:ind w:left="0" w:right="0"/>
              <w:outlineLvl w:val="9"/>
              <w:rPr>
                <w:rFonts w:hint="eastAsia"/>
                <w:lang w:val="en-US" w:eastAsia="zh-CN"/>
              </w:rPr>
            </w:pPr>
          </w:p>
        </w:tc>
        <w:tc>
          <w:tcPr>
            <w:tcW w:w="1000" w:type="dxa"/>
            <w:vMerge w:val="continue"/>
            <w:vAlign w:val="center"/>
          </w:tcPr>
          <w:p>
            <w:pPr>
              <w:pStyle w:val="28"/>
              <w:suppressLineNumbers w:val="0"/>
              <w:bidi w:val="0"/>
              <w:spacing w:before="0" w:after="0"/>
              <w:ind w:left="0" w:right="0"/>
              <w:outlineLvl w:val="9"/>
              <w:rPr>
                <w:rFonts w:hint="eastAsia"/>
                <w:lang w:val="en-US" w:eastAsia="zh-CN"/>
              </w:rPr>
            </w:pPr>
          </w:p>
        </w:tc>
        <w:tc>
          <w:tcPr>
            <w:tcW w:w="1117" w:type="dxa"/>
            <w:vMerge w:val="continue"/>
            <w:vAlign w:val="center"/>
          </w:tcPr>
          <w:p>
            <w:pPr>
              <w:pStyle w:val="28"/>
              <w:suppressLineNumbers w:val="0"/>
              <w:bidi w:val="0"/>
              <w:spacing w:before="0" w:after="0"/>
              <w:ind w:left="0" w:right="0"/>
              <w:outlineLvl w:val="9"/>
              <w:rPr>
                <w:rFonts w:hint="eastAsia"/>
                <w:lang w:val="en-US" w:eastAsia="zh-CN"/>
              </w:rPr>
            </w:pPr>
          </w:p>
        </w:tc>
        <w:tc>
          <w:tcPr>
            <w:tcW w:w="850" w:type="dxa"/>
            <w:vAlign w:val="center"/>
          </w:tcPr>
          <w:p>
            <w:pPr>
              <w:pStyle w:val="28"/>
              <w:suppressLineNumbers w:val="0"/>
              <w:bidi w:val="0"/>
              <w:spacing w:before="0" w:after="0"/>
              <w:ind w:left="0" w:right="0"/>
              <w:rPr>
                <w:rFonts w:hint="default"/>
                <w:lang w:val="en-US" w:eastAsia="zh-CN"/>
              </w:rPr>
            </w:pPr>
            <w:r>
              <w:rPr>
                <w:rFonts w:hint="eastAsia"/>
                <w:lang w:val="en-US" w:eastAsia="zh-CN"/>
              </w:rPr>
              <w:t>kg/h</w:t>
            </w:r>
          </w:p>
        </w:tc>
        <w:tc>
          <w:tcPr>
            <w:tcW w:w="867" w:type="dxa"/>
            <w:vAlign w:val="center"/>
          </w:tcPr>
          <w:p>
            <w:pPr>
              <w:pStyle w:val="28"/>
              <w:suppressLineNumbers w:val="0"/>
              <w:bidi w:val="0"/>
              <w:spacing w:before="0" w:after="0"/>
              <w:ind w:left="0" w:right="0"/>
              <w:rPr>
                <w:rFonts w:hint="default"/>
                <w:lang w:val="en-US" w:eastAsia="zh-CN"/>
              </w:rPr>
            </w:pPr>
            <w:r>
              <w:rPr>
                <w:rFonts w:hint="eastAsia"/>
                <w:lang w:val="en-US" w:eastAsia="zh-CN"/>
              </w:rPr>
              <w:t>t/a</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Merge w:val="continue"/>
            <w:vAlign w:val="center"/>
          </w:tcPr>
          <w:p>
            <w:pPr>
              <w:pStyle w:val="28"/>
              <w:suppressLineNumbers w:val="0"/>
              <w:bidi w:val="0"/>
              <w:spacing w:before="0" w:after="0"/>
              <w:ind w:left="0" w:right="0"/>
              <w:outlineLvl w:val="9"/>
              <w:rPr>
                <w:rFonts w:hint="default"/>
                <w:lang w:val="en-US" w:eastAsia="zh-CN"/>
              </w:rPr>
            </w:pPr>
          </w:p>
        </w:tc>
        <w:tc>
          <w:tcPr>
            <w:tcW w:w="950" w:type="dxa"/>
            <w:vMerge w:val="continue"/>
            <w:vAlign w:val="center"/>
          </w:tcPr>
          <w:p>
            <w:pPr>
              <w:pStyle w:val="28"/>
              <w:suppressLineNumbers w:val="0"/>
              <w:bidi w:val="0"/>
              <w:spacing w:before="0" w:after="0"/>
              <w:ind w:left="0" w:right="0"/>
              <w:outlineLvl w:val="9"/>
              <w:rPr>
                <w:rFonts w:hint="default"/>
                <w:lang w:val="en-US" w:eastAsia="zh-CN"/>
              </w:rPr>
            </w:pPr>
          </w:p>
        </w:tc>
        <w:tc>
          <w:tcPr>
            <w:tcW w:w="1200" w:type="dxa"/>
            <w:vMerge w:val="continue"/>
            <w:vAlign w:val="center"/>
          </w:tcPr>
          <w:p>
            <w:pPr>
              <w:pStyle w:val="28"/>
              <w:suppressLineNumbers w:val="0"/>
              <w:bidi w:val="0"/>
              <w:spacing w:before="0" w:after="0"/>
              <w:ind w:left="0" w:right="0"/>
              <w:outlineLvl w:val="9"/>
              <w:rPr>
                <w:rFonts w:hint="default"/>
                <w:lang w:val="en-US" w:eastAsia="zh-CN"/>
              </w:rPr>
            </w:pPr>
          </w:p>
        </w:tc>
        <w:tc>
          <w:tcPr>
            <w:tcW w:w="850" w:type="dxa"/>
            <w:vAlign w:val="center"/>
          </w:tcPr>
          <w:p>
            <w:pPr>
              <w:pStyle w:val="28"/>
              <w:suppressLineNumbers w:val="0"/>
              <w:bidi w:val="0"/>
              <w:spacing w:before="0" w:after="0"/>
              <w:ind w:left="0" w:right="0"/>
              <w:rPr>
                <w:rFonts w:hint="default"/>
                <w:lang w:val="en-US" w:eastAsia="zh-CN"/>
              </w:rPr>
            </w:pPr>
            <w:r>
              <w:rPr>
                <w:rFonts w:hint="eastAsia"/>
                <w:lang w:val="en-US" w:eastAsia="zh-CN"/>
              </w:rPr>
              <w:t>kg/h</w:t>
            </w:r>
          </w:p>
        </w:tc>
        <w:tc>
          <w:tcPr>
            <w:tcW w:w="684" w:type="dxa"/>
            <w:vAlign w:val="center"/>
          </w:tcPr>
          <w:p>
            <w:pPr>
              <w:pStyle w:val="28"/>
              <w:suppressLineNumbers w:val="0"/>
              <w:bidi w:val="0"/>
              <w:spacing w:before="0" w:after="0"/>
              <w:ind w:left="0" w:right="0"/>
              <w:rPr>
                <w:rFonts w:hint="default"/>
                <w:lang w:val="en-US" w:eastAsia="zh-CN"/>
              </w:rPr>
            </w:pPr>
            <w:r>
              <w:rPr>
                <w:rFonts w:hint="eastAsia"/>
                <w:lang w:val="en-US" w:eastAsia="zh-CN"/>
              </w:rPr>
              <w:t>t/a</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4" w:type="dxa"/>
            <w:gridSpan w:val="20"/>
            <w:vAlign w:val="center"/>
          </w:tcPr>
          <w:p>
            <w:pPr>
              <w:pStyle w:val="28"/>
              <w:suppressLineNumbers w:val="0"/>
              <w:bidi w:val="0"/>
              <w:spacing w:before="0" w:after="0"/>
              <w:ind w:left="0" w:right="0"/>
              <w:rPr>
                <w:rFonts w:hint="eastAsia"/>
                <w:b/>
                <w:bCs/>
                <w:lang w:val="en-US" w:eastAsia="zh-CN"/>
              </w:rPr>
            </w:pPr>
            <w:r>
              <w:rPr>
                <w:rFonts w:hint="eastAsia"/>
                <w:b/>
                <w:bCs/>
                <w:lang w:val="en-US" w:eastAsia="zh-CN"/>
              </w:rPr>
              <w:t>一期废气产生排放情况一览表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一期新型增碳剂生产线</w:t>
            </w: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电煅炉料仓</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1-1</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rPr>
                <w:rFonts w:hint="default"/>
                <w:lang w:val="en-US" w:eastAsia="zh-CN"/>
              </w:rPr>
            </w:pPr>
            <w:r>
              <w:rPr>
                <w:rFonts w:hint="eastAsia"/>
                <w:lang w:val="en-US" w:eastAsia="zh-CN"/>
              </w:rPr>
              <w:t>袋式除尘器</w:t>
            </w: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99.5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DA001</w:t>
            </w:r>
          </w:p>
        </w:tc>
        <w:tc>
          <w:tcPr>
            <w:tcW w:w="9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35/1.3</w:t>
            </w:r>
          </w:p>
        </w:tc>
        <w:tc>
          <w:tcPr>
            <w:tcW w:w="584" w:type="dxa"/>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696" w:type="dxa"/>
            <w:vAlign w:val="center"/>
          </w:tcPr>
          <w:p>
            <w:pPr>
              <w:pStyle w:val="28"/>
              <w:suppressLineNumbers w:val="0"/>
              <w:bidi w:val="0"/>
              <w:spacing w:before="0" w:after="0"/>
              <w:ind w:left="0" w:right="0"/>
              <w:rPr>
                <w:rFonts w:hint="default"/>
                <w:lang w:val="en-US" w:eastAsia="zh-CN"/>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电煅炉</w:t>
            </w:r>
          </w:p>
        </w:tc>
        <w:tc>
          <w:tcPr>
            <w:tcW w:w="1167"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1-2</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烟尘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30000</w:t>
            </w:r>
          </w:p>
        </w:tc>
        <w:tc>
          <w:tcPr>
            <w:tcW w:w="111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 xml:space="preserve">778.67 </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23.36</w:t>
            </w:r>
          </w:p>
        </w:tc>
        <w:tc>
          <w:tcPr>
            <w:tcW w:w="86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185</w:t>
            </w:r>
          </w:p>
        </w:tc>
        <w:tc>
          <w:tcPr>
            <w:tcW w:w="216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布袋除尘+二级氧化钙法</w:t>
            </w: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99.5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30000</w:t>
            </w:r>
          </w:p>
        </w:tc>
        <w:tc>
          <w:tcPr>
            <w:tcW w:w="120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 xml:space="preserve">3.67 </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0.11</w:t>
            </w:r>
          </w:p>
        </w:tc>
        <w:tc>
          <w:tcPr>
            <w:tcW w:w="684"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0.84</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50</w:t>
            </w:r>
          </w:p>
        </w:tc>
        <w:tc>
          <w:tcPr>
            <w:tcW w:w="69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outlineLvl w:val="9"/>
              <w:rPr>
                <w:rFonts w:hint="eastAsia"/>
                <w:lang w:val="en-US" w:eastAsia="zh-CN"/>
              </w:rPr>
            </w:pP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SO</w:t>
            </w:r>
            <w:r>
              <w:rPr>
                <w:rFonts w:hint="eastAsia"/>
                <w:vertAlign w:val="subscript"/>
                <w:lang w:val="en-US" w:eastAsia="zh-CN"/>
              </w:rPr>
              <w:t>2</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物料衡算法</w:t>
            </w:r>
          </w:p>
        </w:tc>
        <w:tc>
          <w:tcPr>
            <w:tcW w:w="1000" w:type="dxa"/>
            <w:vMerge w:val="continue"/>
            <w:vAlign w:val="center"/>
          </w:tcPr>
          <w:p>
            <w:pPr>
              <w:pStyle w:val="28"/>
              <w:suppressLineNumbers w:val="0"/>
              <w:bidi w:val="0"/>
              <w:spacing w:before="0" w:after="0"/>
              <w:ind w:left="0" w:right="0"/>
              <w:outlineLvl w:val="9"/>
              <w:rPr>
                <w:rFonts w:hint="default"/>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 xml:space="preserve">1063.00 </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31.89</w:t>
            </w:r>
          </w:p>
        </w:tc>
        <w:tc>
          <w:tcPr>
            <w:tcW w:w="86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252.57</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93.5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物料衡算法</w:t>
            </w:r>
          </w:p>
        </w:tc>
        <w:tc>
          <w:tcPr>
            <w:tcW w:w="950" w:type="dxa"/>
            <w:vMerge w:val="continue"/>
            <w:vAlign w:val="center"/>
          </w:tcPr>
          <w:p>
            <w:pPr>
              <w:pStyle w:val="28"/>
              <w:suppressLineNumbers w:val="0"/>
              <w:bidi w:val="0"/>
              <w:spacing w:before="0" w:after="0"/>
              <w:ind w:left="0" w:right="0"/>
              <w:outlineLvl w:val="9"/>
              <w:rPr>
                <w:rFonts w:hint="default"/>
                <w:lang w:val="en-US" w:eastAsia="zh-CN"/>
              </w:rPr>
            </w:pPr>
          </w:p>
        </w:tc>
        <w:tc>
          <w:tcPr>
            <w:tcW w:w="120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 xml:space="preserve">67.34 </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2.02</w:t>
            </w:r>
          </w:p>
        </w:tc>
        <w:tc>
          <w:tcPr>
            <w:tcW w:w="684"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16</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outlineLvl w:val="9"/>
              <w:rPr>
                <w:rFonts w:hint="eastAsia"/>
                <w:lang w:val="en-US" w:eastAsia="zh-CN"/>
              </w:rPr>
            </w:pP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NOx</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1000" w:type="dxa"/>
            <w:vMerge w:val="continue"/>
            <w:vAlign w:val="center"/>
          </w:tcPr>
          <w:p>
            <w:pPr>
              <w:pStyle w:val="28"/>
              <w:suppressLineNumbers w:val="0"/>
              <w:bidi w:val="0"/>
              <w:spacing w:before="0" w:after="0"/>
              <w:ind w:left="0" w:right="0"/>
              <w:outlineLvl w:val="9"/>
              <w:rPr>
                <w:rFonts w:hint="default"/>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1.89</w:t>
            </w:r>
          </w:p>
        </w:tc>
        <w:tc>
          <w:tcPr>
            <w:tcW w:w="86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Merge w:val="continue"/>
            <w:vAlign w:val="center"/>
          </w:tcPr>
          <w:p>
            <w:pPr>
              <w:pStyle w:val="28"/>
              <w:suppressLineNumbers w:val="0"/>
              <w:bidi w:val="0"/>
              <w:spacing w:before="0" w:after="0"/>
              <w:ind w:left="0" w:right="0"/>
              <w:outlineLvl w:val="9"/>
              <w:rPr>
                <w:rFonts w:hint="default"/>
                <w:lang w:val="en-US" w:eastAsia="zh-CN"/>
              </w:rPr>
            </w:pPr>
          </w:p>
        </w:tc>
        <w:tc>
          <w:tcPr>
            <w:tcW w:w="120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1.89</w:t>
            </w:r>
          </w:p>
        </w:tc>
        <w:tc>
          <w:tcPr>
            <w:tcW w:w="684"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15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密闭排料器、运输机、斗提机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1-3</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4.73</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2166" w:type="dxa"/>
            <w:vAlign w:val="center"/>
          </w:tcPr>
          <w:p>
            <w:pPr>
              <w:pStyle w:val="28"/>
              <w:suppressLineNumbers w:val="0"/>
              <w:bidi w:val="0"/>
              <w:spacing w:before="0" w:after="0"/>
              <w:ind w:left="0" w:right="0"/>
              <w:rPr>
                <w:rFonts w:hint="default"/>
                <w:lang w:val="en-US" w:eastAsia="zh-CN"/>
              </w:rPr>
            </w:pPr>
            <w:r>
              <w:rPr>
                <w:rFonts w:hint="eastAsia"/>
                <w:lang w:val="en-US" w:eastAsia="zh-CN"/>
              </w:rPr>
              <w:t>袋式除尘器</w:t>
            </w: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99.5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11.84</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0.024</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中间包装机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1-4</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半成品仓2</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1-5</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破碎机、筛分机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1-6</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4.73</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11.82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0.024</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eastAsia"/>
                <w:lang w:val="en-US" w:eastAsia="zh-CN"/>
              </w:rPr>
            </w:pPr>
            <w:r>
              <w:rPr>
                <w:rFonts w:hint="eastAsia"/>
                <w:lang w:val="en-US" w:eastAsia="zh-CN"/>
              </w:rPr>
              <w:t>包装机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1-7</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进料</w:t>
            </w:r>
          </w:p>
        </w:tc>
        <w:tc>
          <w:tcPr>
            <w:tcW w:w="1719"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车间一</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U1-1</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车间密闭，自然沉降，加强管理，从源头减少无组织粉尘产生量</w:t>
            </w:r>
          </w:p>
        </w:tc>
        <w:tc>
          <w:tcPr>
            <w:tcW w:w="9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车间沉降率</w:t>
            </w:r>
            <w:r>
              <w:rPr>
                <w:rFonts w:hint="default" w:ascii="Arial" w:hAnsi="Arial" w:cs="Arial"/>
                <w:lang w:val="en-US" w:eastAsia="zh-CN"/>
              </w:rPr>
              <w:t>≥</w:t>
            </w:r>
            <w:r>
              <w:rPr>
                <w:rFonts w:hint="eastAsia"/>
                <w:lang w:val="en-US" w:eastAsia="zh-CN"/>
              </w:rPr>
              <w:t>80%</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restart"/>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高=119.78</w:t>
            </w:r>
            <w:r>
              <w:rPr>
                <w:rFonts w:hint="default"/>
                <w:lang w:val="en-US" w:eastAsia="zh-CN"/>
              </w:rPr>
              <w:t>×</w:t>
            </w:r>
            <w:r>
              <w:rPr>
                <w:rFonts w:hint="eastAsia"/>
                <w:lang w:val="en-US" w:eastAsia="zh-CN"/>
              </w:rPr>
              <w:t>34.98</w:t>
            </w:r>
            <w:r>
              <w:rPr>
                <w:rFonts w:hint="default"/>
                <w:lang w:val="en-US" w:eastAsia="zh-CN"/>
              </w:rPr>
              <w:t>×</w:t>
            </w:r>
            <w:r>
              <w:rPr>
                <w:rFonts w:hint="eastAsia"/>
                <w:lang w:val="en-US" w:eastAsia="zh-CN"/>
              </w:rPr>
              <w:t>12</w:t>
            </w:r>
          </w:p>
        </w:tc>
        <w:tc>
          <w:tcPr>
            <w:tcW w:w="584"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中间包装</w:t>
            </w: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U1-2</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半成品仓2</w:t>
            </w:r>
          </w:p>
        </w:tc>
        <w:tc>
          <w:tcPr>
            <w:tcW w:w="1719"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破碎、筛分车间</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U1-3</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包装</w:t>
            </w: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U1-4</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4" w:type="dxa"/>
            <w:gridSpan w:val="20"/>
            <w:vAlign w:val="center"/>
          </w:tcPr>
          <w:p>
            <w:pPr>
              <w:pStyle w:val="28"/>
              <w:suppressLineNumbers w:val="0"/>
              <w:bidi w:val="0"/>
              <w:spacing w:before="0" w:after="0"/>
              <w:ind w:left="0" w:right="0"/>
              <w:rPr>
                <w:rFonts w:hint="eastAsia"/>
                <w:b/>
                <w:bCs/>
                <w:lang w:val="en-US" w:eastAsia="zh-CN"/>
              </w:rPr>
            </w:pPr>
            <w:r>
              <w:rPr>
                <w:rFonts w:hint="eastAsia"/>
                <w:b/>
                <w:bCs/>
                <w:lang w:val="en-US" w:eastAsia="zh-CN"/>
              </w:rPr>
              <w:t>二期废气产生排放情况一览表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二期新型增碳剂生产线</w:t>
            </w: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电煅炉料仓</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2-1</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rPr>
                <w:rFonts w:hint="default"/>
                <w:lang w:val="en-US" w:eastAsia="zh-CN"/>
              </w:rPr>
            </w:pPr>
            <w:r>
              <w:rPr>
                <w:rFonts w:hint="eastAsia"/>
                <w:lang w:val="en-US" w:eastAsia="zh-CN"/>
              </w:rPr>
              <w:t>袋式除尘器</w:t>
            </w: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99.5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0.12</w:t>
            </w:r>
          </w:p>
        </w:tc>
        <w:tc>
          <w:tcPr>
            <w:tcW w:w="10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DA001</w:t>
            </w:r>
          </w:p>
        </w:tc>
        <w:tc>
          <w:tcPr>
            <w:tcW w:w="933"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35/1.3</w:t>
            </w: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电煅炉</w:t>
            </w:r>
          </w:p>
        </w:tc>
        <w:tc>
          <w:tcPr>
            <w:tcW w:w="1167"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2-2</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烟尘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Merge w:val="restart"/>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30000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778.67 </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23.36</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185</w:t>
            </w:r>
          </w:p>
        </w:tc>
        <w:tc>
          <w:tcPr>
            <w:tcW w:w="216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布袋除尘+二级氧化钙法</w:t>
            </w:r>
          </w:p>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Merge w:val="restart"/>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30000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3.67 </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0.11</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0.84</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50</w:t>
            </w:r>
          </w:p>
        </w:tc>
        <w:tc>
          <w:tcPr>
            <w:tcW w:w="69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outlineLvl w:val="9"/>
              <w:rPr>
                <w:rFonts w:hint="eastAsia"/>
                <w:lang w:val="en-US" w:eastAsia="zh-CN"/>
              </w:rPr>
            </w:pP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SO2</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物料衡算法</w:t>
            </w:r>
          </w:p>
        </w:tc>
        <w:tc>
          <w:tcPr>
            <w:tcW w:w="1000" w:type="dxa"/>
            <w:vMerge w:val="continue"/>
            <w:vAlign w:val="center"/>
          </w:tcPr>
          <w:p>
            <w:pPr>
              <w:pStyle w:val="28"/>
              <w:suppressLineNumbers w:val="0"/>
              <w:bidi w:val="0"/>
              <w:spacing w:before="0" w:after="0"/>
              <w:ind w:left="0" w:leftChars="0" w:right="0" w:rightChars="0" w:firstLine="0" w:firstLineChars="0"/>
              <w:outlineLvl w:val="9"/>
              <w:rPr>
                <w:rFonts w:hint="default"/>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1063.00 </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31.89</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252.57</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93.5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物料衡算法</w:t>
            </w:r>
          </w:p>
        </w:tc>
        <w:tc>
          <w:tcPr>
            <w:tcW w:w="950" w:type="dxa"/>
            <w:vMerge w:val="continue"/>
            <w:vAlign w:val="center"/>
          </w:tcPr>
          <w:p>
            <w:pPr>
              <w:pStyle w:val="28"/>
              <w:suppressLineNumbers w:val="0"/>
              <w:bidi w:val="0"/>
              <w:spacing w:before="0" w:after="0"/>
              <w:ind w:left="0" w:leftChars="0" w:right="0" w:rightChars="0" w:firstLine="0" w:firstLineChars="0"/>
              <w:outlineLvl w:val="9"/>
              <w:rPr>
                <w:rFonts w:hint="default"/>
                <w:lang w:val="en-US" w:eastAsia="zh-CN"/>
              </w:rPr>
            </w:pP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67.34 </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outlineLvl w:val="9"/>
              <w:rPr>
                <w:rFonts w:hint="eastAsia"/>
                <w:lang w:val="en-US" w:eastAsia="zh-CN"/>
              </w:rPr>
            </w:pP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NOx</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1000" w:type="dxa"/>
            <w:vMerge w:val="continue"/>
            <w:vAlign w:val="center"/>
          </w:tcPr>
          <w:p>
            <w:pPr>
              <w:pStyle w:val="28"/>
              <w:suppressLineNumbers w:val="0"/>
              <w:bidi w:val="0"/>
              <w:spacing w:before="0" w:after="0"/>
              <w:ind w:left="0" w:leftChars="0" w:right="0" w:rightChars="0" w:firstLine="0" w:firstLineChars="0"/>
              <w:outlineLvl w:val="9"/>
              <w:rPr>
                <w:rFonts w:hint="default"/>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1.89</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Merge w:val="continue"/>
            <w:vAlign w:val="center"/>
          </w:tcPr>
          <w:p>
            <w:pPr>
              <w:pStyle w:val="28"/>
              <w:suppressLineNumbers w:val="0"/>
              <w:bidi w:val="0"/>
              <w:spacing w:before="0" w:after="0"/>
              <w:ind w:left="0" w:leftChars="0" w:right="0" w:rightChars="0" w:firstLine="0" w:firstLineChars="0"/>
              <w:outlineLvl w:val="9"/>
              <w:rPr>
                <w:rFonts w:hint="default"/>
                <w:lang w:val="en-US" w:eastAsia="zh-CN"/>
              </w:rPr>
            </w:pP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1.89</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密闭排料器、运输机、斗提机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2-3</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4.73</w:t>
            </w:r>
          </w:p>
        </w:tc>
        <w:tc>
          <w:tcPr>
            <w:tcW w:w="867"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25</w:t>
            </w:r>
          </w:p>
        </w:tc>
        <w:tc>
          <w:tcPr>
            <w:tcW w:w="2166" w:type="dxa"/>
            <w:vAlign w:val="center"/>
          </w:tcPr>
          <w:p>
            <w:pPr>
              <w:pStyle w:val="28"/>
              <w:suppressLineNumbers w:val="0"/>
              <w:bidi w:val="0"/>
              <w:spacing w:before="0" w:after="0"/>
              <w:ind w:left="0" w:right="0"/>
              <w:rPr>
                <w:rFonts w:hint="default"/>
                <w:lang w:val="en-US" w:eastAsia="zh-CN"/>
              </w:rPr>
            </w:pPr>
            <w:r>
              <w:rPr>
                <w:rFonts w:hint="eastAsia"/>
                <w:lang w:val="en-US" w:eastAsia="zh-CN"/>
              </w:rPr>
              <w:t>袋式除尘器</w:t>
            </w:r>
          </w:p>
        </w:tc>
        <w:tc>
          <w:tcPr>
            <w:tcW w:w="984" w:type="dxa"/>
            <w:vAlign w:val="center"/>
          </w:tcPr>
          <w:p>
            <w:pPr>
              <w:pStyle w:val="28"/>
              <w:suppressLineNumbers w:val="0"/>
              <w:bidi w:val="0"/>
              <w:spacing w:before="0" w:after="0"/>
              <w:ind w:left="0" w:right="0"/>
              <w:rPr>
                <w:rFonts w:hint="default"/>
                <w:lang w:val="en-US" w:eastAsia="zh-CN"/>
              </w:rPr>
            </w:pPr>
            <w:r>
              <w:rPr>
                <w:rFonts w:hint="eastAsia"/>
                <w:lang w:val="en-US" w:eastAsia="zh-CN"/>
              </w:rPr>
              <w:t>99.5</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11.84</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0.024</w:t>
            </w:r>
          </w:p>
        </w:tc>
        <w:tc>
          <w:tcPr>
            <w:tcW w:w="684"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0.125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中间包装机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2-4</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半成品仓2</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2-5</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default"/>
                <w:lang w:val="en-US" w:eastAsia="zh-CN"/>
              </w:rPr>
            </w:pPr>
            <w:r>
              <w:rPr>
                <w:rFonts w:hint="eastAsia"/>
                <w:lang w:val="en-US" w:eastAsia="zh-CN"/>
              </w:rPr>
              <w:t>破碎机、筛分机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2-6</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4.73</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11.82</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0.024</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default"/>
                <w:lang w:val="en-US" w:eastAsia="zh-CN"/>
              </w:rPr>
            </w:pPr>
          </w:p>
        </w:tc>
        <w:tc>
          <w:tcPr>
            <w:tcW w:w="1719" w:type="dxa"/>
            <w:vAlign w:val="center"/>
          </w:tcPr>
          <w:p>
            <w:pPr>
              <w:pStyle w:val="28"/>
              <w:suppressLineNumbers w:val="0"/>
              <w:bidi w:val="0"/>
              <w:spacing w:before="0" w:after="0"/>
              <w:ind w:left="0" w:right="0"/>
              <w:rPr>
                <w:rFonts w:hint="eastAsia"/>
                <w:lang w:val="en-US" w:eastAsia="zh-CN"/>
              </w:rPr>
            </w:pPr>
            <w:r>
              <w:rPr>
                <w:rFonts w:hint="eastAsia"/>
                <w:lang w:val="en-US" w:eastAsia="zh-CN"/>
              </w:rPr>
              <w:t>包装机</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2-7</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4.5</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2000</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0.022</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进料</w:t>
            </w:r>
          </w:p>
        </w:tc>
        <w:tc>
          <w:tcPr>
            <w:tcW w:w="1719"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车间二</w:t>
            </w:r>
          </w:p>
        </w:tc>
        <w:tc>
          <w:tcPr>
            <w:tcW w:w="1167" w:type="dxa"/>
            <w:vAlign w:val="center"/>
          </w:tcPr>
          <w:p>
            <w:pPr>
              <w:pStyle w:val="28"/>
              <w:suppressLineNumbers w:val="0"/>
              <w:bidi w:val="0"/>
              <w:spacing w:before="0" w:after="0"/>
              <w:ind w:left="0" w:right="0"/>
              <w:rPr>
                <w:rFonts w:hint="default"/>
                <w:lang w:val="en-US" w:eastAsia="zh-CN"/>
              </w:rPr>
            </w:pPr>
            <w:r>
              <w:rPr>
                <w:rFonts w:hint="eastAsia"/>
                <w:lang w:val="en-US" w:eastAsia="zh-CN"/>
              </w:rPr>
              <w:t>G</w:t>
            </w:r>
            <w:r>
              <w:rPr>
                <w:rFonts w:hint="eastAsia"/>
                <w:vertAlign w:val="subscript"/>
                <w:lang w:val="en-US" w:eastAsia="zh-CN"/>
              </w:rPr>
              <w:t>U2-1</w:t>
            </w:r>
          </w:p>
        </w:tc>
        <w:tc>
          <w:tcPr>
            <w:tcW w:w="800" w:type="dxa"/>
            <w:vAlign w:val="center"/>
          </w:tcPr>
          <w:p>
            <w:pPr>
              <w:pStyle w:val="28"/>
              <w:suppressLineNumbers w:val="0"/>
              <w:bidi w:val="0"/>
              <w:spacing w:before="0" w:after="0"/>
              <w:ind w:left="0" w:right="0"/>
              <w:rPr>
                <w:rFonts w:hint="default"/>
                <w:lang w:val="en-US" w:eastAsia="zh-CN"/>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lang w:val="en-US" w:eastAsia="zh-CN"/>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车间密闭，自然沉降，加强管理，从源头减少无组织粉尘产生量</w:t>
            </w:r>
          </w:p>
        </w:tc>
        <w:tc>
          <w:tcPr>
            <w:tcW w:w="984"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车间沉降率</w:t>
            </w:r>
            <w:r>
              <w:rPr>
                <w:rFonts w:hint="default" w:ascii="Arial" w:hAnsi="Arial" w:cs="Arial"/>
                <w:lang w:val="en-US" w:eastAsia="zh-CN"/>
              </w:rPr>
              <w:t>≥</w:t>
            </w:r>
            <w:r>
              <w:rPr>
                <w:rFonts w:hint="eastAsia"/>
                <w:lang w:val="en-US" w:eastAsia="zh-CN"/>
              </w:rPr>
              <w:t>80%</w:t>
            </w:r>
          </w:p>
        </w:tc>
        <w:tc>
          <w:tcPr>
            <w:tcW w:w="1316" w:type="dxa"/>
            <w:vAlign w:val="center"/>
          </w:tcPr>
          <w:p>
            <w:pPr>
              <w:pStyle w:val="28"/>
              <w:suppressLineNumbers w:val="0"/>
              <w:bidi w:val="0"/>
              <w:spacing w:before="0" w:after="0"/>
              <w:ind w:left="0" w:right="0"/>
              <w:rPr>
                <w:rFonts w:hint="default"/>
                <w:lang w:val="en-US" w:eastAsia="zh-CN"/>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restart"/>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高=118.78</w:t>
            </w:r>
            <w:r>
              <w:rPr>
                <w:rFonts w:hint="default"/>
                <w:lang w:val="en-US" w:eastAsia="zh-CN"/>
              </w:rPr>
              <w:t>×</w:t>
            </w:r>
            <w:r>
              <w:rPr>
                <w:rFonts w:hint="eastAsia"/>
                <w:lang w:val="en-US" w:eastAsia="zh-CN"/>
              </w:rPr>
              <w:t>46.98</w:t>
            </w:r>
            <w:r>
              <w:rPr>
                <w:rFonts w:hint="default"/>
                <w:lang w:val="en-US" w:eastAsia="zh-CN"/>
              </w:rPr>
              <w:t>×</w:t>
            </w:r>
            <w:r>
              <w:rPr>
                <w:rFonts w:hint="eastAsia"/>
                <w:lang w:val="en-US" w:eastAsia="zh-CN"/>
              </w:rPr>
              <w:t>12</w:t>
            </w:r>
          </w:p>
        </w:tc>
        <w:tc>
          <w:tcPr>
            <w:tcW w:w="584"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中间包装</w:t>
            </w: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U2-2</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半成品仓2</w:t>
            </w:r>
          </w:p>
        </w:tc>
        <w:tc>
          <w:tcPr>
            <w:tcW w:w="1719" w:type="dxa"/>
            <w:vMerge w:val="restart"/>
            <w:vAlign w:val="center"/>
          </w:tcPr>
          <w:p>
            <w:pPr>
              <w:pStyle w:val="28"/>
              <w:suppressLineNumbers w:val="0"/>
              <w:bidi w:val="0"/>
              <w:spacing w:before="0" w:after="0"/>
              <w:ind w:left="0" w:right="0"/>
              <w:rPr>
                <w:rFonts w:hint="eastAsia"/>
                <w:lang w:val="en-US" w:eastAsia="zh-CN"/>
              </w:rPr>
            </w:pPr>
            <w:r>
              <w:rPr>
                <w:rFonts w:hint="eastAsia"/>
                <w:lang w:val="en-US" w:eastAsia="zh-CN"/>
              </w:rPr>
              <w:t>破碎、筛分车间</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U2-3</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包装</w:t>
            </w: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U2-4</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rPr>
                <w:rFonts w:hint="default"/>
                <w:lang w:val="en-US" w:eastAsia="zh-CN"/>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0.24 </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1.25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default" w:ascii="Times New Roman" w:hAnsi="Times New Roman"/>
                <w:lang w:val="en-US" w:eastAsia="zh-CN"/>
              </w:rPr>
              <w:t xml:space="preserve">0.05 </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 xml:space="preserve">0.25 </w:t>
            </w:r>
          </w:p>
        </w:tc>
        <w:tc>
          <w:tcPr>
            <w:tcW w:w="1966" w:type="dxa"/>
            <w:gridSpan w:val="2"/>
            <w:vMerge w:val="continue"/>
            <w:vAlign w:val="center"/>
          </w:tcPr>
          <w:p>
            <w:pPr>
              <w:pStyle w:val="28"/>
              <w:suppressLineNumbers w:val="0"/>
              <w:bidi w:val="0"/>
              <w:spacing w:before="0" w:after="0"/>
              <w:ind w:left="0" w:right="0"/>
              <w:outlineLvl w:val="9"/>
              <w:rPr>
                <w:rFonts w:hint="default"/>
                <w:lang w:val="en-US" w:eastAsia="zh-CN"/>
              </w:rPr>
            </w:pP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4" w:type="dxa"/>
            <w:gridSpan w:val="20"/>
            <w:vAlign w:val="center"/>
          </w:tcPr>
          <w:p>
            <w:pPr>
              <w:pStyle w:val="28"/>
              <w:suppressLineNumbers w:val="0"/>
              <w:bidi w:val="0"/>
              <w:spacing w:before="0" w:after="0"/>
              <w:ind w:left="0" w:right="0"/>
              <w:rPr>
                <w:rFonts w:hint="default"/>
                <w:b/>
                <w:bCs/>
                <w:lang w:val="en-US" w:eastAsia="zh-CN"/>
              </w:rPr>
            </w:pPr>
            <w:r>
              <w:rPr>
                <w:rFonts w:hint="eastAsia"/>
                <w:b/>
                <w:bCs/>
                <w:lang w:val="en-US" w:eastAsia="zh-CN"/>
              </w:rPr>
              <w:t>全厂废气产生排放情况一览表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2" w:type="dxa"/>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电煅炉料仓</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G1-1、G2-1</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47.5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0.044</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0.24</w:t>
            </w:r>
          </w:p>
        </w:tc>
        <w:tc>
          <w:tcPr>
            <w:tcW w:w="1033"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DA001</w:t>
            </w:r>
          </w:p>
          <w:p>
            <w:pPr>
              <w:pStyle w:val="28"/>
              <w:suppressLineNumbers w:val="0"/>
              <w:bidi w:val="0"/>
              <w:spacing w:before="0" w:after="0"/>
              <w:ind w:left="0" w:right="0"/>
              <w:outlineLvl w:val="9"/>
              <w:rPr>
                <w:rFonts w:hint="default"/>
                <w:lang w:val="en-US" w:eastAsia="zh-CN"/>
              </w:rPr>
            </w:pPr>
          </w:p>
        </w:tc>
        <w:tc>
          <w:tcPr>
            <w:tcW w:w="933"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35/1.3</w:t>
            </w:r>
          </w:p>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Merge w:val="restart"/>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电煅炉</w:t>
            </w:r>
          </w:p>
        </w:tc>
        <w:tc>
          <w:tcPr>
            <w:tcW w:w="1167" w:type="dxa"/>
            <w:vMerge w:val="restart"/>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G1-2、G2-2</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烟尘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60000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 xml:space="preserve">778.67 </w:t>
            </w:r>
          </w:p>
        </w:tc>
        <w:tc>
          <w:tcPr>
            <w:tcW w:w="850" w:type="dxa"/>
            <w:vAlign w:val="center"/>
          </w:tcPr>
          <w:p>
            <w:pPr>
              <w:pStyle w:val="28"/>
              <w:suppressLineNumbers w:val="0"/>
              <w:bidi w:val="0"/>
              <w:spacing w:before="0" w:after="0"/>
              <w:ind w:left="0" w:right="0"/>
              <w:rPr>
                <w:rFonts w:hint="eastAsia"/>
                <w:lang w:val="en-US" w:eastAsia="zh-CN"/>
              </w:rPr>
            </w:pPr>
            <w:r>
              <w:rPr>
                <w:rFonts w:hint="eastAsia"/>
                <w:lang w:val="en-US" w:eastAsia="zh-CN"/>
              </w:rPr>
              <w:t>46.72</w:t>
            </w:r>
          </w:p>
        </w:tc>
        <w:tc>
          <w:tcPr>
            <w:tcW w:w="867" w:type="dxa"/>
            <w:vAlign w:val="center"/>
          </w:tcPr>
          <w:p>
            <w:pPr>
              <w:pStyle w:val="28"/>
              <w:suppressLineNumbers w:val="0"/>
              <w:bidi w:val="0"/>
              <w:spacing w:before="0" w:after="0"/>
              <w:ind w:left="0" w:right="0"/>
              <w:rPr>
                <w:rFonts w:hint="eastAsia"/>
                <w:lang w:val="en-US" w:eastAsia="zh-CN"/>
              </w:rPr>
            </w:pPr>
            <w:r>
              <w:rPr>
                <w:rFonts w:hint="eastAsia"/>
                <w:lang w:val="en-US" w:eastAsia="zh-CN"/>
              </w:rPr>
              <w:t>370</w:t>
            </w:r>
          </w:p>
        </w:tc>
        <w:tc>
          <w:tcPr>
            <w:tcW w:w="216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布袋除尘+二级氧化钙法</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60000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 xml:space="preserve">3.67 </w:t>
            </w:r>
          </w:p>
        </w:tc>
        <w:tc>
          <w:tcPr>
            <w:tcW w:w="850" w:type="dxa"/>
            <w:vAlign w:val="center"/>
          </w:tcPr>
          <w:p>
            <w:pPr>
              <w:pStyle w:val="28"/>
              <w:suppressLineNumbers w:val="0"/>
              <w:bidi w:val="0"/>
              <w:spacing w:before="0" w:after="0"/>
              <w:ind w:left="0" w:right="0"/>
              <w:rPr>
                <w:rFonts w:hint="eastAsia"/>
                <w:lang w:val="en-US" w:eastAsia="zh-CN"/>
              </w:rPr>
            </w:pPr>
            <w:r>
              <w:rPr>
                <w:rFonts w:hint="eastAsia"/>
                <w:lang w:val="en-US" w:eastAsia="zh-CN"/>
              </w:rPr>
              <w:t>0.22</w:t>
            </w:r>
          </w:p>
        </w:tc>
        <w:tc>
          <w:tcPr>
            <w:tcW w:w="684" w:type="dxa"/>
            <w:vAlign w:val="center"/>
          </w:tcPr>
          <w:p>
            <w:pPr>
              <w:pStyle w:val="28"/>
              <w:suppressLineNumbers w:val="0"/>
              <w:bidi w:val="0"/>
              <w:spacing w:before="0" w:after="0"/>
              <w:ind w:left="0" w:right="0"/>
              <w:rPr>
                <w:rFonts w:hint="eastAsia"/>
                <w:lang w:val="en-US" w:eastAsia="zh-CN"/>
              </w:rPr>
            </w:pPr>
            <w:r>
              <w:rPr>
                <w:rFonts w:hint="eastAsia"/>
                <w:lang w:val="en-US" w:eastAsia="zh-CN"/>
              </w:rPr>
              <w:t>1.68</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50</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firstLine="0" w:firstLineChars="0"/>
              <w:outlineLvl w:val="9"/>
              <w:rPr>
                <w:rFonts w:hint="eastAsia"/>
                <w:lang w:val="en-US" w:eastAsia="zh-CN"/>
              </w:rPr>
            </w:pP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SO2</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物料衡算法</w:t>
            </w:r>
          </w:p>
        </w:tc>
        <w:tc>
          <w:tcPr>
            <w:tcW w:w="1000" w:type="dxa"/>
            <w:vMerge w:val="continue"/>
            <w:vAlign w:val="center"/>
          </w:tcPr>
          <w:p>
            <w:pPr>
              <w:pStyle w:val="28"/>
              <w:suppressLineNumbers w:val="0"/>
              <w:bidi w:val="0"/>
              <w:spacing w:before="0" w:after="0"/>
              <w:ind w:left="0" w:right="0" w:firstLine="0" w:firstLineChars="0"/>
              <w:outlineLvl w:val="9"/>
              <w:rPr>
                <w:rFonts w:hint="eastAsia"/>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 xml:space="preserve">1063.00 </w:t>
            </w:r>
          </w:p>
        </w:tc>
        <w:tc>
          <w:tcPr>
            <w:tcW w:w="850" w:type="dxa"/>
            <w:vAlign w:val="center"/>
          </w:tcPr>
          <w:p>
            <w:pPr>
              <w:pStyle w:val="28"/>
              <w:suppressLineNumbers w:val="0"/>
              <w:bidi w:val="0"/>
              <w:spacing w:before="0" w:after="0"/>
              <w:ind w:left="0" w:right="0"/>
              <w:rPr>
                <w:rFonts w:hint="eastAsia"/>
                <w:lang w:val="en-US" w:eastAsia="zh-CN"/>
              </w:rPr>
            </w:pPr>
            <w:r>
              <w:rPr>
                <w:rFonts w:hint="eastAsia"/>
                <w:lang w:val="en-US" w:eastAsia="zh-CN"/>
              </w:rPr>
              <w:t>63.78</w:t>
            </w:r>
          </w:p>
        </w:tc>
        <w:tc>
          <w:tcPr>
            <w:tcW w:w="867" w:type="dxa"/>
            <w:vAlign w:val="center"/>
          </w:tcPr>
          <w:p>
            <w:pPr>
              <w:pStyle w:val="28"/>
              <w:suppressLineNumbers w:val="0"/>
              <w:bidi w:val="0"/>
              <w:spacing w:before="0" w:after="0"/>
              <w:ind w:left="0" w:right="0"/>
              <w:rPr>
                <w:rFonts w:hint="eastAsia"/>
                <w:lang w:val="en-US" w:eastAsia="zh-CN"/>
              </w:rPr>
            </w:pPr>
            <w:r>
              <w:rPr>
                <w:rFonts w:hint="eastAsia"/>
                <w:lang w:val="en-US" w:eastAsia="zh-CN"/>
              </w:rPr>
              <w:t>505.14</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93.5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物料衡算法</w:t>
            </w:r>
          </w:p>
        </w:tc>
        <w:tc>
          <w:tcPr>
            <w:tcW w:w="950" w:type="dxa"/>
            <w:vMerge w:val="continue"/>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 xml:space="preserve">67.33 </w:t>
            </w:r>
          </w:p>
        </w:tc>
        <w:tc>
          <w:tcPr>
            <w:tcW w:w="850" w:type="dxa"/>
            <w:vAlign w:val="center"/>
          </w:tcPr>
          <w:p>
            <w:pPr>
              <w:pStyle w:val="28"/>
              <w:suppressLineNumbers w:val="0"/>
              <w:bidi w:val="0"/>
              <w:spacing w:before="0" w:after="0"/>
              <w:ind w:left="0" w:right="0"/>
              <w:rPr>
                <w:rFonts w:hint="eastAsia"/>
                <w:lang w:val="en-US" w:eastAsia="zh-CN"/>
              </w:rPr>
            </w:pPr>
            <w:r>
              <w:rPr>
                <w:rFonts w:hint="eastAsia"/>
                <w:lang w:val="en-US" w:eastAsia="zh-CN"/>
              </w:rPr>
              <w:t>4.04</w:t>
            </w:r>
          </w:p>
        </w:tc>
        <w:tc>
          <w:tcPr>
            <w:tcW w:w="684" w:type="dxa"/>
            <w:vAlign w:val="center"/>
          </w:tcPr>
          <w:p>
            <w:pPr>
              <w:pStyle w:val="28"/>
              <w:suppressLineNumbers w:val="0"/>
              <w:bidi w:val="0"/>
              <w:spacing w:before="0" w:after="0"/>
              <w:ind w:left="0" w:right="0"/>
              <w:rPr>
                <w:rFonts w:hint="eastAsia"/>
                <w:lang w:val="en-US" w:eastAsia="zh-CN"/>
              </w:rPr>
            </w:pPr>
            <w:r>
              <w:rPr>
                <w:rFonts w:hint="eastAsia"/>
                <w:lang w:val="en-US" w:eastAsia="zh-CN"/>
              </w:rPr>
              <w:t>32</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outlineLvl w:val="9"/>
              <w:rPr>
                <w:rFonts w:hint="default"/>
                <w:lang w:val="en-US" w:eastAsia="zh-CN"/>
              </w:rPr>
            </w:pPr>
          </w:p>
        </w:tc>
        <w:tc>
          <w:tcPr>
            <w:tcW w:w="696" w:type="dxa"/>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Merge w:val="continue"/>
            <w:vAlign w:val="center"/>
          </w:tcPr>
          <w:p>
            <w:pPr>
              <w:pStyle w:val="28"/>
              <w:suppressLineNumbers w:val="0"/>
              <w:bidi w:val="0"/>
              <w:spacing w:before="0" w:after="0"/>
              <w:ind w:left="0" w:right="0"/>
              <w:outlineLvl w:val="9"/>
              <w:rPr>
                <w:rFonts w:hint="eastAsia"/>
                <w:lang w:val="en-US" w:eastAsia="zh-CN"/>
              </w:rPr>
            </w:pPr>
          </w:p>
        </w:tc>
        <w:tc>
          <w:tcPr>
            <w:tcW w:w="1167" w:type="dxa"/>
            <w:vMerge w:val="continue"/>
            <w:vAlign w:val="center"/>
          </w:tcPr>
          <w:p>
            <w:pPr>
              <w:pStyle w:val="28"/>
              <w:suppressLineNumbers w:val="0"/>
              <w:bidi w:val="0"/>
              <w:spacing w:before="0" w:after="0"/>
              <w:ind w:left="0" w:right="0" w:firstLine="0" w:firstLineChars="0"/>
              <w:outlineLvl w:val="9"/>
              <w:rPr>
                <w:rFonts w:hint="eastAsia"/>
                <w:lang w:val="en-US" w:eastAsia="zh-CN"/>
              </w:rPr>
            </w:pP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NOx</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1000" w:type="dxa"/>
            <w:vMerge w:val="continue"/>
            <w:vAlign w:val="center"/>
          </w:tcPr>
          <w:p>
            <w:pPr>
              <w:pStyle w:val="28"/>
              <w:suppressLineNumbers w:val="0"/>
              <w:bidi w:val="0"/>
              <w:spacing w:before="0" w:after="0"/>
              <w:ind w:left="0" w:right="0" w:firstLine="0" w:firstLineChars="0"/>
              <w:outlineLvl w:val="9"/>
              <w:rPr>
                <w:rFonts w:hint="eastAsia"/>
                <w:lang w:val="en-US" w:eastAsia="zh-CN"/>
              </w:rPr>
            </w:pPr>
          </w:p>
        </w:tc>
        <w:tc>
          <w:tcPr>
            <w:tcW w:w="111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3.78</w:t>
            </w:r>
          </w:p>
        </w:tc>
        <w:tc>
          <w:tcPr>
            <w:tcW w:w="867" w:type="dxa"/>
            <w:vAlign w:val="center"/>
          </w:tcPr>
          <w:p>
            <w:pPr>
              <w:pStyle w:val="28"/>
              <w:suppressLineNumbers w:val="0"/>
              <w:bidi w:val="0"/>
              <w:spacing w:before="0" w:after="0"/>
              <w:ind w:left="0" w:right="0"/>
              <w:rPr>
                <w:rFonts w:hint="default"/>
                <w:lang w:val="en-US" w:eastAsia="zh-CN"/>
              </w:rPr>
            </w:pPr>
            <w:r>
              <w:rPr>
                <w:rFonts w:hint="eastAsia"/>
                <w:lang w:val="en-US" w:eastAsia="zh-CN"/>
              </w:rPr>
              <w:t>30</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Merge w:val="continue"/>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120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63.13</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3.78</w:t>
            </w:r>
          </w:p>
        </w:tc>
        <w:tc>
          <w:tcPr>
            <w:tcW w:w="68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30</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outlineLvl w:val="9"/>
              <w:rPr>
                <w:rFonts w:hint="default"/>
                <w:lang w:val="en-US" w:eastAsia="zh-CN"/>
              </w:rPr>
            </w:pPr>
          </w:p>
        </w:tc>
        <w:tc>
          <w:tcPr>
            <w:tcW w:w="696" w:type="dxa"/>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密闭排料器、运输机、斗提机</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G1-3、G2-3</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9.46</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50</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11.84</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0.048</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中间包装机</w:t>
            </w:r>
          </w:p>
        </w:tc>
        <w:tc>
          <w:tcPr>
            <w:tcW w:w="1167"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G1-4、G2-4</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47.5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0.044</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0.24</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半成品仓2</w:t>
            </w:r>
          </w:p>
        </w:tc>
        <w:tc>
          <w:tcPr>
            <w:tcW w:w="1167"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G1-5、G2-5</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47.5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0.044</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0.24</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破碎机、筛分机</w:t>
            </w:r>
          </w:p>
        </w:tc>
        <w:tc>
          <w:tcPr>
            <w:tcW w:w="1167"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G1-6、G2-6</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2367.42</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9.46</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50</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11.84</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0.048</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0.25</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Merge w:val="continue"/>
            <w:vAlign w:val="center"/>
          </w:tcPr>
          <w:p>
            <w:pPr>
              <w:pStyle w:val="28"/>
              <w:suppressLineNumbers w:val="0"/>
              <w:bidi w:val="0"/>
              <w:spacing w:before="0" w:after="0"/>
              <w:ind w:left="0" w:right="0"/>
              <w:outlineLvl w:val="9"/>
              <w:rPr>
                <w:rFonts w:hint="eastAsia"/>
                <w:lang w:val="en-US" w:eastAsia="zh-CN"/>
              </w:rPr>
            </w:pP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包装机</w:t>
            </w:r>
          </w:p>
        </w:tc>
        <w:tc>
          <w:tcPr>
            <w:tcW w:w="1167"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G1-7、G2-7</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粉尘</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2249.05</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9</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47.5</w:t>
            </w:r>
          </w:p>
        </w:tc>
        <w:tc>
          <w:tcPr>
            <w:tcW w:w="216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袋式除尘器</w:t>
            </w:r>
          </w:p>
        </w:tc>
        <w:tc>
          <w:tcPr>
            <w:tcW w:w="9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99.5</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4000</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11.23</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0.044</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0.24</w:t>
            </w:r>
          </w:p>
        </w:tc>
        <w:tc>
          <w:tcPr>
            <w:tcW w:w="1033" w:type="dxa"/>
            <w:vMerge w:val="continue"/>
            <w:vAlign w:val="center"/>
          </w:tcPr>
          <w:p>
            <w:pPr>
              <w:pStyle w:val="28"/>
              <w:suppressLineNumbers w:val="0"/>
              <w:bidi w:val="0"/>
              <w:spacing w:before="0" w:after="0"/>
              <w:ind w:left="0" w:right="0"/>
              <w:outlineLvl w:val="9"/>
              <w:rPr>
                <w:rFonts w:hint="default"/>
                <w:lang w:val="en-US" w:eastAsia="zh-CN"/>
              </w:rPr>
            </w:pPr>
          </w:p>
        </w:tc>
        <w:tc>
          <w:tcPr>
            <w:tcW w:w="933" w:type="dxa"/>
            <w:vMerge w:val="continue"/>
            <w:vAlign w:val="center"/>
          </w:tcPr>
          <w:p>
            <w:pPr>
              <w:pStyle w:val="28"/>
              <w:suppressLineNumbers w:val="0"/>
              <w:bidi w:val="0"/>
              <w:spacing w:before="0" w:after="0"/>
              <w:ind w:left="0" w:right="0"/>
              <w:outlineLvl w:val="9"/>
              <w:rPr>
                <w:rFonts w:hint="default"/>
                <w:lang w:val="en-US" w:eastAsia="zh-CN"/>
              </w:rPr>
            </w:pPr>
          </w:p>
        </w:tc>
        <w:tc>
          <w:tcPr>
            <w:tcW w:w="58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2"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车间一</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GU1-1、GU1-2</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0.48</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2.5</w:t>
            </w:r>
          </w:p>
        </w:tc>
        <w:tc>
          <w:tcPr>
            <w:tcW w:w="216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车间密闭，自然沉降，加强管理，从源头减少无组织粉尘产生量车间密闭，自然沉降，加强管理，从源头减少无组织粉尘产生量</w:t>
            </w:r>
          </w:p>
        </w:tc>
        <w:tc>
          <w:tcPr>
            <w:tcW w:w="984"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车间沉降率80%</w:t>
            </w: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0.10</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0.50</w:t>
            </w:r>
          </w:p>
        </w:tc>
        <w:tc>
          <w:tcPr>
            <w:tcW w:w="1966" w:type="dxa"/>
            <w:gridSpan w:val="2"/>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高=119.78</w:t>
            </w:r>
            <w:r>
              <w:rPr>
                <w:rFonts w:hint="default"/>
                <w:lang w:val="en-US" w:eastAsia="zh-CN"/>
              </w:rPr>
              <w:t>×</w:t>
            </w:r>
            <w:r>
              <w:rPr>
                <w:rFonts w:hint="eastAsia"/>
                <w:lang w:val="en-US" w:eastAsia="zh-CN"/>
              </w:rPr>
              <w:t>34.98</w:t>
            </w:r>
            <w:r>
              <w:rPr>
                <w:rFonts w:hint="default"/>
                <w:lang w:val="en-US" w:eastAsia="zh-CN"/>
              </w:rPr>
              <w:t>×</w:t>
            </w:r>
            <w:r>
              <w:rPr>
                <w:rFonts w:hint="eastAsia"/>
                <w:lang w:val="en-US" w:eastAsia="zh-CN"/>
              </w:rPr>
              <w:t>12</w:t>
            </w:r>
          </w:p>
        </w:tc>
        <w:tc>
          <w:tcPr>
            <w:tcW w:w="584"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25</w:t>
            </w:r>
          </w:p>
        </w:tc>
        <w:tc>
          <w:tcPr>
            <w:tcW w:w="696" w:type="dxa"/>
            <w:vMerge w:val="restar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719"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车间二</w:t>
            </w:r>
          </w:p>
        </w:tc>
        <w:tc>
          <w:tcPr>
            <w:tcW w:w="116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GU2-1、GU2-2</w:t>
            </w:r>
          </w:p>
        </w:tc>
        <w:tc>
          <w:tcPr>
            <w:tcW w:w="80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TSP</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0.48</w:t>
            </w:r>
          </w:p>
        </w:tc>
        <w:tc>
          <w:tcPr>
            <w:tcW w:w="86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2.5</w:t>
            </w:r>
          </w:p>
        </w:tc>
        <w:tc>
          <w:tcPr>
            <w:tcW w:w="2166" w:type="dxa"/>
            <w:vMerge w:val="continue"/>
            <w:vAlign w:val="center"/>
          </w:tcPr>
          <w:p>
            <w:pPr>
              <w:pStyle w:val="28"/>
              <w:suppressLineNumbers w:val="0"/>
              <w:bidi w:val="0"/>
              <w:spacing w:before="0" w:after="0"/>
              <w:ind w:left="0" w:right="0" w:firstLine="0" w:firstLineChars="0"/>
              <w:outlineLvl w:val="9"/>
              <w:rPr>
                <w:rFonts w:hint="default" w:ascii="Times New Roman" w:hAnsi="Times New Roman" w:eastAsia="宋体" w:cstheme="minorBidi"/>
                <w:b w:val="0"/>
                <w:kern w:val="2"/>
                <w:sz w:val="21"/>
                <w:szCs w:val="24"/>
                <w:lang w:val="en-US" w:eastAsia="zh-CN" w:bidi="ar-SA"/>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0.10</w:t>
            </w:r>
          </w:p>
        </w:tc>
        <w:tc>
          <w:tcPr>
            <w:tcW w:w="684"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0.50</w:t>
            </w:r>
          </w:p>
        </w:tc>
        <w:tc>
          <w:tcPr>
            <w:tcW w:w="1966" w:type="dxa"/>
            <w:gridSpan w:val="2"/>
            <w:vAlign w:val="center"/>
          </w:tcPr>
          <w:p>
            <w:pPr>
              <w:pStyle w:val="28"/>
              <w:suppressLineNumbers w:val="0"/>
              <w:bidi w:val="0"/>
              <w:spacing w:before="0" w:after="0"/>
              <w:ind w:left="0" w:right="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高=118.78</w:t>
            </w:r>
            <w:r>
              <w:rPr>
                <w:rFonts w:hint="default"/>
                <w:lang w:val="en-US" w:eastAsia="zh-CN"/>
              </w:rPr>
              <w:t>×</w:t>
            </w:r>
            <w:r>
              <w:rPr>
                <w:rFonts w:hint="eastAsia"/>
                <w:lang w:val="en-US" w:eastAsia="zh-CN"/>
              </w:rPr>
              <w:t>46.98</w:t>
            </w:r>
            <w:r>
              <w:rPr>
                <w:rFonts w:hint="default"/>
                <w:lang w:val="en-US" w:eastAsia="zh-CN"/>
              </w:rPr>
              <w:t>×</w:t>
            </w:r>
            <w:r>
              <w:rPr>
                <w:rFonts w:hint="eastAsia"/>
                <w:lang w:val="en-US" w:eastAsia="zh-CN"/>
              </w:rPr>
              <w:t>12</w:t>
            </w: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719" w:type="dxa"/>
            <w:vAlign w:val="center"/>
          </w:tcPr>
          <w:p>
            <w:pPr>
              <w:pStyle w:val="28"/>
              <w:suppressLineNumbers w:val="0"/>
              <w:bidi w:val="0"/>
              <w:spacing w:before="0" w:after="0"/>
              <w:ind w:left="0" w:right="0"/>
              <w:rPr>
                <w:rFonts w:hint="eastAsia"/>
                <w:lang w:val="en-US" w:eastAsia="zh-CN"/>
              </w:rPr>
            </w:pPr>
            <w:r>
              <w:rPr>
                <w:rFonts w:hint="eastAsia"/>
                <w:lang w:val="en-US" w:eastAsia="zh-CN"/>
              </w:rPr>
              <w:t>破碎、筛分车间</w:t>
            </w:r>
          </w:p>
        </w:tc>
        <w:tc>
          <w:tcPr>
            <w:tcW w:w="1167" w:type="dxa"/>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GU1-3、GU1-4、GU2-3、GU2-4</w:t>
            </w:r>
          </w:p>
        </w:tc>
        <w:tc>
          <w:tcPr>
            <w:tcW w:w="800" w:type="dxa"/>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TSP</w:t>
            </w:r>
          </w:p>
        </w:tc>
        <w:tc>
          <w:tcPr>
            <w:tcW w:w="136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产污系数法</w:t>
            </w:r>
          </w:p>
        </w:tc>
        <w:tc>
          <w:tcPr>
            <w:tcW w:w="10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17"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0.96</w:t>
            </w:r>
          </w:p>
        </w:tc>
        <w:tc>
          <w:tcPr>
            <w:tcW w:w="867"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5</w:t>
            </w:r>
          </w:p>
        </w:tc>
        <w:tc>
          <w:tcPr>
            <w:tcW w:w="2166" w:type="dxa"/>
            <w:vMerge w:val="continue"/>
            <w:vAlign w:val="center"/>
          </w:tcPr>
          <w:p>
            <w:pPr>
              <w:pStyle w:val="28"/>
              <w:suppressLineNumbers w:val="0"/>
              <w:bidi w:val="0"/>
              <w:spacing w:before="0" w:after="0"/>
              <w:ind w:left="0" w:right="0"/>
              <w:outlineLvl w:val="9"/>
              <w:rPr>
                <w:rFonts w:hint="default"/>
                <w:lang w:val="en-US" w:eastAsia="zh-CN"/>
              </w:rPr>
            </w:pPr>
          </w:p>
        </w:tc>
        <w:tc>
          <w:tcPr>
            <w:tcW w:w="984" w:type="dxa"/>
            <w:vMerge w:val="continue"/>
            <w:vAlign w:val="center"/>
          </w:tcPr>
          <w:p>
            <w:pPr>
              <w:pStyle w:val="28"/>
              <w:suppressLineNumbers w:val="0"/>
              <w:bidi w:val="0"/>
              <w:spacing w:before="0" w:after="0"/>
              <w:ind w:left="0" w:right="0"/>
              <w:outlineLvl w:val="9"/>
              <w:rPr>
                <w:rFonts w:hint="default"/>
                <w:lang w:val="en-US" w:eastAsia="zh-CN"/>
              </w:rPr>
            </w:pPr>
          </w:p>
        </w:tc>
        <w:tc>
          <w:tcPr>
            <w:tcW w:w="131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排污系数法</w:t>
            </w:r>
          </w:p>
        </w:tc>
        <w:tc>
          <w:tcPr>
            <w:tcW w:w="95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200" w:type="dxa"/>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850"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0.20</w:t>
            </w:r>
          </w:p>
        </w:tc>
        <w:tc>
          <w:tcPr>
            <w:tcW w:w="684" w:type="dxa"/>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1.00</w:t>
            </w:r>
          </w:p>
        </w:tc>
        <w:tc>
          <w:tcPr>
            <w:tcW w:w="1966" w:type="dxa"/>
            <w:gridSpan w:val="2"/>
            <w:vAlign w:val="center"/>
          </w:tcPr>
          <w:p>
            <w:pPr>
              <w:pStyle w:val="28"/>
              <w:suppressLineNumbers w:val="0"/>
              <w:bidi w:val="0"/>
              <w:spacing w:before="0" w:after="0"/>
              <w:ind w:left="0" w:right="0"/>
              <w:rPr>
                <w:rFonts w:hint="default"/>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584" w:type="dxa"/>
            <w:vMerge w:val="continue"/>
            <w:vAlign w:val="center"/>
          </w:tcPr>
          <w:p>
            <w:pPr>
              <w:pStyle w:val="28"/>
              <w:suppressLineNumbers w:val="0"/>
              <w:bidi w:val="0"/>
              <w:spacing w:before="0" w:after="0"/>
              <w:ind w:left="0" w:right="0"/>
              <w:outlineLvl w:val="9"/>
              <w:rPr>
                <w:rFonts w:hint="default"/>
                <w:lang w:val="en-US" w:eastAsia="zh-CN"/>
              </w:rPr>
            </w:pPr>
          </w:p>
        </w:tc>
        <w:tc>
          <w:tcPr>
            <w:tcW w:w="696" w:type="dxa"/>
            <w:vMerge w:val="continue"/>
            <w:vAlign w:val="center"/>
          </w:tcPr>
          <w:p>
            <w:pPr>
              <w:pStyle w:val="28"/>
              <w:suppressLineNumbers w:val="0"/>
              <w:bidi w:val="0"/>
              <w:spacing w:before="0" w:after="0"/>
              <w:ind w:left="0" w:right="0"/>
              <w:outlineLvl w:val="9"/>
              <w:rPr>
                <w:rFonts w:hint="default"/>
                <w:lang w:val="en-US" w:eastAsia="zh-CN"/>
              </w:rPr>
            </w:pPr>
          </w:p>
        </w:tc>
      </w:tr>
    </w:tbl>
    <w:p>
      <w:pPr>
        <w:ind w:left="0" w:leftChars="0" w:firstLine="0" w:firstLineChars="0"/>
        <w:rPr>
          <w:rFonts w:hint="eastAsia"/>
          <w:lang w:val="en-US" w:eastAsia="zh-CN"/>
        </w:rPr>
      </w:pPr>
    </w:p>
    <w:p>
      <w:pPr>
        <w:rPr>
          <w:rFonts w:hint="eastAsia"/>
          <w:lang w:val="en-US" w:eastAsia="zh-CN"/>
        </w:rPr>
      </w:pPr>
    </w:p>
    <w:p>
      <w:pPr>
        <w:widowControl/>
        <w:jc w:val="center"/>
        <w:rPr>
          <w:rFonts w:hint="eastAsia" w:eastAsia="宋体" w:cs="宋体"/>
          <w:b/>
          <w:bCs/>
          <w:color w:val="000000"/>
          <w:kern w:val="0"/>
          <w:szCs w:val="21"/>
          <w:lang w:bidi="ar"/>
        </w:rPr>
        <w:sectPr>
          <w:pgSz w:w="23757" w:h="16783"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both"/>
        <w:rPr>
          <w:rFonts w:hint="eastAsia" w:cs="宋体"/>
          <w:b/>
          <w:bCs/>
          <w:color w:val="000000"/>
          <w:kern w:val="0"/>
          <w:szCs w:val="21"/>
          <w:lang w:eastAsia="zh-CN" w:bidi="ar"/>
        </w:rPr>
      </w:pPr>
      <w:r>
        <w:rPr>
          <w:rFonts w:hint="eastAsia" w:cs="宋体"/>
          <w:b/>
          <w:bCs/>
          <w:color w:val="000000"/>
          <w:kern w:val="0"/>
          <w:szCs w:val="21"/>
          <w:lang w:eastAsia="zh-CN" w:bidi="ar"/>
        </w:rPr>
        <w:t>非正常工况排放分析</w:t>
      </w:r>
    </w:p>
    <w:p>
      <w:pPr>
        <w:bidi w:val="0"/>
        <w:rPr>
          <w:rFonts w:hint="eastAsia"/>
          <w:lang w:eastAsia="zh-CN"/>
        </w:rPr>
      </w:pPr>
      <w:r>
        <w:rPr>
          <w:rFonts w:hint="eastAsia"/>
          <w:lang w:eastAsia="zh-CN"/>
        </w:rPr>
        <w:t>本项目非正常工况主要考虑烟气净化系数发生事故，造成的非正常公开排放。因发生故障的因素较多，设定废气非正常排放条件为烟气净化系统出现故障导致净化电煅废气处理效率下降至一半，排放源强如下表所示。</w:t>
      </w:r>
    </w:p>
    <w:p>
      <w:pPr>
        <w:widowControl/>
        <w:jc w:val="center"/>
        <w:rPr>
          <w:rFonts w:hint="default" w:eastAsia="宋体" w:cs="宋体"/>
          <w:b/>
          <w:bCs/>
          <w:color w:val="000000"/>
          <w:kern w:val="0"/>
          <w:szCs w:val="21"/>
          <w:lang w:val="en-US" w:eastAsia="zh-CN" w:bidi="ar"/>
        </w:rPr>
      </w:pPr>
      <w:r>
        <w:rPr>
          <w:rFonts w:hint="eastAsia" w:cs="宋体"/>
          <w:b/>
          <w:bCs/>
          <w:color w:val="000000"/>
          <w:kern w:val="0"/>
          <w:szCs w:val="21"/>
          <w:lang w:eastAsia="zh-CN" w:bidi="ar"/>
        </w:rPr>
        <w:t>表</w:t>
      </w:r>
      <w:r>
        <w:rPr>
          <w:rFonts w:hint="eastAsia" w:cs="宋体"/>
          <w:b/>
          <w:bCs/>
          <w:color w:val="000000"/>
          <w:kern w:val="0"/>
          <w:szCs w:val="21"/>
          <w:lang w:val="en-US" w:eastAsia="zh-CN" w:bidi="ar"/>
        </w:rPr>
        <w:t>3.3.3-3 电煅炉烟气非正常排放源强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3"/>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污染源</w:t>
            </w:r>
          </w:p>
        </w:tc>
        <w:tc>
          <w:tcPr>
            <w:tcW w:w="3543"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污染物名称</w:t>
            </w:r>
          </w:p>
        </w:tc>
        <w:tc>
          <w:tcPr>
            <w:tcW w:w="3544" w:type="dxa"/>
            <w:vAlign w:val="center"/>
          </w:tcPr>
          <w:p>
            <w:pPr>
              <w:pStyle w:val="28"/>
              <w:suppressLineNumbers w:val="0"/>
              <w:bidi w:val="0"/>
              <w:spacing w:before="0" w:after="0"/>
              <w:ind w:left="0" w:right="0"/>
              <w:jc w:val="center"/>
              <w:rPr>
                <w:rFonts w:hint="default" w:eastAsia="宋体"/>
                <w:lang w:val="en-US" w:eastAsia="zh-CN"/>
              </w:rPr>
            </w:pPr>
            <w:r>
              <w:rPr>
                <w:rFonts w:hint="eastAsia"/>
                <w:lang w:eastAsia="zh-CN"/>
              </w:rPr>
              <w:t>排放浓度</w:t>
            </w:r>
            <w:r>
              <w:rPr>
                <w:rFonts w:hint="eastAsia"/>
                <w:lang w:val="en-US" w:eastAsia="zh-CN"/>
              </w:rPr>
              <w:t>mg/m</w:t>
            </w:r>
            <w:r>
              <w:rPr>
                <w:rFonts w:hint="eastAsia"/>
                <w:vertAlign w:val="superscript"/>
                <w:lang w:val="en-US" w:eastAsia="zh-CN"/>
              </w:rPr>
              <w:t>3</w:t>
            </w:r>
          </w:p>
        </w:tc>
        <w:tc>
          <w:tcPr>
            <w:tcW w:w="3544" w:type="dxa"/>
            <w:vAlign w:val="center"/>
          </w:tcPr>
          <w:p>
            <w:pPr>
              <w:pStyle w:val="28"/>
              <w:suppressLineNumbers w:val="0"/>
              <w:bidi w:val="0"/>
              <w:spacing w:before="0" w:after="0"/>
              <w:ind w:left="0" w:right="0"/>
              <w:jc w:val="center"/>
              <w:rPr>
                <w:rFonts w:hint="default" w:eastAsia="宋体"/>
                <w:lang w:val="en-US" w:eastAsia="zh-CN"/>
              </w:rPr>
            </w:pPr>
            <w:r>
              <w:rPr>
                <w:rFonts w:hint="eastAsia"/>
                <w:lang w:eastAsia="zh-CN"/>
              </w:rPr>
              <w:t>排放速率</w:t>
            </w:r>
            <w:r>
              <w:rPr>
                <w:rFonts w:hint="eastAsia"/>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543" w:type="dxa"/>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电煅炉（一期）</w:t>
            </w:r>
          </w:p>
        </w:tc>
        <w:tc>
          <w:tcPr>
            <w:tcW w:w="3543"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烟尘</w:t>
            </w:r>
          </w:p>
        </w:tc>
        <w:tc>
          <w:tcPr>
            <w:tcW w:w="3544"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260.84</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SO</w:t>
            </w:r>
            <w:r>
              <w:rPr>
                <w:rFonts w:hint="eastAsia"/>
                <w:vertAlign w:val="subscript"/>
                <w:lang w:val="en-US" w:eastAsia="zh-CN"/>
              </w:rPr>
              <w:t>2</w:t>
            </w:r>
          </w:p>
        </w:tc>
        <w:tc>
          <w:tcPr>
            <w:tcW w:w="3544"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377.37</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NOx</w:t>
            </w:r>
          </w:p>
        </w:tc>
        <w:tc>
          <w:tcPr>
            <w:tcW w:w="3544"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44.89</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电煅炉（二期）</w:t>
            </w: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eastAsia="zh-CN"/>
              </w:rPr>
              <w:t>烟尘</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260.84</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377.37</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NOx</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44.89</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全厂</w:t>
            </w: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eastAsia="zh-CN"/>
              </w:rPr>
              <w:t>烟尘</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260.84</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377.37</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33.96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3" w:type="dxa"/>
            <w:vMerge w:val="continue"/>
            <w:vAlign w:val="center"/>
          </w:tcPr>
          <w:p>
            <w:pPr>
              <w:pStyle w:val="28"/>
              <w:suppressLineNumbers w:val="0"/>
              <w:bidi w:val="0"/>
              <w:spacing w:before="0" w:after="0"/>
              <w:ind w:left="0" w:right="0"/>
              <w:jc w:val="center"/>
              <w:outlineLvl w:val="9"/>
              <w:rPr>
                <w:rFonts w:hint="eastAsia"/>
              </w:rPr>
            </w:pPr>
          </w:p>
        </w:tc>
        <w:tc>
          <w:tcPr>
            <w:tcW w:w="3543"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NOx</w:t>
            </w:r>
          </w:p>
        </w:tc>
        <w:tc>
          <w:tcPr>
            <w:tcW w:w="3544"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44.89</w:t>
            </w:r>
          </w:p>
        </w:tc>
        <w:tc>
          <w:tcPr>
            <w:tcW w:w="3544" w:type="dxa"/>
            <w:vAlign w:val="center"/>
          </w:tcPr>
          <w:p>
            <w:pPr>
              <w:pStyle w:val="28"/>
              <w:suppressLineNumbers w:val="0"/>
              <w:bidi w:val="0"/>
              <w:spacing w:before="0" w:after="0"/>
              <w:ind w:left="0" w:right="0" w:firstLine="0" w:firstLineChars="0"/>
              <w:jc w:val="center"/>
              <w:rPr>
                <w:rFonts w:hint="eastAsia"/>
                <w:lang w:val="en-US" w:eastAsia="zh-CN"/>
              </w:rPr>
            </w:pPr>
            <w:r>
              <w:rPr>
                <w:rFonts w:hint="eastAsia"/>
                <w:lang w:val="en-US" w:eastAsia="zh-CN"/>
              </w:rPr>
              <w:t>4.04</w:t>
            </w:r>
          </w:p>
        </w:tc>
      </w:tr>
    </w:tbl>
    <w:p>
      <w:pPr>
        <w:pStyle w:val="28"/>
        <w:bidi w:val="0"/>
        <w:outlineLvl w:val="9"/>
        <w:rPr>
          <w:rFonts w:hint="default"/>
          <w:lang w:val="en-US"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default"/>
          <w:lang w:val="en-US" w:eastAsia="zh-CN"/>
        </w:rPr>
      </w:pPr>
      <w:r>
        <w:rPr>
          <w:rFonts w:hint="eastAsia"/>
          <w:lang w:val="en-US" w:eastAsia="zh-CN"/>
        </w:rPr>
        <w:t xml:space="preserve">3.3.3.2 废水排放分析 </w:t>
      </w:r>
    </w:p>
    <w:p>
      <w:pPr>
        <w:pStyle w:val="27"/>
        <w:bidi w:val="0"/>
        <w:rPr>
          <w:rFonts w:hint="eastAsia"/>
          <w:lang w:val="en-US" w:eastAsia="zh-CN"/>
        </w:rPr>
      </w:pPr>
      <w:r>
        <w:rPr>
          <w:rFonts w:hint="eastAsia"/>
          <w:lang w:val="en-US" w:eastAsia="zh-CN"/>
        </w:rPr>
        <w:t>表3.3.3-4 项目水污染物产生和排放情况表</w:t>
      </w:r>
    </w:p>
    <w:tbl>
      <w:tblPr>
        <w:tblStyle w:val="21"/>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306"/>
        <w:gridCol w:w="656"/>
        <w:gridCol w:w="1188"/>
        <w:gridCol w:w="816"/>
        <w:gridCol w:w="726"/>
        <w:gridCol w:w="362"/>
        <w:gridCol w:w="1090"/>
        <w:gridCol w:w="726"/>
        <w:gridCol w:w="1059"/>
        <w:gridCol w:w="858"/>
        <w:gridCol w:w="1197"/>
        <w:gridCol w:w="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00"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污染源</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废水量（</w:t>
            </w:r>
            <w:r>
              <w:rPr>
                <w:rFonts w:hint="default"/>
                <w:lang w:val="en-US" w:eastAsia="zh-CN"/>
              </w:rPr>
              <w:t>m</w:t>
            </w:r>
            <w:r>
              <w:rPr>
                <w:vertAlign w:val="superscript"/>
                <w:lang w:val="en-US" w:eastAsia="zh-CN"/>
              </w:rPr>
              <w:t>3</w:t>
            </w:r>
            <w:r>
              <w:rPr>
                <w:lang w:val="en-US" w:eastAsia="zh-CN"/>
              </w:rPr>
              <w:t>/a）污染物</w:t>
            </w:r>
          </w:p>
        </w:tc>
        <w:tc>
          <w:tcPr>
            <w:tcW w:w="118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主要污染物</w:t>
            </w:r>
          </w:p>
        </w:tc>
        <w:tc>
          <w:tcPr>
            <w:tcW w:w="1542" w:type="dxa"/>
            <w:gridSpan w:val="2"/>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污染物产生情况</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处理方法</w:t>
            </w:r>
          </w:p>
        </w:tc>
        <w:tc>
          <w:tcPr>
            <w:tcW w:w="1816" w:type="dxa"/>
            <w:gridSpan w:val="2"/>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污染物排放情况</w:t>
            </w:r>
          </w:p>
        </w:tc>
        <w:tc>
          <w:tcPr>
            <w:tcW w:w="1059"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污染物排放标准（</w:t>
            </w:r>
            <w:r>
              <w:rPr>
                <w:rFonts w:hint="default"/>
                <w:lang w:val="en-US" w:eastAsia="zh-CN"/>
              </w:rPr>
              <w:t>mg/L</w:t>
            </w:r>
            <w:r>
              <w:rPr>
                <w:lang w:val="en-US" w:eastAsia="zh-CN"/>
              </w:rPr>
              <w:t>）</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排放方式及去向（</w:t>
            </w:r>
            <w:r>
              <w:rPr>
                <w:rFonts w:hint="default"/>
                <w:lang w:val="en-US" w:eastAsia="zh-CN"/>
              </w:rPr>
              <w:t>t/a</w:t>
            </w:r>
            <w:r>
              <w:rPr>
                <w:lang w:val="en-US" w:eastAsia="zh-CN"/>
              </w:rPr>
              <w:t>）</w:t>
            </w:r>
          </w:p>
        </w:tc>
        <w:tc>
          <w:tcPr>
            <w:tcW w:w="1197"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尾水排放标准（</w:t>
            </w:r>
            <w:r>
              <w:rPr>
                <w:rFonts w:hint="default"/>
                <w:lang w:val="en-US" w:eastAsia="zh-CN"/>
              </w:rPr>
              <w:t>mg/L</w:t>
            </w:r>
            <w:r>
              <w:rPr>
                <w:lang w:val="en-US" w:eastAsia="zh-CN"/>
              </w:rPr>
              <w:t>）</w:t>
            </w:r>
          </w:p>
        </w:tc>
        <w:tc>
          <w:tcPr>
            <w:tcW w:w="79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排入外环境量（</w:t>
            </w:r>
            <w:r>
              <w:rPr>
                <w:rFonts w:hint="default"/>
                <w:lang w:val="en-US" w:eastAsia="zh-CN"/>
              </w:rPr>
              <w:t>t/a</w:t>
            </w:r>
            <w:r>
              <w:rPr>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浓度（</w:t>
            </w:r>
            <w:r>
              <w:rPr>
                <w:rFonts w:hint="default"/>
                <w:lang w:val="en-US" w:eastAsia="zh-CN"/>
              </w:rPr>
              <w:t>mg/m</w:t>
            </w:r>
            <w:r>
              <w:rPr>
                <w:vertAlign w:val="superscript"/>
                <w:lang w:val="en-US" w:eastAsia="zh-CN"/>
              </w:rPr>
              <w:t>3</w:t>
            </w:r>
            <w:r>
              <w:rPr>
                <w:lang w:val="en-US" w:eastAsia="zh-CN"/>
              </w:rPr>
              <w:t>）</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产生量（</w:t>
            </w:r>
            <w:r>
              <w:rPr>
                <w:rFonts w:hint="default"/>
                <w:lang w:val="en-US" w:eastAsia="zh-CN"/>
              </w:rPr>
              <w:t>t/a</w:t>
            </w:r>
            <w:r>
              <w:rPr>
                <w:lang w:val="en-US" w:eastAsia="zh-CN"/>
              </w:rPr>
              <w:t>）</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浓度（</w:t>
            </w:r>
            <w:r>
              <w:rPr>
                <w:rFonts w:hint="default"/>
                <w:lang w:val="en-US" w:eastAsia="zh-CN"/>
              </w:rPr>
              <w:t>mg/m</w:t>
            </w:r>
            <w:r>
              <w:rPr>
                <w:vertAlign w:val="superscript"/>
                <w:lang w:val="en-US" w:eastAsia="zh-CN"/>
              </w:rPr>
              <w:t>3</w:t>
            </w:r>
            <w:r>
              <w:rPr>
                <w:lang w:val="en-US" w:eastAsia="zh-CN"/>
              </w:rPr>
              <w:t>）</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排放量（</w:t>
            </w:r>
            <w:r>
              <w:rPr>
                <w:rFonts w:hint="default"/>
                <w:lang w:val="en-US" w:eastAsia="zh-CN"/>
              </w:rPr>
              <w:t>t/a</w:t>
            </w:r>
            <w:r>
              <w:rPr>
                <w:lang w:val="en-US" w:eastAsia="zh-CN"/>
              </w:rPr>
              <w:t>）</w:t>
            </w:r>
          </w:p>
        </w:tc>
        <w:tc>
          <w:tcPr>
            <w:tcW w:w="1059"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79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8984" w:type="dxa"/>
            <w:gridSpan w:val="11"/>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一期</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生活污水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962.28</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0.3849 </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化粪池</w:t>
            </w: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0.3849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0.0577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0.2887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0.2887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0.0192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0.0337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0.0337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0.0077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0.0481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0.0481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0.0192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0.0077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0.0077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食堂废水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142.56</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0.0570 </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隔油池</w:t>
            </w:r>
            <w:r>
              <w:rPr>
                <w:rFonts w:hint="default"/>
                <w:lang w:val="en-US" w:eastAsia="zh-CN"/>
              </w:rPr>
              <w:t>+</w:t>
            </w:r>
            <w:r>
              <w:rPr>
                <w:lang w:val="en-US" w:eastAsia="zh-CN"/>
              </w:rPr>
              <w:t>化粪池</w:t>
            </w: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0.0570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0.0086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0.0428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0.0428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0.0029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0.0043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0.0043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0.0057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0.0057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0.0029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0.0011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0.0011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动植物油</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0.0143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0.0029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9776" w:type="dxa"/>
            <w:gridSpan w:val="12"/>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二期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生活污水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463.32</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0.1853 </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化粪池</w:t>
            </w: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0.1853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0.0278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0.1390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0.1390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0.0093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0.0162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0.0162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0.0037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0.0232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0.0232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0.0093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0.0037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0.0037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食堂废水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68.64</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0.0275 </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隔油池</w:t>
            </w:r>
            <w:r>
              <w:rPr>
                <w:rFonts w:hint="default"/>
                <w:lang w:val="en-US" w:eastAsia="zh-CN"/>
              </w:rPr>
              <w:t>+</w:t>
            </w:r>
            <w:r>
              <w:rPr>
                <w:lang w:val="en-US" w:eastAsia="zh-CN"/>
              </w:rPr>
              <w:t>化粪池</w:t>
            </w: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0.0275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0.0206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0.0206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0.0021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0.0021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0.0027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0.0005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0.0005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动植物油</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0.0069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0.0014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9776" w:type="dxa"/>
            <w:gridSpan w:val="12"/>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全厂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生活污水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1425.6</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0.5702 </w:t>
            </w:r>
          </w:p>
        </w:tc>
        <w:tc>
          <w:tcPr>
            <w:tcW w:w="362"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lang w:val="en-US" w:eastAsia="zh-CN"/>
              </w:rPr>
            </w:pPr>
            <w:r>
              <w:rPr>
                <w:rFonts w:hint="eastAsia"/>
                <w:lang w:val="en-US" w:eastAsia="zh-CN"/>
              </w:rPr>
              <w:t>化粪池</w:t>
            </w:r>
          </w:p>
          <w:p>
            <w:pPr>
              <w:pStyle w:val="28"/>
              <w:suppressLineNumbers w:val="0"/>
              <w:bidi w:val="0"/>
              <w:spacing w:before="0" w:after="0"/>
              <w:ind w:left="0" w:right="0"/>
              <w:rPr>
                <w:rFonts w:hint="eastAsia"/>
              </w:rPr>
            </w:pPr>
            <w:r>
              <w:rPr>
                <w:rFonts w:hint="eastAsia"/>
                <w:lang w:val="en-US" w:eastAsia="zh-CN"/>
              </w:rPr>
              <w:t>隔油池</w:t>
            </w:r>
            <w:r>
              <w:rPr>
                <w:rFonts w:hint="default"/>
                <w:lang w:val="en-US" w:eastAsia="zh-CN"/>
              </w:rPr>
              <w:t>+</w:t>
            </w:r>
            <w:r>
              <w:rPr>
                <w:lang w:val="en-US" w:eastAsia="zh-CN"/>
              </w:rPr>
              <w:t>化粪池</w:t>
            </w: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0.5702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0.0855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0.4277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0.4277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0.0285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0.0499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35</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0.0499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0.0114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0.0713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50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0.0713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0.0285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0.0114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0.0114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0.0014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5" w:hRule="atLeast"/>
        </w:trPr>
        <w:tc>
          <w:tcPr>
            <w:tcW w:w="30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食堂废水</w:t>
            </w:r>
          </w:p>
        </w:tc>
        <w:tc>
          <w:tcPr>
            <w:tcW w:w="656"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211.2</w:t>
            </w: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COD</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0.0845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0.0845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500</w:t>
            </w:r>
          </w:p>
        </w:tc>
        <w:tc>
          <w:tcPr>
            <w:tcW w:w="858" w:type="dxa"/>
            <w:vMerge w:val="restart"/>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青湖镇联村生活污水处理厂</w:t>
            </w: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60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0.0127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SS</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0.0634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default"/>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0.0634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氨氮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0.0063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default"/>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0.0063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35</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0.0017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总氮</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0.0084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default"/>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40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0.0084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70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总磷</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0.0017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default"/>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0.0017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8</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30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656"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88"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动植物油</w:t>
            </w:r>
          </w:p>
        </w:tc>
        <w:tc>
          <w:tcPr>
            <w:tcW w:w="81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0.0211 </w:t>
            </w:r>
          </w:p>
        </w:tc>
        <w:tc>
          <w:tcPr>
            <w:tcW w:w="362"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default"/>
              </w:rPr>
            </w:pPr>
          </w:p>
        </w:tc>
        <w:tc>
          <w:tcPr>
            <w:tcW w:w="1090"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20</w:t>
            </w:r>
          </w:p>
        </w:tc>
        <w:tc>
          <w:tcPr>
            <w:tcW w:w="726"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0.0042 </w:t>
            </w:r>
          </w:p>
        </w:tc>
        <w:tc>
          <w:tcPr>
            <w:tcW w:w="1059"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100</w:t>
            </w:r>
          </w:p>
        </w:tc>
        <w:tc>
          <w:tcPr>
            <w:tcW w:w="858" w:type="dxa"/>
            <w:vMerge w:val="continue"/>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outlineLvl w:val="9"/>
              <w:rPr>
                <w:rFonts w:hint="eastAsia"/>
              </w:rPr>
            </w:pPr>
          </w:p>
        </w:tc>
        <w:tc>
          <w:tcPr>
            <w:tcW w:w="1197"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eastAsia"/>
              </w:rPr>
            </w:pPr>
            <w:r>
              <w:rPr>
                <w:rFonts w:hint="eastAsia"/>
                <w:lang w:val="en-US" w:eastAsia="zh-CN"/>
              </w:rPr>
              <w:t>3</w:t>
            </w:r>
          </w:p>
        </w:tc>
        <w:tc>
          <w:tcPr>
            <w:tcW w:w="792" w:type="dxa"/>
            <w:tcBorders>
              <w:tl2br w:val="nil"/>
              <w:tr2bl w:val="nil"/>
            </w:tcBorders>
            <w:shd w:val="clear" w:color="auto" w:fill="auto"/>
            <w:tcMar>
              <w:top w:w="15" w:type="dxa"/>
              <w:left w:w="15" w:type="dxa"/>
              <w:right w:w="15" w:type="dxa"/>
            </w:tcMar>
            <w:vAlign w:val="center"/>
          </w:tcPr>
          <w:p>
            <w:pPr>
              <w:pStyle w:val="28"/>
              <w:suppressLineNumbers w:val="0"/>
              <w:bidi w:val="0"/>
              <w:spacing w:before="0" w:after="0"/>
              <w:ind w:left="0" w:right="0"/>
              <w:rPr>
                <w:rFonts w:hint="default"/>
              </w:rPr>
            </w:pPr>
            <w:r>
              <w:rPr>
                <w:rFonts w:hint="default"/>
                <w:lang w:val="en-US" w:eastAsia="zh-CN"/>
              </w:rPr>
              <w:t xml:space="preserve">0.0006 </w:t>
            </w:r>
          </w:p>
        </w:tc>
      </w:tr>
    </w:tbl>
    <w:p>
      <w:pPr>
        <w:pStyle w:val="6"/>
        <w:bidi w:val="0"/>
        <w:rPr>
          <w:rFonts w:hint="eastAsia"/>
          <w:lang w:val="en-US" w:eastAsia="zh-CN"/>
        </w:rPr>
      </w:pPr>
      <w:r>
        <w:rPr>
          <w:rFonts w:hint="eastAsia"/>
          <w:lang w:val="en-US" w:eastAsia="zh-CN"/>
        </w:rPr>
        <w:t xml:space="preserve">3.3.3.3 噪声产生、治理和排放情况 </w:t>
      </w:r>
    </w:p>
    <w:p>
      <w:pPr>
        <w:bidi w:val="0"/>
      </w:pPr>
      <w:r>
        <w:t>本项目噪声源主要来自生产设备及辅助生产设备运行噪声，主要噪声设备为各种</w:t>
      </w:r>
      <w:r>
        <w:rPr>
          <w:rFonts w:hint="eastAsia"/>
          <w:lang w:eastAsia="zh-CN"/>
        </w:rPr>
        <w:t>埋弧电煅炉、</w:t>
      </w:r>
      <w:r>
        <w:t>破碎机、</w:t>
      </w:r>
      <w:r>
        <w:rPr>
          <w:rFonts w:hint="eastAsia"/>
          <w:lang w:eastAsia="zh-CN"/>
        </w:rPr>
        <w:t>筛分机</w:t>
      </w:r>
      <w:r>
        <w:t>、引风机、泵等，其噪声值在80dB(A)~90dB(A)范围内。项目噪声产生、治理及排放情况见表</w:t>
      </w:r>
      <w:r>
        <w:rPr>
          <w:rFonts w:hint="eastAsia"/>
          <w:lang w:val="en-US" w:eastAsia="zh-CN"/>
        </w:rPr>
        <w:t>3.3.3-5</w:t>
      </w:r>
      <w:r>
        <w:t>。</w:t>
      </w:r>
    </w:p>
    <w:p>
      <w:pPr>
        <w:bidi w:val="0"/>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7"/>
        <w:bidi w:val="0"/>
      </w:pPr>
      <w:r>
        <w:t>表</w:t>
      </w:r>
      <w:r>
        <w:rPr>
          <w:rFonts w:hint="eastAsia"/>
          <w:lang w:val="en-US" w:eastAsia="zh-CN"/>
        </w:rPr>
        <w:t>3.3.3-5</w:t>
      </w:r>
      <w:r>
        <w:t xml:space="preserve"> 项目主要噪声源强及排放情况</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91"/>
        <w:gridCol w:w="1759"/>
        <w:gridCol w:w="1338"/>
        <w:gridCol w:w="648"/>
        <w:gridCol w:w="772"/>
        <w:gridCol w:w="772"/>
        <w:gridCol w:w="772"/>
        <w:gridCol w:w="4614"/>
        <w:gridCol w:w="491"/>
        <w:gridCol w:w="491"/>
        <w:gridCol w:w="613"/>
        <w:gridCol w:w="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05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产生位置</w:t>
            </w:r>
          </w:p>
        </w:tc>
        <w:tc>
          <w:tcPr>
            <w:tcW w:w="1339"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噪声源</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数量</w:t>
            </w:r>
          </w:p>
        </w:tc>
        <w:tc>
          <w:tcPr>
            <w:tcW w:w="0" w:type="auto"/>
            <w:gridSpan w:val="3"/>
            <w:tcBorders>
              <w:top w:val="single" w:color="auto" w:sz="4" w:space="0"/>
              <w:left w:val="single" w:color="000000" w:sz="4" w:space="0"/>
              <w:bottom w:val="single" w:color="auto" w:sz="4" w:space="0"/>
              <w:right w:val="single" w:color="000000" w:sz="4" w:space="0"/>
            </w:tcBorders>
            <w:noWrap w:val="0"/>
            <w:vAlign w:val="center"/>
          </w:tcPr>
          <w:p>
            <w:pPr>
              <w:pStyle w:val="28"/>
              <w:suppressLineNumbers w:val="0"/>
              <w:bidi w:val="0"/>
              <w:spacing w:before="0" w:after="0"/>
              <w:ind w:left="0" w:right="0"/>
            </w:pPr>
            <w:r>
              <w:t>噪声级（dB（A））</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拟采取措施</w:t>
            </w:r>
          </w:p>
        </w:tc>
        <w:tc>
          <w:tcPr>
            <w:tcW w:w="0" w:type="auto"/>
            <w:gridSpan w:val="4"/>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距厂界最近距离（m）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05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outlineLvl w:val="9"/>
            </w:pPr>
          </w:p>
        </w:tc>
        <w:tc>
          <w:tcPr>
            <w:tcW w:w="1339"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outlineLvl w:val="9"/>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台/套</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pPr>
            <w:r>
              <w:t>降噪前</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pPr>
            <w:r>
              <w:t>降噪后</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pPr>
            <w:r>
              <w:t>降噪量</w:t>
            </w: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outlineLvl w:val="9"/>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西</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南</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305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车间一</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埋弧电煅炉</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color w:val="5B9BD5" w:themeColor="accent1"/>
                <w:lang w:val="en-US" w:eastAsia="zh-CN"/>
                <w14:textFill>
                  <w14:solidFill>
                    <w14:schemeClr w14:val="accent1"/>
                  </w14:solidFill>
                </w14:textFill>
              </w:rPr>
            </w:pPr>
            <w:r>
              <w:rPr>
                <w:rFonts w:hint="eastAsia"/>
                <w:color w:val="auto"/>
                <w:lang w:val="en-US" w:eastAsia="zh-CN"/>
              </w:rPr>
              <w:t>12</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pPr>
            <w:r>
              <w:t>85</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pPr>
            <w:r>
              <w:t>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3050"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车间二</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埋弧电煅炉</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color w:val="5B9BD5" w:themeColor="accent1"/>
                <w:kern w:val="2"/>
                <w:sz w:val="21"/>
                <w:szCs w:val="24"/>
                <w:lang w:val="en-US" w:eastAsia="zh-CN" w:bidi="ar-SA"/>
                <w14:textFill>
                  <w14:solidFill>
                    <w14:schemeClr w14:val="accent1"/>
                  </w14:solidFill>
                </w14:textFill>
              </w:rPr>
            </w:pPr>
            <w:r>
              <w:rPr>
                <w:rFonts w:hint="eastAsia"/>
                <w:color w:val="auto"/>
                <w:lang w:val="en-US" w:eastAsia="zh-CN"/>
              </w:rPr>
              <w:t>12</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85</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2</w:t>
            </w:r>
            <w: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jc w:val="center"/>
        </w:trPr>
        <w:tc>
          <w:tcPr>
            <w:tcW w:w="0" w:type="auto"/>
            <w:vMerge w:val="restart"/>
            <w:tcBorders>
              <w:top w:val="single" w:color="000000" w:sz="4" w:space="0"/>
              <w:left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环保装置区</w:t>
            </w:r>
          </w:p>
        </w:tc>
        <w:tc>
          <w:tcPr>
            <w:tcW w:w="1760" w:type="dxa"/>
            <w:tcBorders>
              <w:top w:val="single" w:color="000000"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一期循环水区</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冷却塔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color w:val="auto"/>
                <w:kern w:val="2"/>
                <w:sz w:val="21"/>
                <w:szCs w:val="24"/>
                <w:lang w:val="en-US" w:eastAsia="zh-CN" w:bidi="ar-SA"/>
              </w:rPr>
            </w:pPr>
            <w:r>
              <w:rPr>
                <w:color w:val="auto"/>
              </w:rPr>
              <w:t>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受水盘铺设消声垫，安装减振装置，设隔声围封</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tcBorders>
              <w:top w:val="single" w:color="000000"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二期循环水区</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冷却塔</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color w:val="auto"/>
                <w:kern w:val="2"/>
                <w:sz w:val="21"/>
                <w:szCs w:val="24"/>
                <w:lang w:val="en-US" w:eastAsia="zh-CN" w:bidi="ar-SA"/>
              </w:rPr>
            </w:pPr>
            <w:r>
              <w:rPr>
                <w:color w:val="auto"/>
              </w:rPr>
              <w:t>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受水盘铺设消声垫，安装减振装置，设隔声围封</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55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vMerge w:val="restart"/>
            <w:tcBorders>
              <w:top w:val="single" w:color="000000" w:sz="4" w:space="0"/>
              <w:left w:val="single" w:color="auto"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一期工程烟气处理系统</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风机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color w:val="auto"/>
                <w:kern w:val="2"/>
                <w:sz w:val="21"/>
                <w:szCs w:val="24"/>
                <w:lang w:val="en-US" w:eastAsia="zh-CN" w:bidi="ar-SA"/>
              </w:rPr>
            </w:pPr>
            <w:r>
              <w:rPr>
                <w:color w:val="auto"/>
              </w:rPr>
              <w:t>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85</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通风进出口设置进出风消声器，安装减振装置，厂房隔声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vMerge w:val="continue"/>
            <w:tcBorders>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泵类</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color w:val="auto"/>
                <w:kern w:val="2"/>
                <w:sz w:val="21"/>
                <w:szCs w:val="24"/>
                <w:lang w:val="en-US" w:eastAsia="zh-CN" w:bidi="ar-SA"/>
              </w:rPr>
            </w:pPr>
            <w:r>
              <w:rPr>
                <w:color w:val="auto"/>
              </w:rPr>
              <w:t>13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vMerge w:val="restart"/>
            <w:tcBorders>
              <w:top w:val="single" w:color="000000" w:sz="4" w:space="0"/>
              <w:left w:val="single" w:color="auto"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二</w:t>
            </w:r>
            <w:r>
              <w:t>期工程烟气处理系统</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风机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color w:val="auto"/>
                <w:kern w:val="2"/>
                <w:sz w:val="21"/>
                <w:szCs w:val="24"/>
                <w:lang w:val="en-US" w:eastAsia="zh-CN" w:bidi="ar-SA"/>
              </w:rPr>
            </w:pPr>
            <w:r>
              <w:rPr>
                <w:color w:val="auto"/>
              </w:rPr>
              <w:t>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85</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通风进出口设置进出风消声器，安装减振装置，厂房隔声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vMerge w:val="continue"/>
            <w:tcBorders>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泵类</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color w:val="auto"/>
                <w:kern w:val="2"/>
                <w:sz w:val="21"/>
                <w:szCs w:val="24"/>
                <w:lang w:val="en-US" w:eastAsia="zh-CN" w:bidi="ar-SA"/>
              </w:rPr>
            </w:pPr>
            <w:r>
              <w:rPr>
                <w:color w:val="auto"/>
              </w:rPr>
              <w:t>13</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80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60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restart"/>
            <w:tcBorders>
              <w:top w:val="single" w:color="000000" w:sz="4" w:space="0"/>
              <w:left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破碎筛分</w:t>
            </w:r>
            <w:r>
              <w:t>车间</w:t>
            </w:r>
          </w:p>
        </w:tc>
        <w:tc>
          <w:tcPr>
            <w:tcW w:w="1760" w:type="dxa"/>
            <w:vMerge w:val="restart"/>
            <w:tcBorders>
              <w:top w:val="single" w:color="000000" w:sz="4" w:space="0"/>
              <w:left w:val="single" w:color="auto" w:sz="4" w:space="0"/>
              <w:right w:val="single" w:color="000000" w:sz="4" w:space="0"/>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一期</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破碎机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eastAsia" w:eastAsia="宋体"/>
                <w:color w:val="auto"/>
                <w:lang w:eastAsia="zh-CN"/>
              </w:rPr>
            </w:pPr>
            <w:r>
              <w:rPr>
                <w:rFonts w:hint="eastAsia"/>
                <w:color w:val="auto"/>
                <w:lang w:val="en-US" w:eastAsia="zh-CN"/>
              </w:rPr>
              <w:t>1</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pPr>
            <w:r>
              <w:t>90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pPr>
            <w:r>
              <w:t>70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vMerge w:val="continue"/>
            <w:tcBorders>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outlineLvl w:val="9"/>
            </w:pP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筛分机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eastAsia" w:eastAsia="宋体"/>
                <w:color w:val="auto"/>
                <w:lang w:eastAsia="zh-CN"/>
              </w:rPr>
            </w:pPr>
            <w:r>
              <w:rPr>
                <w:rFonts w:hint="eastAsia"/>
                <w:color w:val="auto"/>
                <w:lang w:val="en-US" w:eastAsia="zh-CN"/>
              </w:rPr>
              <w:t>2</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pPr>
            <w:r>
              <w:t>90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pPr>
            <w:r>
              <w:t>70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0" w:type="auto"/>
            <w:vMerge w:val="continue"/>
            <w:tcBorders>
              <w:left w:val="single" w:color="000000" w:sz="4" w:space="0"/>
              <w:right w:val="single" w:color="auto" w:sz="4" w:space="0"/>
            </w:tcBorders>
            <w:noWrap w:val="0"/>
            <w:vAlign w:val="center"/>
          </w:tcPr>
          <w:p>
            <w:pPr>
              <w:pStyle w:val="28"/>
              <w:suppressLineNumbers w:val="0"/>
              <w:bidi w:val="0"/>
              <w:spacing w:before="0" w:after="0"/>
              <w:ind w:left="0" w:right="0"/>
              <w:outlineLvl w:val="9"/>
            </w:pPr>
          </w:p>
        </w:tc>
        <w:tc>
          <w:tcPr>
            <w:tcW w:w="1760" w:type="dxa"/>
            <w:tcBorders>
              <w:left w:val="single" w:color="auto" w:sz="4" w:space="0"/>
              <w:right w:val="single" w:color="000000" w:sz="4" w:space="0"/>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二期</w:t>
            </w:r>
          </w:p>
        </w:tc>
        <w:tc>
          <w:tcPr>
            <w:tcW w:w="1339"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筛分机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color w:val="auto"/>
                <w:kern w:val="2"/>
                <w:sz w:val="21"/>
                <w:szCs w:val="24"/>
                <w:lang w:val="en-US" w:eastAsia="zh-CN" w:bidi="ar-SA"/>
              </w:rPr>
            </w:pPr>
            <w:r>
              <w:rPr>
                <w:rFonts w:hint="eastAsia"/>
                <w:color w:val="auto"/>
                <w:lang w:val="en-US" w:eastAsia="zh-CN"/>
              </w:rPr>
              <w:t>2</w:t>
            </w:r>
          </w:p>
        </w:tc>
        <w:tc>
          <w:tcPr>
            <w:tcW w:w="0" w:type="auto"/>
            <w:tcBorders>
              <w:top w:val="single" w:color="auto" w:sz="4" w:space="0"/>
              <w:left w:val="single" w:color="000000"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90</w:t>
            </w:r>
          </w:p>
        </w:tc>
        <w:tc>
          <w:tcPr>
            <w:tcW w:w="0" w:type="auto"/>
            <w:tcBorders>
              <w:top w:val="single" w:color="auto" w:sz="4" w:space="0"/>
              <w:left w:val="single" w:color="auto" w:sz="4" w:space="0"/>
              <w:bottom w:val="single" w:color="000000" w:sz="4" w:space="0"/>
              <w:right w:val="single" w:color="auto"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70</w:t>
            </w:r>
          </w:p>
        </w:tc>
        <w:tc>
          <w:tcPr>
            <w:tcW w:w="0" w:type="auto"/>
            <w:tcBorders>
              <w:top w:val="single" w:color="auto" w:sz="4" w:space="0"/>
              <w:left w:val="single" w:color="auto"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安装减振装置，厂房隔声</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61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97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148</w:t>
            </w:r>
          </w:p>
        </w:tc>
      </w:tr>
    </w:tbl>
    <w:p>
      <w:pPr>
        <w:rPr>
          <w:rFonts w:hint="default"/>
          <w:lang w:val="en-US" w:eastAsia="zh-CN"/>
        </w:rPr>
      </w:pPr>
    </w:p>
    <w:p>
      <w:pPr>
        <w:pStyle w:val="6"/>
        <w:bidi w:val="0"/>
        <w:outlineLvl w:val="9"/>
        <w:rPr>
          <w:rFonts w:hint="eastAsia"/>
          <w:lang w:val="en-US"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eastAsia"/>
          <w:lang w:val="en-US" w:eastAsia="zh-CN"/>
        </w:rPr>
      </w:pPr>
      <w:r>
        <w:rPr>
          <w:rFonts w:hint="eastAsia"/>
          <w:lang w:val="en-US" w:eastAsia="zh-CN"/>
        </w:rPr>
        <w:t xml:space="preserve">3.3.3.4 固体废物处置分析 </w:t>
      </w:r>
    </w:p>
    <w:p>
      <w:pPr>
        <w:bidi w:val="0"/>
        <w:rPr>
          <w:rFonts w:hint="eastAsia"/>
        </w:rPr>
      </w:pPr>
      <w:r>
        <w:rPr>
          <w:rFonts w:hint="eastAsia"/>
        </w:rPr>
        <w:t>本项目产生的固废主要为布袋除尘器</w:t>
      </w:r>
      <w:r>
        <w:rPr>
          <w:rFonts w:hint="eastAsia"/>
          <w:lang w:eastAsia="zh-CN"/>
        </w:rPr>
        <w:t>除尘下灰</w:t>
      </w:r>
      <w:r>
        <w:rPr>
          <w:rFonts w:hint="eastAsia"/>
        </w:rPr>
        <w:t>、</w:t>
      </w:r>
      <w:r>
        <w:rPr>
          <w:rFonts w:hint="eastAsia"/>
          <w:lang w:eastAsia="zh-CN"/>
        </w:rPr>
        <w:t>地面清扫降尘</w:t>
      </w:r>
      <w:r>
        <w:rPr>
          <w:rFonts w:hint="eastAsia"/>
        </w:rPr>
        <w:t>、</w:t>
      </w:r>
      <w:r>
        <w:rPr>
          <w:rFonts w:hint="eastAsia"/>
          <w:lang w:eastAsia="zh-CN"/>
        </w:rPr>
        <w:t>废包装袋、废树脂</w:t>
      </w:r>
      <w:r>
        <w:rPr>
          <w:rFonts w:hint="eastAsia"/>
        </w:rPr>
        <w:t>、</w:t>
      </w:r>
      <w:r>
        <w:rPr>
          <w:rFonts w:hint="eastAsia"/>
          <w:lang w:eastAsia="zh-CN"/>
        </w:rPr>
        <w:t>脱硫石膏</w:t>
      </w:r>
      <w:r>
        <w:rPr>
          <w:rFonts w:hint="eastAsia"/>
        </w:rPr>
        <w:t>、废试剂瓶、</w:t>
      </w:r>
      <w:r>
        <w:rPr>
          <w:rFonts w:hint="eastAsia"/>
          <w:lang w:eastAsia="zh-CN"/>
        </w:rPr>
        <w:t>化验室废液</w:t>
      </w:r>
      <w:r>
        <w:rPr>
          <w:rFonts w:hint="eastAsia"/>
        </w:rPr>
        <w:t>、隔油池废油、生活垃圾、餐厨垃圾。</w:t>
      </w:r>
    </w:p>
    <w:p>
      <w:pPr>
        <w:bidi w:val="0"/>
        <w:rPr>
          <w:rFonts w:hint="eastAsia"/>
        </w:rPr>
      </w:pPr>
      <w:r>
        <w:rPr>
          <w:rFonts w:hint="eastAsia"/>
        </w:rPr>
        <w:fldChar w:fldCharType="begin"/>
      </w:r>
      <w:r>
        <w:rPr>
          <w:rFonts w:hint="eastAsia"/>
        </w:rPr>
        <w:instrText xml:space="preserve"> = 1 \* GB3 \* MERGEFORMAT </w:instrText>
      </w:r>
      <w:r>
        <w:rPr>
          <w:rFonts w:hint="eastAsia"/>
        </w:rPr>
        <w:fldChar w:fldCharType="separate"/>
      </w:r>
      <w:r>
        <w:rPr>
          <w:rFonts w:hint="eastAsia"/>
        </w:rPr>
        <w:t>①</w:t>
      </w:r>
      <w:r>
        <w:rPr>
          <w:rFonts w:hint="eastAsia"/>
        </w:rPr>
        <w:fldChar w:fldCharType="end"/>
      </w:r>
      <w:r>
        <w:rPr>
          <w:rFonts w:hint="eastAsia"/>
        </w:rPr>
        <w:t>布袋除尘器</w:t>
      </w:r>
      <w:r>
        <w:rPr>
          <w:rFonts w:hint="eastAsia"/>
          <w:lang w:eastAsia="zh-CN"/>
        </w:rPr>
        <w:t>除尘下灰</w:t>
      </w:r>
      <w:r>
        <w:rPr>
          <w:rFonts w:hint="eastAsia"/>
        </w:rPr>
        <w:t>：</w:t>
      </w:r>
      <w:r>
        <w:rPr>
          <w:rFonts w:hint="eastAsia"/>
          <w:lang w:eastAsia="zh-CN"/>
        </w:rPr>
        <w:t>单期项目进料布袋除尘下灰</w:t>
      </w:r>
      <w:r>
        <w:rPr>
          <w:rFonts w:hint="eastAsia"/>
          <w:lang w:val="en-US" w:eastAsia="zh-CN"/>
        </w:rPr>
        <w:t>23.63t/a，回用于生产，</w:t>
      </w:r>
      <w:r>
        <w:rPr>
          <w:rFonts w:hint="eastAsia"/>
          <w:lang w:eastAsia="zh-CN"/>
        </w:rPr>
        <w:t>单期项目</w:t>
      </w:r>
      <w:r>
        <w:rPr>
          <w:rFonts w:hint="eastAsia"/>
          <w:lang w:val="en-US" w:eastAsia="zh-CN"/>
        </w:rPr>
        <w:t>电煅炉布袋除尘下灰184.16t/a，外售作建材，单期</w:t>
      </w:r>
      <w:r>
        <w:rPr>
          <w:rFonts w:hint="eastAsia"/>
          <w:lang w:eastAsia="zh-CN"/>
        </w:rPr>
        <w:t>项目</w:t>
      </w:r>
      <w:r>
        <w:rPr>
          <w:rFonts w:hint="eastAsia"/>
          <w:lang w:val="en-US" w:eastAsia="zh-CN"/>
        </w:rPr>
        <w:t>其他工序布袋除尘下灰120.65t/a，包装作产品外卖</w:t>
      </w:r>
      <w:r>
        <w:rPr>
          <w:rFonts w:hint="eastAsia"/>
        </w:rPr>
        <w:t>。</w:t>
      </w:r>
    </w:p>
    <w:p>
      <w:pPr>
        <w:bidi w:val="0"/>
        <w:rPr>
          <w:rFonts w:hint="default" w:eastAsia="宋体"/>
          <w:lang w:val="en-US" w:eastAsia="zh-CN"/>
        </w:rPr>
      </w:pPr>
      <w:r>
        <w:fldChar w:fldCharType="begin"/>
      </w:r>
      <w:r>
        <w:instrText xml:space="preserve"> = 2 \* GB3 \* MERGEFORMAT </w:instrText>
      </w:r>
      <w:r>
        <w:fldChar w:fldCharType="separate"/>
      </w:r>
      <w:r>
        <w:rPr>
          <w:rFonts w:hint="eastAsia"/>
        </w:rPr>
        <w:t>②</w:t>
      </w:r>
      <w:r>
        <w:fldChar w:fldCharType="end"/>
      </w:r>
      <w:r>
        <w:rPr>
          <w:rFonts w:hint="eastAsia"/>
          <w:lang w:eastAsia="zh-CN"/>
        </w:rPr>
        <w:t>地面清扫降尘：单期地面清扫降尘产量为</w:t>
      </w:r>
      <w:r>
        <w:rPr>
          <w:rFonts w:hint="eastAsia"/>
          <w:lang w:val="en-US" w:eastAsia="zh-CN"/>
        </w:rPr>
        <w:t>4t/a，包装作产品外卖</w:t>
      </w:r>
      <w:r>
        <w:rPr>
          <w:rFonts w:hint="eastAsia"/>
        </w:rPr>
        <w:t>。</w:t>
      </w:r>
    </w:p>
    <w:p>
      <w:pPr>
        <w:bidi w:val="0"/>
        <w:rPr>
          <w:rFonts w:hint="eastAsia"/>
        </w:rPr>
      </w:pPr>
      <w:r>
        <w:rPr>
          <w:rFonts w:hint="eastAsia"/>
        </w:rPr>
        <w:fldChar w:fldCharType="begin"/>
      </w:r>
      <w:r>
        <w:rPr>
          <w:rFonts w:hint="eastAsia"/>
        </w:rPr>
        <w:instrText xml:space="preserve"> = 3 \* GB3 \* MERGEFORMAT </w:instrText>
      </w:r>
      <w:r>
        <w:rPr>
          <w:rFonts w:hint="eastAsia"/>
        </w:rPr>
        <w:fldChar w:fldCharType="separate"/>
      </w:r>
      <w:r>
        <w:rPr>
          <w:rFonts w:hint="eastAsia"/>
        </w:rPr>
        <w:t>③</w:t>
      </w:r>
      <w:r>
        <w:rPr>
          <w:rFonts w:hint="eastAsia"/>
        </w:rPr>
        <w:fldChar w:fldCharType="end"/>
      </w:r>
      <w:r>
        <w:rPr>
          <w:rFonts w:hint="eastAsia"/>
        </w:rPr>
        <w:t>废原料包装物：</w:t>
      </w:r>
      <w:r>
        <w:rPr>
          <w:rFonts w:hint="eastAsia"/>
          <w:lang w:eastAsia="zh-CN"/>
        </w:rPr>
        <w:t>单期项目废</w:t>
      </w:r>
      <w:r>
        <w:rPr>
          <w:rFonts w:hint="eastAsia"/>
        </w:rPr>
        <w:t>原料包装物产量约为</w:t>
      </w:r>
      <w:r>
        <w:rPr>
          <w:rFonts w:hint="eastAsia"/>
          <w:lang w:val="en-US" w:eastAsia="zh-CN"/>
        </w:rPr>
        <w:t>5</w:t>
      </w:r>
      <w:r>
        <w:rPr>
          <w:rFonts w:hint="eastAsia"/>
        </w:rPr>
        <w:t>t/a</w:t>
      </w:r>
      <w:r>
        <w:rPr>
          <w:rFonts w:hint="eastAsia"/>
          <w:lang w:eastAsia="zh-CN"/>
        </w:rPr>
        <w:t>，外售综合利用</w:t>
      </w:r>
      <w:r>
        <w:rPr>
          <w:rFonts w:hint="eastAsia"/>
        </w:rPr>
        <w:t>。</w:t>
      </w:r>
    </w:p>
    <w:p>
      <w:pPr>
        <w:bidi w:val="0"/>
        <w:rPr>
          <w:rFonts w:hint="eastAsia"/>
        </w:rPr>
      </w:pPr>
      <w:r>
        <w:rPr>
          <w:rFonts w:hint="eastAsia"/>
        </w:rPr>
        <w:fldChar w:fldCharType="begin"/>
      </w:r>
      <w:r>
        <w:rPr>
          <w:rFonts w:hint="eastAsia"/>
        </w:rPr>
        <w:instrText xml:space="preserve"> = 4 \* GB3 \* MERGEFORMAT </w:instrText>
      </w:r>
      <w:r>
        <w:rPr>
          <w:rFonts w:hint="eastAsia"/>
        </w:rPr>
        <w:fldChar w:fldCharType="separate"/>
      </w:r>
      <w:r>
        <w:rPr>
          <w:rFonts w:hint="eastAsia"/>
        </w:rPr>
        <w:t>④</w:t>
      </w:r>
      <w:r>
        <w:rPr>
          <w:rFonts w:hint="eastAsia"/>
        </w:rPr>
        <w:fldChar w:fldCharType="end"/>
      </w:r>
      <w:r>
        <w:rPr>
          <w:rFonts w:hint="eastAsia"/>
          <w:lang w:eastAsia="zh-CN"/>
        </w:rPr>
        <w:t>废树脂：</w:t>
      </w:r>
      <w:r>
        <w:rPr>
          <w:rFonts w:hint="eastAsia"/>
        </w:rPr>
        <w:t>自来水净化产生的</w:t>
      </w:r>
      <w:r>
        <w:rPr>
          <w:rFonts w:hint="eastAsia"/>
          <w:lang w:eastAsia="zh-CN"/>
        </w:rPr>
        <w:t>离子交换树脂，定期更换，每年单期产量约</w:t>
      </w:r>
      <w:r>
        <w:rPr>
          <w:rFonts w:hint="eastAsia"/>
          <w:lang w:val="en-US" w:eastAsia="zh-CN"/>
        </w:rPr>
        <w:t>2.5t/a</w:t>
      </w:r>
      <w:r>
        <w:rPr>
          <w:rFonts w:hint="eastAsia"/>
        </w:rPr>
        <w:t>。</w:t>
      </w:r>
    </w:p>
    <w:p>
      <w:pPr>
        <w:bidi w:val="0"/>
        <w:rPr>
          <w:rFonts w:hint="default" w:eastAsia="宋体"/>
          <w:lang w:val="en-US" w:eastAsia="zh-CN"/>
        </w:rPr>
      </w:pPr>
      <w:r>
        <w:rPr>
          <w:rFonts w:hint="eastAsia"/>
        </w:rPr>
        <w:fldChar w:fldCharType="begin"/>
      </w:r>
      <w:r>
        <w:rPr>
          <w:rFonts w:hint="eastAsia"/>
        </w:rPr>
        <w:instrText xml:space="preserve"> = 5 \* GB3 \* MERGEFORMAT </w:instrText>
      </w:r>
      <w:r>
        <w:rPr>
          <w:rFonts w:hint="eastAsia"/>
        </w:rPr>
        <w:fldChar w:fldCharType="separate"/>
      </w:r>
      <w:r>
        <w:rPr>
          <w:rFonts w:hint="eastAsia"/>
        </w:rPr>
        <w:t>⑤</w:t>
      </w:r>
      <w:r>
        <w:rPr>
          <w:rFonts w:hint="eastAsia"/>
        </w:rPr>
        <w:fldChar w:fldCharType="end"/>
      </w:r>
      <w:r>
        <w:rPr>
          <w:rFonts w:hint="eastAsia"/>
          <w:lang w:eastAsia="zh-CN"/>
        </w:rPr>
        <w:t>脱硫石膏：单期脱硫石膏产生量为</w:t>
      </w:r>
      <w:r>
        <w:rPr>
          <w:rFonts w:hint="eastAsia"/>
          <w:lang w:val="en-US" w:eastAsia="zh-CN"/>
        </w:rPr>
        <w:t>642.58t/a，作为建材外售。</w:t>
      </w:r>
    </w:p>
    <w:p>
      <w:pPr>
        <w:bidi w:val="0"/>
      </w:pPr>
      <w:r>
        <w:rPr>
          <w:rFonts w:hint="eastAsia"/>
        </w:rPr>
        <w:fldChar w:fldCharType="begin"/>
      </w:r>
      <w:r>
        <w:rPr>
          <w:rFonts w:hint="eastAsia"/>
        </w:rPr>
        <w:instrText xml:space="preserve"> = 6 \* GB3 \* MERGEFORMAT </w:instrText>
      </w:r>
      <w:r>
        <w:rPr>
          <w:rFonts w:hint="eastAsia"/>
        </w:rPr>
        <w:fldChar w:fldCharType="separate"/>
      </w:r>
      <w:r>
        <w:rPr>
          <w:rFonts w:hint="eastAsia"/>
        </w:rPr>
        <w:t>⑥</w:t>
      </w:r>
      <w:r>
        <w:rPr>
          <w:rFonts w:hint="eastAsia"/>
        </w:rPr>
        <w:fldChar w:fldCharType="end"/>
      </w:r>
      <w:r>
        <w:rPr>
          <w:rFonts w:hint="eastAsia"/>
        </w:rPr>
        <w:t>化验室：拟建项目化验室会产生废试剂瓶和化验废液，</w:t>
      </w:r>
      <w:r>
        <w:rPr>
          <w:rFonts w:hint="eastAsia"/>
          <w:lang w:eastAsia="zh-CN"/>
        </w:rPr>
        <w:t>单期项目</w:t>
      </w:r>
      <w:r>
        <w:rPr>
          <w:rFonts w:hint="eastAsia"/>
        </w:rPr>
        <w:t>化验室废液产生量为0.</w:t>
      </w:r>
      <w:r>
        <w:rPr>
          <w:rFonts w:hint="eastAsia"/>
          <w:lang w:val="en-US" w:eastAsia="zh-CN"/>
        </w:rPr>
        <w:t>2</w:t>
      </w:r>
      <w:r>
        <w:rPr>
          <w:rFonts w:hint="eastAsia"/>
        </w:rPr>
        <w:t>t/a、试剂瓶产生量为0.</w:t>
      </w:r>
      <w:r>
        <w:rPr>
          <w:rFonts w:hint="eastAsia"/>
          <w:lang w:val="en-US" w:eastAsia="zh-CN"/>
        </w:rPr>
        <w:t>2</w:t>
      </w:r>
      <w:r>
        <w:rPr>
          <w:rFonts w:hint="eastAsia"/>
        </w:rPr>
        <w:t>t/a。产生量较少。</w:t>
      </w:r>
    </w:p>
    <w:p>
      <w:pPr>
        <w:bidi w:val="0"/>
        <w:rPr>
          <w:rFonts w:hint="default" w:eastAsia="宋体"/>
          <w:lang w:val="en-US" w:eastAsia="zh-CN"/>
        </w:rPr>
      </w:pPr>
      <w:r>
        <w:rPr>
          <w:rFonts w:hint="eastAsia"/>
        </w:rPr>
        <w:fldChar w:fldCharType="begin"/>
      </w:r>
      <w:r>
        <w:rPr>
          <w:rFonts w:hint="eastAsia"/>
        </w:rPr>
        <w:instrText xml:space="preserve"> = 7 \* GB3 \* MERGEFORMAT </w:instrText>
      </w:r>
      <w:r>
        <w:rPr>
          <w:rFonts w:hint="eastAsia"/>
        </w:rPr>
        <w:fldChar w:fldCharType="separate"/>
      </w:r>
      <w:r>
        <w:rPr>
          <w:rFonts w:hint="eastAsia"/>
        </w:rPr>
        <w:t>⑦</w:t>
      </w:r>
      <w:r>
        <w:rPr>
          <w:rFonts w:hint="eastAsia"/>
        </w:rPr>
        <w:fldChar w:fldCharType="end"/>
      </w:r>
      <w:r>
        <w:rPr>
          <w:rFonts w:hint="eastAsia"/>
          <w:lang w:eastAsia="zh-CN"/>
        </w:rPr>
        <w:t>隔油池废水：一期隔油池废油产生量为</w:t>
      </w:r>
      <w:r>
        <w:rPr>
          <w:rFonts w:hint="eastAsia"/>
          <w:lang w:val="en-US" w:eastAsia="zh-CN"/>
        </w:rPr>
        <w:t>0.011t/a，二期</w:t>
      </w:r>
      <w:r>
        <w:rPr>
          <w:rFonts w:hint="eastAsia"/>
          <w:lang w:eastAsia="zh-CN"/>
        </w:rPr>
        <w:t>隔油池废油产生量为</w:t>
      </w:r>
      <w:r>
        <w:rPr>
          <w:rFonts w:hint="eastAsia"/>
          <w:lang w:val="en-US" w:eastAsia="zh-CN"/>
        </w:rPr>
        <w:t>0.0055</w:t>
      </w:r>
      <w:r>
        <w:rPr>
          <w:rFonts w:hint="eastAsia"/>
        </w:rPr>
        <w:t>t/a。</w:t>
      </w:r>
    </w:p>
    <w:p>
      <w:pPr>
        <w:bidi w:val="0"/>
      </w:pPr>
      <w:r>
        <w:rPr>
          <w:rFonts w:hint="eastAsia"/>
        </w:rPr>
        <w:fldChar w:fldCharType="begin"/>
      </w:r>
      <w:r>
        <w:rPr>
          <w:rFonts w:hint="eastAsia"/>
        </w:rPr>
        <w:instrText xml:space="preserve"> = 8 \* GB3 \* MERGEFORMAT </w:instrText>
      </w:r>
      <w:r>
        <w:rPr>
          <w:rFonts w:hint="eastAsia"/>
        </w:rPr>
        <w:fldChar w:fldCharType="separate"/>
      </w:r>
      <w:r>
        <w:t>⑧</w:t>
      </w:r>
      <w:r>
        <w:rPr>
          <w:rFonts w:hint="eastAsia"/>
        </w:rPr>
        <w:fldChar w:fldCharType="end"/>
      </w:r>
      <w:r>
        <w:rPr>
          <w:rFonts w:hint="eastAsia"/>
        </w:rPr>
        <w:t>生活垃圾：</w:t>
      </w:r>
      <w:r>
        <w:t>项目正常劳动定员</w:t>
      </w:r>
      <w:r>
        <w:rPr>
          <w:rFonts w:hint="eastAsia"/>
          <w:lang w:val="en-US" w:eastAsia="zh-CN"/>
        </w:rPr>
        <w:t>40</w:t>
      </w:r>
      <w:r>
        <w:t>人，</w:t>
      </w:r>
      <w:r>
        <w:rPr>
          <w:rFonts w:hint="eastAsia"/>
          <w:lang w:eastAsia="zh-CN"/>
        </w:rPr>
        <w:t>一期</w:t>
      </w:r>
      <w:r>
        <w:rPr>
          <w:rFonts w:hint="eastAsia"/>
          <w:lang w:val="en-US" w:eastAsia="zh-CN"/>
        </w:rPr>
        <w:t>27人，二期13人，</w:t>
      </w:r>
      <w:r>
        <w:t>每年工作按3</w:t>
      </w:r>
      <w:r>
        <w:rPr>
          <w:rFonts w:hint="eastAsia"/>
          <w:lang w:val="en-US" w:eastAsia="zh-CN"/>
        </w:rPr>
        <w:t>3</w:t>
      </w:r>
      <w:r>
        <w:t>0天计，本项目运营期生活垃圾产生量以0.5kg/人·d计，则</w:t>
      </w:r>
      <w:r>
        <w:rPr>
          <w:rFonts w:hint="eastAsia"/>
          <w:lang w:eastAsia="zh-CN"/>
        </w:rPr>
        <w:t>一期生活垃圾产生量为</w:t>
      </w:r>
      <w:r>
        <w:rPr>
          <w:rFonts w:hint="eastAsia"/>
          <w:lang w:val="en-US" w:eastAsia="zh-CN"/>
        </w:rPr>
        <w:t>4.46t/a，二期</w:t>
      </w:r>
      <w:r>
        <w:t>产生的</w:t>
      </w:r>
      <w:r>
        <w:rPr>
          <w:rFonts w:hint="eastAsia"/>
        </w:rPr>
        <w:t>生活</w:t>
      </w:r>
      <w:r>
        <w:t>垃圾</w:t>
      </w:r>
      <w:r>
        <w:rPr>
          <w:rFonts w:hint="eastAsia"/>
        </w:rPr>
        <w:t>为</w:t>
      </w:r>
      <w:r>
        <w:rPr>
          <w:rFonts w:hint="eastAsia"/>
          <w:lang w:val="en-US" w:eastAsia="zh-CN"/>
        </w:rPr>
        <w:t>2.14t</w:t>
      </w:r>
      <w:r>
        <w:t>/a</w:t>
      </w:r>
      <w:r>
        <w:rPr>
          <w:rFonts w:hint="eastAsia"/>
        </w:rPr>
        <w:t>，</w:t>
      </w:r>
      <w:r>
        <w:t>由环卫部门收集后集中处理。</w:t>
      </w:r>
    </w:p>
    <w:p>
      <w:pPr>
        <w:bidi w:val="0"/>
      </w:pPr>
      <w:r>
        <w:rPr>
          <w:rFonts w:hint="eastAsia"/>
        </w:rPr>
        <w:fldChar w:fldCharType="begin"/>
      </w:r>
      <w:r>
        <w:rPr>
          <w:rFonts w:hint="eastAsia"/>
        </w:rPr>
        <w:instrText xml:space="preserve"> = 9 \* GB3 \* MERGEFORMAT </w:instrText>
      </w:r>
      <w:r>
        <w:rPr>
          <w:rFonts w:hint="eastAsia"/>
        </w:rPr>
        <w:fldChar w:fldCharType="separate"/>
      </w:r>
      <w:r>
        <w:t>⑨</w:t>
      </w:r>
      <w:r>
        <w:rPr>
          <w:rFonts w:hint="eastAsia"/>
        </w:rPr>
        <w:fldChar w:fldCharType="end"/>
      </w:r>
      <w:r>
        <w:rPr>
          <w:rFonts w:hint="eastAsia"/>
        </w:rPr>
        <w:t>餐厨垃圾：项目食堂提供就餐人员约</w:t>
      </w:r>
      <w:r>
        <w:rPr>
          <w:rFonts w:hint="eastAsia"/>
          <w:lang w:val="en-US" w:eastAsia="zh-CN"/>
        </w:rPr>
        <w:t>40</w:t>
      </w:r>
      <w:r>
        <w:rPr>
          <w:rFonts w:hint="eastAsia"/>
        </w:rPr>
        <w:t>人</w:t>
      </w:r>
      <w:r>
        <w:t>，</w:t>
      </w:r>
      <w:r>
        <w:rPr>
          <w:rFonts w:hint="eastAsia"/>
          <w:lang w:eastAsia="zh-CN"/>
        </w:rPr>
        <w:t>一期</w:t>
      </w:r>
      <w:r>
        <w:rPr>
          <w:rFonts w:hint="eastAsia"/>
          <w:lang w:val="en-US" w:eastAsia="zh-CN"/>
        </w:rPr>
        <w:t>27人，二期13人，</w:t>
      </w:r>
      <w:r>
        <w:rPr>
          <w:rFonts w:hint="eastAsia"/>
        </w:rPr>
        <w:t>餐厨垃圾产生量按0.5kg/人·d计，年工作3</w:t>
      </w:r>
      <w:r>
        <w:rPr>
          <w:rFonts w:hint="eastAsia"/>
          <w:lang w:val="en-US" w:eastAsia="zh-CN"/>
        </w:rPr>
        <w:t>3</w:t>
      </w:r>
      <w:r>
        <w:rPr>
          <w:rFonts w:hint="eastAsia"/>
        </w:rPr>
        <w:t>0d，</w:t>
      </w:r>
      <w:bookmarkStart w:id="45" w:name="OLE_LINK2"/>
      <w:r>
        <w:rPr>
          <w:rFonts w:hint="eastAsia"/>
          <w:lang w:eastAsia="zh-CN"/>
        </w:rPr>
        <w:t>一期餐厨垃圾产生量为</w:t>
      </w:r>
      <w:r>
        <w:rPr>
          <w:rFonts w:hint="eastAsia"/>
          <w:lang w:val="en-US" w:eastAsia="zh-CN"/>
        </w:rPr>
        <w:t>4.46t/a，二期</w:t>
      </w:r>
      <w:r>
        <w:t>产生的</w:t>
      </w:r>
      <w:r>
        <w:rPr>
          <w:rFonts w:hint="eastAsia"/>
          <w:lang w:eastAsia="zh-CN"/>
        </w:rPr>
        <w:t>餐厨垃圾量为</w:t>
      </w:r>
      <w:r>
        <w:rPr>
          <w:rFonts w:hint="eastAsia"/>
          <w:lang w:val="en-US" w:eastAsia="zh-CN"/>
        </w:rPr>
        <w:t>2.14t</w:t>
      </w:r>
      <w:r>
        <w:t>/a</w:t>
      </w:r>
      <w:r>
        <w:rPr>
          <w:rFonts w:hint="eastAsia"/>
          <w:lang w:eastAsia="zh-CN"/>
        </w:rPr>
        <w:t>，由专门的公司进行回收处理</w:t>
      </w:r>
      <w:r>
        <w:t>。</w:t>
      </w:r>
    </w:p>
    <w:bookmarkEnd w:id="45"/>
    <w:p>
      <w:pPr>
        <w:bidi w:val="0"/>
      </w:pPr>
      <w:r>
        <w:t>固体废物属性判定：</w:t>
      </w:r>
    </w:p>
    <w:p>
      <w:pPr>
        <w:bidi w:val="0"/>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t>结合工艺流程及生产运营过程中的固体废物产生情况，根据《固体废物鉴别导则（试行）》(国家环保总局公告2006年11号)、《国家危险废物名录》(国家环保部2016年6月21日公布，自2016年8月1日起施行)、《固体废物鉴别标准通则》（GB34330-2017）的规定，判定其是否属于固体废物，给出判定依据及结果，具体见表5</w:t>
      </w:r>
      <w:r>
        <w:rPr>
          <w:rFonts w:hint="eastAsia"/>
        </w:rPr>
        <w:t>-2</w:t>
      </w:r>
      <w:r>
        <w:rPr>
          <w:rFonts w:hint="eastAsia"/>
          <w:lang w:val="en-US" w:eastAsia="zh-CN"/>
        </w:rPr>
        <w:t>1</w:t>
      </w:r>
      <w:r>
        <w:t>。</w:t>
      </w:r>
    </w:p>
    <w:p>
      <w:pPr>
        <w:pStyle w:val="27"/>
        <w:bidi w:val="0"/>
        <w:rPr>
          <w:rFonts w:hint="eastAsia"/>
        </w:rPr>
      </w:pPr>
      <w:r>
        <w:t>表</w:t>
      </w:r>
      <w:r>
        <w:rPr>
          <w:rFonts w:hint="eastAsia"/>
          <w:lang w:val="en-US" w:eastAsia="zh-CN"/>
        </w:rPr>
        <w:t>3.3.3-6</w:t>
      </w:r>
      <w:r>
        <w:t>固体废物产生情况</w:t>
      </w:r>
      <w:r>
        <w:rPr>
          <w:rFonts w:hint="eastAsia"/>
        </w:rPr>
        <w:t>判定</w:t>
      </w:r>
      <w:r>
        <w:t>表</w:t>
      </w:r>
    </w:p>
    <w:tbl>
      <w:tblPr>
        <w:tblStyle w:val="21"/>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5"/>
        <w:gridCol w:w="2823"/>
        <w:gridCol w:w="3335"/>
        <w:gridCol w:w="952"/>
        <w:gridCol w:w="2343"/>
        <w:gridCol w:w="1306"/>
        <w:gridCol w:w="840"/>
        <w:gridCol w:w="84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vMerge w:val="restart"/>
            <w:tcBorders>
              <w:tl2br w:val="nil"/>
              <w:tr2bl w:val="nil"/>
            </w:tcBorders>
            <w:noWrap w:val="0"/>
            <w:vAlign w:val="center"/>
          </w:tcPr>
          <w:p>
            <w:pPr>
              <w:pStyle w:val="28"/>
              <w:suppressLineNumbers w:val="0"/>
              <w:bidi w:val="0"/>
              <w:spacing w:before="0" w:after="0"/>
              <w:ind w:left="0" w:right="0"/>
            </w:pPr>
            <w:r>
              <w:t>序号</w:t>
            </w:r>
          </w:p>
        </w:tc>
        <w:tc>
          <w:tcPr>
            <w:tcW w:w="1005" w:type="pct"/>
            <w:vMerge w:val="restart"/>
            <w:tcBorders>
              <w:tl2br w:val="nil"/>
              <w:tr2bl w:val="nil"/>
            </w:tcBorders>
            <w:noWrap w:val="0"/>
            <w:vAlign w:val="center"/>
          </w:tcPr>
          <w:p>
            <w:pPr>
              <w:pStyle w:val="28"/>
              <w:suppressLineNumbers w:val="0"/>
              <w:bidi w:val="0"/>
              <w:spacing w:before="0" w:after="0"/>
              <w:ind w:left="0" w:right="0"/>
            </w:pPr>
            <w:r>
              <w:t>废物名称</w:t>
            </w:r>
          </w:p>
        </w:tc>
        <w:tc>
          <w:tcPr>
            <w:tcW w:w="1187" w:type="pct"/>
            <w:vMerge w:val="restart"/>
            <w:tcBorders>
              <w:tl2br w:val="nil"/>
              <w:tr2bl w:val="nil"/>
            </w:tcBorders>
            <w:noWrap w:val="0"/>
            <w:vAlign w:val="center"/>
          </w:tcPr>
          <w:p>
            <w:pPr>
              <w:pStyle w:val="28"/>
              <w:suppressLineNumbers w:val="0"/>
              <w:bidi w:val="0"/>
              <w:spacing w:before="0" w:after="0"/>
              <w:ind w:left="0" w:right="0"/>
            </w:pPr>
            <w:r>
              <w:t>产生工序</w:t>
            </w:r>
          </w:p>
        </w:tc>
        <w:tc>
          <w:tcPr>
            <w:tcW w:w="339" w:type="pct"/>
            <w:vMerge w:val="restart"/>
            <w:tcBorders>
              <w:tl2br w:val="nil"/>
              <w:tr2bl w:val="nil"/>
            </w:tcBorders>
            <w:noWrap w:val="0"/>
            <w:vAlign w:val="center"/>
          </w:tcPr>
          <w:p>
            <w:pPr>
              <w:pStyle w:val="28"/>
              <w:suppressLineNumbers w:val="0"/>
              <w:bidi w:val="0"/>
              <w:spacing w:before="0" w:after="0"/>
              <w:ind w:left="0" w:right="0"/>
            </w:pPr>
            <w:r>
              <w:t>形态</w:t>
            </w:r>
          </w:p>
        </w:tc>
        <w:tc>
          <w:tcPr>
            <w:tcW w:w="834" w:type="pct"/>
            <w:vMerge w:val="restart"/>
            <w:tcBorders>
              <w:tl2br w:val="nil"/>
              <w:tr2bl w:val="nil"/>
            </w:tcBorders>
            <w:noWrap w:val="0"/>
            <w:vAlign w:val="center"/>
          </w:tcPr>
          <w:p>
            <w:pPr>
              <w:pStyle w:val="28"/>
              <w:suppressLineNumbers w:val="0"/>
              <w:bidi w:val="0"/>
              <w:spacing w:before="0" w:after="0"/>
              <w:ind w:left="0" w:right="0"/>
            </w:pPr>
            <w:r>
              <w:t>主要成分</w:t>
            </w:r>
          </w:p>
        </w:tc>
        <w:tc>
          <w:tcPr>
            <w:tcW w:w="465" w:type="pct"/>
            <w:vMerge w:val="restart"/>
            <w:tcBorders>
              <w:tl2br w:val="nil"/>
              <w:tr2bl w:val="nil"/>
            </w:tcBorders>
            <w:noWrap w:val="0"/>
            <w:vAlign w:val="center"/>
          </w:tcPr>
          <w:p>
            <w:pPr>
              <w:pStyle w:val="28"/>
              <w:suppressLineNumbers w:val="0"/>
              <w:bidi w:val="0"/>
              <w:spacing w:before="0" w:after="0"/>
              <w:ind w:left="0" w:right="0"/>
            </w:pPr>
            <w:r>
              <w:t>预测产生量（t/a）</w:t>
            </w:r>
          </w:p>
        </w:tc>
        <w:tc>
          <w:tcPr>
            <w:tcW w:w="1029" w:type="pct"/>
            <w:gridSpan w:val="3"/>
            <w:tcBorders>
              <w:tl2br w:val="nil"/>
              <w:tr2bl w:val="nil"/>
            </w:tcBorders>
            <w:noWrap w:val="0"/>
            <w:vAlign w:val="center"/>
          </w:tcPr>
          <w:p>
            <w:pPr>
              <w:pStyle w:val="28"/>
              <w:suppressLineNumbers w:val="0"/>
              <w:bidi w:val="0"/>
              <w:spacing w:before="0" w:after="0"/>
              <w:ind w:left="0" w:right="0"/>
            </w:pPr>
            <w:r>
              <w:t>种类判断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vMerge w:val="continue"/>
            <w:tcBorders>
              <w:tl2br w:val="nil"/>
              <w:tr2bl w:val="nil"/>
            </w:tcBorders>
            <w:noWrap w:val="0"/>
            <w:vAlign w:val="center"/>
          </w:tcPr>
          <w:p>
            <w:pPr>
              <w:pStyle w:val="28"/>
              <w:suppressLineNumbers w:val="0"/>
              <w:bidi w:val="0"/>
              <w:spacing w:before="0" w:after="0"/>
              <w:ind w:left="0" w:right="0"/>
              <w:outlineLvl w:val="9"/>
            </w:pPr>
          </w:p>
        </w:tc>
        <w:tc>
          <w:tcPr>
            <w:tcW w:w="1005" w:type="pct"/>
            <w:vMerge w:val="continue"/>
            <w:tcBorders>
              <w:tl2br w:val="nil"/>
              <w:tr2bl w:val="nil"/>
            </w:tcBorders>
            <w:noWrap w:val="0"/>
            <w:vAlign w:val="center"/>
          </w:tcPr>
          <w:p>
            <w:pPr>
              <w:pStyle w:val="28"/>
              <w:suppressLineNumbers w:val="0"/>
              <w:bidi w:val="0"/>
              <w:spacing w:before="0" w:after="0"/>
              <w:ind w:left="0" w:right="0"/>
              <w:outlineLvl w:val="9"/>
            </w:pPr>
          </w:p>
        </w:tc>
        <w:tc>
          <w:tcPr>
            <w:tcW w:w="1187" w:type="pct"/>
            <w:vMerge w:val="continue"/>
            <w:tcBorders>
              <w:tl2br w:val="nil"/>
              <w:tr2bl w:val="nil"/>
            </w:tcBorders>
            <w:noWrap w:val="0"/>
            <w:vAlign w:val="center"/>
          </w:tcPr>
          <w:p>
            <w:pPr>
              <w:pStyle w:val="28"/>
              <w:suppressLineNumbers w:val="0"/>
              <w:bidi w:val="0"/>
              <w:spacing w:before="0" w:after="0"/>
              <w:ind w:left="0" w:right="0"/>
              <w:outlineLvl w:val="9"/>
            </w:pPr>
          </w:p>
        </w:tc>
        <w:tc>
          <w:tcPr>
            <w:tcW w:w="339" w:type="pct"/>
            <w:vMerge w:val="continue"/>
            <w:tcBorders>
              <w:tl2br w:val="nil"/>
              <w:tr2bl w:val="nil"/>
            </w:tcBorders>
            <w:noWrap w:val="0"/>
            <w:vAlign w:val="center"/>
          </w:tcPr>
          <w:p>
            <w:pPr>
              <w:pStyle w:val="28"/>
              <w:suppressLineNumbers w:val="0"/>
              <w:bidi w:val="0"/>
              <w:spacing w:before="0" w:after="0"/>
              <w:ind w:left="0" w:right="0"/>
              <w:outlineLvl w:val="9"/>
            </w:pPr>
          </w:p>
        </w:tc>
        <w:tc>
          <w:tcPr>
            <w:tcW w:w="834" w:type="pct"/>
            <w:vMerge w:val="continue"/>
            <w:tcBorders>
              <w:tl2br w:val="nil"/>
              <w:tr2bl w:val="nil"/>
            </w:tcBorders>
            <w:noWrap w:val="0"/>
            <w:vAlign w:val="center"/>
          </w:tcPr>
          <w:p>
            <w:pPr>
              <w:pStyle w:val="28"/>
              <w:suppressLineNumbers w:val="0"/>
              <w:bidi w:val="0"/>
              <w:spacing w:before="0" w:after="0"/>
              <w:ind w:left="0" w:right="0"/>
              <w:outlineLvl w:val="9"/>
            </w:pPr>
          </w:p>
        </w:tc>
        <w:tc>
          <w:tcPr>
            <w:tcW w:w="465" w:type="pct"/>
            <w:vMerge w:val="continue"/>
            <w:tcBorders>
              <w:tl2br w:val="nil"/>
              <w:tr2bl w:val="nil"/>
            </w:tcBorders>
            <w:noWrap w:val="0"/>
            <w:vAlign w:val="center"/>
          </w:tcPr>
          <w:p>
            <w:pPr>
              <w:pStyle w:val="28"/>
              <w:suppressLineNumbers w:val="0"/>
              <w:bidi w:val="0"/>
              <w:spacing w:before="0" w:after="0"/>
              <w:ind w:left="0" w:right="0"/>
              <w:outlineLvl w:val="9"/>
            </w:pPr>
          </w:p>
        </w:tc>
        <w:tc>
          <w:tcPr>
            <w:tcW w:w="299" w:type="pct"/>
            <w:tcBorders>
              <w:tl2br w:val="nil"/>
              <w:tr2bl w:val="nil"/>
            </w:tcBorders>
            <w:noWrap w:val="0"/>
            <w:vAlign w:val="center"/>
          </w:tcPr>
          <w:p>
            <w:pPr>
              <w:pStyle w:val="28"/>
              <w:suppressLineNumbers w:val="0"/>
              <w:bidi w:val="0"/>
              <w:spacing w:before="0" w:after="0"/>
              <w:ind w:left="0" w:right="0"/>
            </w:pPr>
            <w:r>
              <w:t>固体</w:t>
            </w:r>
          </w:p>
          <w:p>
            <w:pPr>
              <w:pStyle w:val="28"/>
              <w:suppressLineNumbers w:val="0"/>
              <w:bidi w:val="0"/>
              <w:spacing w:before="0" w:after="0"/>
              <w:ind w:left="0" w:right="0"/>
            </w:pPr>
            <w:r>
              <w:t>废物</w:t>
            </w:r>
          </w:p>
        </w:tc>
        <w:tc>
          <w:tcPr>
            <w:tcW w:w="300" w:type="pct"/>
            <w:tcBorders>
              <w:tl2br w:val="nil"/>
              <w:tr2bl w:val="nil"/>
            </w:tcBorders>
            <w:noWrap w:val="0"/>
            <w:vAlign w:val="center"/>
          </w:tcPr>
          <w:p>
            <w:pPr>
              <w:pStyle w:val="28"/>
              <w:suppressLineNumbers w:val="0"/>
              <w:bidi w:val="0"/>
              <w:spacing w:before="0" w:after="0"/>
              <w:ind w:left="0" w:right="0"/>
            </w:pPr>
            <w:r>
              <w:t>副产品</w:t>
            </w:r>
          </w:p>
        </w:tc>
        <w:tc>
          <w:tcPr>
            <w:tcW w:w="428" w:type="pct"/>
            <w:tcBorders>
              <w:tl2br w:val="nil"/>
              <w:tr2bl w:val="nil"/>
            </w:tcBorders>
            <w:noWrap w:val="0"/>
            <w:vAlign w:val="center"/>
          </w:tcPr>
          <w:p>
            <w:pPr>
              <w:pStyle w:val="28"/>
              <w:suppressLineNumbers w:val="0"/>
              <w:bidi w:val="0"/>
              <w:spacing w:before="0" w:after="0"/>
              <w:ind w:left="0" w:right="0"/>
            </w:pPr>
            <w: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000" w:type="pct"/>
            <w:gridSpan w:val="9"/>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pPr>
            <w:r>
              <w:t>1</w:t>
            </w:r>
          </w:p>
        </w:tc>
        <w:tc>
          <w:tcPr>
            <w:tcW w:w="1005" w:type="pc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进料除尘下灰</w:t>
            </w:r>
          </w:p>
        </w:tc>
        <w:tc>
          <w:tcPr>
            <w:tcW w:w="1187" w:type="pc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进料</w:t>
            </w:r>
          </w:p>
        </w:tc>
        <w:tc>
          <w:tcPr>
            <w:tcW w:w="339"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rPr>
                <w:rFonts w:hint="eastAsia"/>
              </w:rPr>
            </w:pPr>
            <w:r>
              <w:rPr>
                <w:rFonts w:hint="eastAsia"/>
                <w:lang w:eastAsia="zh-CN"/>
              </w:rPr>
              <w:t>煅后焦</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23.63</w:t>
            </w:r>
          </w:p>
        </w:tc>
        <w:tc>
          <w:tcPr>
            <w:tcW w:w="299" w:type="pct"/>
            <w:tcBorders>
              <w:tl2br w:val="nil"/>
              <w:tr2bl w:val="nil"/>
            </w:tcBorders>
            <w:noWrap w:val="0"/>
            <w:vAlign w:val="center"/>
          </w:tcPr>
          <w:p>
            <w:pPr>
              <w:pStyle w:val="28"/>
              <w:suppressLineNumbers w:val="0"/>
              <w:bidi w:val="0"/>
              <w:spacing w:before="0" w:after="0"/>
              <w:ind w:left="0" w:right="0"/>
            </w:pPr>
            <w:r>
              <w:t>/</w:t>
            </w:r>
          </w:p>
        </w:tc>
        <w:tc>
          <w:tcPr>
            <w:tcW w:w="300" w:type="pct"/>
            <w:tcBorders>
              <w:tl2br w:val="nil"/>
              <w:tr2bl w:val="nil"/>
            </w:tcBorders>
            <w:noWrap w:val="0"/>
            <w:vAlign w:val="center"/>
          </w:tcPr>
          <w:p>
            <w:pPr>
              <w:pStyle w:val="28"/>
              <w:suppressLineNumbers w:val="0"/>
              <w:bidi w:val="0"/>
              <w:spacing w:before="0" w:after="0"/>
              <w:ind w:left="0" w:right="0"/>
            </w:pPr>
            <w:r>
              <w:t>/</w:t>
            </w:r>
          </w:p>
        </w:tc>
        <w:tc>
          <w:tcPr>
            <w:tcW w:w="428" w:type="pct"/>
            <w:vMerge w:val="restart"/>
            <w:tcBorders>
              <w:tl2br w:val="nil"/>
              <w:tr2bl w:val="nil"/>
            </w:tcBorders>
            <w:noWrap w:val="0"/>
            <w:vAlign w:val="center"/>
          </w:tcPr>
          <w:p>
            <w:pPr>
              <w:pStyle w:val="28"/>
              <w:suppressLineNumbers w:val="0"/>
              <w:bidi w:val="0"/>
              <w:spacing w:before="0" w:after="0"/>
              <w:ind w:left="0" w:right="0"/>
            </w:pPr>
            <w:r>
              <w:t>《固体废物鉴别导则</w:t>
            </w:r>
            <w:r>
              <w:cr/>
            </w:r>
            <w:r>
              <w:t>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2</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电煅炉布袋除尘器除尘下灰</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电煅</w:t>
            </w:r>
          </w:p>
        </w:tc>
        <w:tc>
          <w:tcPr>
            <w:tcW w:w="339"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煅后焦、新型增碳剂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184.16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其他工序布袋除尘下灰</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排料、中间包装、破碎、筛分、包装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120.64</w:t>
            </w:r>
          </w:p>
        </w:tc>
        <w:tc>
          <w:tcPr>
            <w:tcW w:w="299" w:type="pct"/>
            <w:tcBorders>
              <w:tl2br w:val="nil"/>
              <w:tr2bl w:val="nil"/>
            </w:tcBorders>
            <w:noWrap w:val="0"/>
            <w:vAlign w:val="center"/>
          </w:tcPr>
          <w:p>
            <w:pPr>
              <w:pStyle w:val="28"/>
              <w:suppressLineNumbers w:val="0"/>
              <w:bidi w:val="0"/>
              <w:spacing w:before="0" w:after="0"/>
              <w:ind w:left="0" w:right="0" w:firstLine="0" w:firstLineChars="0"/>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地面清扫降尘</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地面清扫</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5</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废原料包装袋</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原料包装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包装袋、煅后焦、新型增碳剂等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废树脂</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自来水净化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离子交换树脂、杂质等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7</w:t>
            </w:r>
          </w:p>
        </w:tc>
        <w:tc>
          <w:tcPr>
            <w:tcW w:w="1005"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脱硫石膏</w:t>
            </w:r>
          </w:p>
        </w:tc>
        <w:tc>
          <w:tcPr>
            <w:tcW w:w="118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废气净化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硫酸钙、氢氧化钙、水等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642.58</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8</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0.2</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outlineLvl w:val="9"/>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9</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0.2</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outlineLvl w:val="9"/>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动植物油</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rPr>
              <w:t>0.</w:t>
            </w:r>
            <w:r>
              <w:rPr>
                <w:rFonts w:hint="eastAsia"/>
                <w:lang w:val="en-US" w:eastAsia="zh-CN"/>
              </w:rPr>
              <w:t>011</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废纸等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4.46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12</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动植物残渣</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4.46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000" w:type="pct"/>
            <w:gridSpan w:val="9"/>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1</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23.63</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restart"/>
            <w:tcBorders>
              <w:tl2br w:val="nil"/>
              <w:tr2bl w:val="nil"/>
            </w:tcBorders>
            <w:noWrap w:val="0"/>
            <w:vAlign w:val="center"/>
          </w:tcPr>
          <w:p>
            <w:pPr>
              <w:pStyle w:val="28"/>
              <w:suppressLineNumbers w:val="0"/>
              <w:bidi w:val="0"/>
              <w:spacing w:before="0" w:after="0"/>
              <w:ind w:left="0" w:right="0"/>
            </w:pPr>
            <w:r>
              <w:t>《固体废物鉴别导则</w:t>
            </w:r>
            <w:r>
              <w:cr/>
            </w:r>
            <w:r>
              <w:t>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184.16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其他工序布袋除尘下灰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排料、中间包装、破碎、筛分、包装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120.64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地面清扫降尘</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地面清扫</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包装袋、煅后焦、新型增碳剂等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642.58</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10</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rPr>
              <w:t>0.</w:t>
            </w:r>
            <w:r>
              <w:rPr>
                <w:rFonts w:hint="eastAsia"/>
                <w:lang w:val="en-US" w:eastAsia="zh-CN"/>
              </w:rPr>
              <w:t>0055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2.14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12</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2.14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5000" w:type="pct"/>
            <w:gridSpan w:val="9"/>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1</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47.26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restart"/>
            <w:tcBorders>
              <w:tl2br w:val="nil"/>
              <w:tr2bl w:val="nil"/>
            </w:tcBorders>
            <w:noWrap w:val="0"/>
            <w:vAlign w:val="center"/>
          </w:tcPr>
          <w:p>
            <w:pPr>
              <w:pStyle w:val="28"/>
              <w:suppressLineNumbers w:val="0"/>
              <w:bidi w:val="0"/>
              <w:spacing w:before="0" w:after="0"/>
              <w:ind w:left="0" w:right="0"/>
            </w:pPr>
            <w:r>
              <w:t>《固体废物鉴别导则</w:t>
            </w:r>
            <w:r>
              <w:cr/>
            </w:r>
            <w:r>
              <w:t>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368.32</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其他工序布袋除尘下灰</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排料、中间包装、破碎、筛分、包装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241.28</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地面清扫降尘</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地面清扫</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新型增碳剂</w:t>
            </w:r>
            <w:r>
              <w:rPr>
                <w:rFonts w:hint="eastAsia"/>
              </w:rPr>
              <w:t>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包装袋、煅后焦、新型增碳剂等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465"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1285.17</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outlineLvl w:val="9"/>
              <w:rPr>
                <w:rFonts w:ascii="Times New Roman" w:hAnsi="Times New Roman" w:eastAsia="宋体" w:cstheme="minorBidi"/>
                <w:b w:val="0"/>
                <w:kern w:val="2"/>
                <w:sz w:val="21"/>
                <w:szCs w:val="24"/>
                <w:lang w:val="en-US" w:eastAsia="zh-CN" w:bidi="ar-SA"/>
              </w:rPr>
            </w:pP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10</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0.0165</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11</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12</w:t>
            </w:r>
          </w:p>
        </w:tc>
        <w:tc>
          <w:tcPr>
            <w:tcW w:w="1005"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18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33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83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465"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99"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300" w:type="pct"/>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w:t>
            </w:r>
          </w:p>
        </w:tc>
        <w:tc>
          <w:tcPr>
            <w:tcW w:w="428" w:type="pct"/>
            <w:vMerge w:val="continue"/>
            <w:tcBorders>
              <w:tl2br w:val="nil"/>
              <w:tr2bl w:val="nil"/>
            </w:tcBorders>
            <w:noWrap w:val="0"/>
            <w:vAlign w:val="center"/>
          </w:tcPr>
          <w:p>
            <w:pPr>
              <w:pStyle w:val="28"/>
              <w:suppressLineNumbers w:val="0"/>
              <w:bidi w:val="0"/>
              <w:spacing w:before="0" w:after="0"/>
              <w:ind w:left="0" w:right="0"/>
              <w:outlineLvl w:val="9"/>
            </w:pPr>
          </w:p>
        </w:tc>
      </w:tr>
    </w:tbl>
    <w:p>
      <w:pPr>
        <w:pStyle w:val="27"/>
        <w:bidi w:val="0"/>
        <w:rPr>
          <w:rFonts w:ascii="Times New Roman" w:hAnsi="Times New Roman"/>
        </w:rPr>
      </w:pPr>
      <w:r>
        <w:rPr>
          <w:rFonts w:ascii="Times New Roman" w:hAnsi="Times New Roman"/>
        </w:rPr>
        <w:t>表</w:t>
      </w:r>
      <w:r>
        <w:rPr>
          <w:rFonts w:hint="eastAsia" w:ascii="Times New Roman" w:hAnsi="Times New Roman"/>
          <w:lang w:val="en-US" w:eastAsia="zh-CN"/>
        </w:rPr>
        <w:t>3.3.3-7</w:t>
      </w:r>
      <w:r>
        <w:rPr>
          <w:rFonts w:ascii="Times New Roman" w:hAnsi="Times New Roman"/>
        </w:rPr>
        <w:t xml:space="preserve">  本项目固体废物产生量及处理处置情况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34"/>
        <w:gridCol w:w="1030"/>
        <w:gridCol w:w="598"/>
        <w:gridCol w:w="1705"/>
        <w:gridCol w:w="545"/>
        <w:gridCol w:w="677"/>
        <w:gridCol w:w="1205"/>
        <w:gridCol w:w="750"/>
        <w:gridCol w:w="814"/>
        <w:gridCol w:w="1196"/>
        <w:gridCol w:w="594"/>
        <w:gridCol w:w="91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27" w:type="dxa"/>
            <w:vAlign w:val="center"/>
          </w:tcPr>
          <w:p>
            <w:pPr>
              <w:pStyle w:val="28"/>
              <w:suppressLineNumbers w:val="0"/>
              <w:bidi w:val="0"/>
              <w:spacing w:before="0" w:after="0"/>
              <w:ind w:left="0" w:right="0"/>
              <w:rPr>
                <w:rFonts w:hint="eastAsia"/>
                <w:lang w:eastAsia="zh-CN"/>
              </w:rPr>
            </w:pPr>
            <w:r>
              <w:rPr>
                <w:rFonts w:hint="eastAsia"/>
                <w:lang w:eastAsia="zh-CN"/>
              </w:rPr>
              <w:t>序号</w:t>
            </w:r>
          </w:p>
        </w:tc>
        <w:tc>
          <w:tcPr>
            <w:tcW w:w="1534" w:type="dxa"/>
            <w:vAlign w:val="center"/>
          </w:tcPr>
          <w:p>
            <w:pPr>
              <w:pStyle w:val="28"/>
              <w:suppressLineNumbers w:val="0"/>
              <w:bidi w:val="0"/>
              <w:spacing w:before="0" w:after="0"/>
              <w:ind w:left="0" w:right="0"/>
              <w:rPr>
                <w:rFonts w:hint="eastAsia"/>
                <w:lang w:eastAsia="zh-CN"/>
              </w:rPr>
            </w:pPr>
            <w:r>
              <w:rPr>
                <w:rFonts w:hint="eastAsia"/>
                <w:lang w:eastAsia="zh-CN"/>
              </w:rPr>
              <w:t>固废名称</w:t>
            </w:r>
          </w:p>
        </w:tc>
        <w:tc>
          <w:tcPr>
            <w:tcW w:w="1030" w:type="dxa"/>
            <w:vAlign w:val="center"/>
          </w:tcPr>
          <w:p>
            <w:pPr>
              <w:pStyle w:val="28"/>
              <w:suppressLineNumbers w:val="0"/>
              <w:bidi w:val="0"/>
              <w:spacing w:before="0" w:after="0"/>
              <w:ind w:left="0" w:right="0"/>
              <w:rPr>
                <w:rFonts w:hint="eastAsia"/>
                <w:lang w:eastAsia="zh-CN"/>
              </w:rPr>
            </w:pPr>
            <w:r>
              <w:rPr>
                <w:rFonts w:hint="eastAsia"/>
                <w:lang w:eastAsia="zh-CN"/>
              </w:rPr>
              <w:t>产生工序及装置</w:t>
            </w:r>
          </w:p>
        </w:tc>
        <w:tc>
          <w:tcPr>
            <w:tcW w:w="598" w:type="dxa"/>
            <w:vAlign w:val="center"/>
          </w:tcPr>
          <w:p>
            <w:pPr>
              <w:pStyle w:val="28"/>
              <w:suppressLineNumbers w:val="0"/>
              <w:bidi w:val="0"/>
              <w:spacing w:before="0" w:after="0"/>
              <w:ind w:left="0" w:right="0"/>
              <w:rPr>
                <w:rFonts w:hint="eastAsia"/>
                <w:lang w:eastAsia="zh-CN"/>
              </w:rPr>
            </w:pPr>
            <w:r>
              <w:rPr>
                <w:rFonts w:hint="eastAsia"/>
                <w:lang w:eastAsia="zh-CN"/>
              </w:rPr>
              <w:t>形态</w:t>
            </w:r>
          </w:p>
        </w:tc>
        <w:tc>
          <w:tcPr>
            <w:tcW w:w="1705" w:type="dxa"/>
            <w:vAlign w:val="center"/>
          </w:tcPr>
          <w:p>
            <w:pPr>
              <w:pStyle w:val="28"/>
              <w:suppressLineNumbers w:val="0"/>
              <w:bidi w:val="0"/>
              <w:spacing w:before="0" w:after="0"/>
              <w:ind w:left="0" w:right="0"/>
              <w:rPr>
                <w:rFonts w:hint="eastAsia"/>
                <w:lang w:eastAsia="zh-CN"/>
              </w:rPr>
            </w:pPr>
            <w:r>
              <w:rPr>
                <w:rFonts w:hint="eastAsia"/>
                <w:lang w:eastAsia="zh-CN"/>
              </w:rPr>
              <w:t>主要成分</w:t>
            </w:r>
          </w:p>
        </w:tc>
        <w:tc>
          <w:tcPr>
            <w:tcW w:w="545" w:type="dxa"/>
            <w:vAlign w:val="center"/>
          </w:tcPr>
          <w:p>
            <w:pPr>
              <w:pStyle w:val="28"/>
              <w:suppressLineNumbers w:val="0"/>
              <w:bidi w:val="0"/>
              <w:spacing w:before="0" w:after="0"/>
              <w:ind w:left="0" w:right="0"/>
              <w:rPr>
                <w:rFonts w:hint="eastAsia"/>
                <w:lang w:eastAsia="zh-CN"/>
              </w:rPr>
            </w:pPr>
            <w:r>
              <w:rPr>
                <w:rFonts w:hint="eastAsia"/>
                <w:lang w:eastAsia="zh-CN"/>
              </w:rPr>
              <w:t>有害成分</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产废周期</w:t>
            </w:r>
          </w:p>
        </w:tc>
        <w:tc>
          <w:tcPr>
            <w:tcW w:w="1205" w:type="dxa"/>
            <w:vAlign w:val="center"/>
          </w:tcPr>
          <w:p>
            <w:pPr>
              <w:pStyle w:val="28"/>
              <w:suppressLineNumbers w:val="0"/>
              <w:bidi w:val="0"/>
              <w:spacing w:before="0" w:after="0"/>
              <w:ind w:left="0" w:right="0"/>
              <w:rPr>
                <w:rFonts w:hint="eastAsia"/>
                <w:lang w:eastAsia="zh-CN"/>
              </w:rPr>
            </w:pPr>
            <w:r>
              <w:rPr>
                <w:rFonts w:hint="eastAsia"/>
                <w:lang w:eastAsia="zh-CN"/>
              </w:rPr>
              <w:t>危险特性鉴别方法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属性</w:t>
            </w:r>
          </w:p>
        </w:tc>
        <w:tc>
          <w:tcPr>
            <w:tcW w:w="814" w:type="dxa"/>
            <w:vAlign w:val="center"/>
          </w:tcPr>
          <w:p>
            <w:pPr>
              <w:pStyle w:val="28"/>
              <w:suppressLineNumbers w:val="0"/>
              <w:bidi w:val="0"/>
              <w:spacing w:before="0" w:after="0"/>
              <w:ind w:left="0" w:right="0"/>
              <w:rPr>
                <w:rFonts w:hint="eastAsia"/>
                <w:lang w:val="en-US" w:eastAsia="zh-CN"/>
              </w:rPr>
            </w:pPr>
            <w:r>
              <w:rPr>
                <w:rFonts w:hint="eastAsia"/>
                <w:lang w:eastAsia="zh-CN"/>
              </w:rPr>
              <w:t>废物类别</w:t>
            </w:r>
          </w:p>
        </w:tc>
        <w:tc>
          <w:tcPr>
            <w:tcW w:w="1196" w:type="dxa"/>
            <w:vAlign w:val="center"/>
          </w:tcPr>
          <w:p>
            <w:pPr>
              <w:pStyle w:val="28"/>
              <w:suppressLineNumbers w:val="0"/>
              <w:bidi w:val="0"/>
              <w:spacing w:before="0" w:after="0"/>
              <w:ind w:left="0" w:right="0"/>
              <w:rPr>
                <w:rFonts w:hint="eastAsia"/>
                <w:lang w:val="en-US" w:eastAsia="zh-CN"/>
              </w:rPr>
            </w:pPr>
            <w:r>
              <w:rPr>
                <w:rFonts w:hint="eastAsia"/>
                <w:lang w:eastAsia="zh-CN"/>
              </w:rPr>
              <w:t>废物代码</w:t>
            </w:r>
          </w:p>
        </w:tc>
        <w:tc>
          <w:tcPr>
            <w:tcW w:w="594" w:type="dxa"/>
            <w:vAlign w:val="center"/>
          </w:tcPr>
          <w:p>
            <w:pPr>
              <w:pStyle w:val="28"/>
              <w:suppressLineNumbers w:val="0"/>
              <w:bidi w:val="0"/>
              <w:spacing w:before="0" w:after="0"/>
              <w:ind w:left="0" w:right="0"/>
              <w:rPr>
                <w:rFonts w:hint="eastAsia"/>
                <w:lang w:eastAsia="zh-CN"/>
              </w:rPr>
            </w:pPr>
            <w:r>
              <w:rPr>
                <w:rFonts w:hint="eastAsia"/>
                <w:lang w:eastAsia="zh-CN"/>
              </w:rPr>
              <w:t>危险特性</w:t>
            </w:r>
          </w:p>
        </w:tc>
        <w:tc>
          <w:tcPr>
            <w:tcW w:w="914" w:type="dxa"/>
            <w:vAlign w:val="center"/>
          </w:tcPr>
          <w:p>
            <w:pPr>
              <w:pStyle w:val="28"/>
              <w:suppressLineNumbers w:val="0"/>
              <w:bidi w:val="0"/>
              <w:spacing w:before="0" w:after="0"/>
              <w:ind w:left="0" w:right="0"/>
              <w:rPr>
                <w:rFonts w:hint="default"/>
                <w:lang w:val="en-US" w:eastAsia="zh-CN"/>
              </w:rPr>
            </w:pPr>
            <w:r>
              <w:rPr>
                <w:rFonts w:hint="eastAsia"/>
                <w:lang w:eastAsia="zh-CN"/>
              </w:rPr>
              <w:t>估算产生量</w:t>
            </w:r>
            <w:r>
              <w:rPr>
                <w:rFonts w:hint="eastAsia"/>
                <w:lang w:val="en-US" w:eastAsia="zh-CN"/>
              </w:rPr>
              <w:t>t/a</w:t>
            </w:r>
          </w:p>
        </w:tc>
        <w:tc>
          <w:tcPr>
            <w:tcW w:w="2085" w:type="dxa"/>
            <w:vAlign w:val="center"/>
          </w:tcPr>
          <w:p>
            <w:pPr>
              <w:pStyle w:val="28"/>
              <w:suppressLineNumbers w:val="0"/>
              <w:bidi w:val="0"/>
              <w:spacing w:before="0" w:after="0"/>
              <w:ind w:left="0" w:right="0"/>
              <w:rPr>
                <w:rFonts w:hint="eastAsia"/>
                <w:lang w:eastAsia="zh-CN"/>
              </w:rPr>
            </w:pPr>
            <w:r>
              <w:rPr>
                <w:rFonts w:hint="eastAsia"/>
                <w:lang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vAlign w:val="center"/>
          </w:tcPr>
          <w:p>
            <w:pPr>
              <w:pStyle w:val="28"/>
              <w:suppressLineNumbers w:val="0"/>
              <w:bidi w:val="0"/>
              <w:spacing w:before="0" w:after="0"/>
              <w:ind w:left="0" w:right="0"/>
              <w:rPr>
                <w:rFonts w:hint="eastAsia"/>
                <w:lang w:eastAsia="zh-CN"/>
              </w:rPr>
            </w:pPr>
            <w:r>
              <w:rPr>
                <w:rFonts w:hint="eastAsia"/>
                <w:lang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1534" w:type="dxa"/>
            <w:vAlign w:val="center"/>
          </w:tcPr>
          <w:p>
            <w:pPr>
              <w:pStyle w:val="28"/>
              <w:suppressLineNumbers w:val="0"/>
              <w:bidi w:val="0"/>
              <w:spacing w:before="0" w:after="0"/>
              <w:ind w:left="0" w:right="0"/>
            </w:pPr>
            <w:r>
              <w:rPr>
                <w:rFonts w:hint="eastAsia"/>
                <w:lang w:eastAsia="zh-CN"/>
              </w:rPr>
              <w:t>电煅炉布袋除尘器除尘下灰</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598" w:type="dxa"/>
            <w:vAlign w:val="center"/>
          </w:tcPr>
          <w:p>
            <w:pPr>
              <w:pStyle w:val="28"/>
              <w:suppressLineNumbers w:val="0"/>
              <w:bidi w:val="0"/>
              <w:spacing w:before="0" w:after="0"/>
              <w:ind w:left="0" w:right="0"/>
              <w:rPr>
                <w:rFonts w:hint="default"/>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default"/>
                <w:lang w:val="en-US" w:eastAsia="zh-CN"/>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一般废物</w:t>
            </w:r>
          </w:p>
        </w:tc>
        <w:tc>
          <w:tcPr>
            <w:tcW w:w="81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196" w:type="dxa"/>
            <w:vAlign w:val="center"/>
          </w:tcPr>
          <w:p>
            <w:pPr>
              <w:pStyle w:val="28"/>
              <w:suppressLineNumbers w:val="0"/>
              <w:bidi w:val="0"/>
              <w:spacing w:before="0" w:after="0"/>
              <w:ind w:left="0" w:right="0"/>
              <w:rPr>
                <w:rFonts w:hint="default"/>
                <w:lang w:val="en-US" w:eastAsia="zh-CN"/>
              </w:rPr>
            </w:pPr>
            <w:r>
              <w:rPr>
                <w:rFonts w:hint="eastAsia"/>
                <w:lang w:val="en-US" w:eastAsia="zh-CN"/>
              </w:rPr>
              <w:t>84</w:t>
            </w:r>
          </w:p>
        </w:tc>
        <w:tc>
          <w:tcPr>
            <w:tcW w:w="59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184.16</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废原料包装袋</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原料包装</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eastAsia"/>
                <w:lang w:eastAsia="zh-CN"/>
              </w:rPr>
            </w:pPr>
            <w:r>
              <w:rPr>
                <w:rFonts w:hint="eastAsia"/>
                <w:lang w:eastAsia="zh-CN"/>
              </w:rPr>
              <w:t>包装织物</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196" w:type="dxa"/>
            <w:vAlign w:val="center"/>
          </w:tcPr>
          <w:p>
            <w:pPr>
              <w:pStyle w:val="28"/>
              <w:suppressLineNumbers w:val="0"/>
              <w:bidi w:val="0"/>
              <w:spacing w:before="0" w:after="0"/>
              <w:ind w:left="0" w:right="0"/>
              <w:rPr>
                <w:rFonts w:hint="default"/>
                <w:lang w:val="en-US" w:eastAsia="zh-CN"/>
              </w:rPr>
            </w:pPr>
            <w:r>
              <w:rPr>
                <w:rFonts w:hint="eastAsia"/>
                <w:lang w:val="en-US" w:eastAsia="zh-CN"/>
              </w:rPr>
              <w:t>86</w:t>
            </w:r>
          </w:p>
        </w:tc>
        <w:tc>
          <w:tcPr>
            <w:tcW w:w="594" w:type="dxa"/>
            <w:vAlign w:val="center"/>
          </w:tcPr>
          <w:p>
            <w:pPr>
              <w:pStyle w:val="28"/>
              <w:suppressLineNumbers w:val="0"/>
              <w:bidi w:val="0"/>
              <w:spacing w:before="0" w:after="0"/>
              <w:ind w:left="0" w:right="0"/>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3</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废树脂</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自来水净化</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eastAsia="zh-CN"/>
              </w:rPr>
              <w:t>离子交换树脂、杂质等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危险废物</w:t>
            </w:r>
          </w:p>
        </w:tc>
        <w:tc>
          <w:tcPr>
            <w:tcW w:w="814" w:type="dxa"/>
            <w:vAlign w:val="center"/>
          </w:tcPr>
          <w:p>
            <w:pPr>
              <w:pStyle w:val="28"/>
              <w:suppressLineNumbers w:val="0"/>
              <w:bidi w:val="0"/>
              <w:spacing w:before="0" w:after="0"/>
              <w:ind w:left="0" w:right="0"/>
              <w:rPr>
                <w:rFonts w:hint="default"/>
                <w:lang w:val="en-US" w:eastAsia="zh-CN"/>
              </w:rPr>
            </w:pPr>
            <w:r>
              <w:rPr>
                <w:rFonts w:hint="eastAsia"/>
                <w:lang w:val="en-US" w:eastAsia="zh-CN"/>
              </w:rPr>
              <w:t>HW13</w:t>
            </w:r>
          </w:p>
        </w:tc>
        <w:tc>
          <w:tcPr>
            <w:tcW w:w="1196" w:type="dxa"/>
            <w:vAlign w:val="center"/>
          </w:tcPr>
          <w:p>
            <w:pPr>
              <w:pStyle w:val="28"/>
              <w:suppressLineNumbers w:val="0"/>
              <w:bidi w:val="0"/>
              <w:spacing w:before="0" w:after="0"/>
              <w:ind w:left="0" w:right="0"/>
            </w:pPr>
            <w:r>
              <w:rPr>
                <w:rFonts w:hint="default"/>
              </w:rPr>
              <w:t>900-015-13</w:t>
            </w:r>
          </w:p>
        </w:tc>
        <w:tc>
          <w:tcPr>
            <w:tcW w:w="594" w:type="dxa"/>
            <w:vAlign w:val="center"/>
          </w:tcPr>
          <w:p>
            <w:pPr>
              <w:pStyle w:val="28"/>
              <w:suppressLineNumbers w:val="0"/>
              <w:bidi w:val="0"/>
              <w:spacing w:before="0" w:after="0"/>
              <w:ind w:left="0" w:right="0"/>
              <w:rPr>
                <w:rFonts w:hint="eastAsia"/>
                <w:lang w:val="en-US" w:eastAsia="zh-CN"/>
              </w:rPr>
            </w:pPr>
            <w:r>
              <w:rPr>
                <w:rFonts w:hint="eastAsia"/>
                <w:lang w:val="en-US" w:eastAsia="zh-CN"/>
              </w:rPr>
              <w:t>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4</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脱硫石膏</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废气净化</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default"/>
                <w:lang w:val="en-US" w:eastAsia="zh-CN"/>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pPr>
            <w:r>
              <w:rPr>
                <w:rFonts w:hint="eastAsia"/>
                <w:lang w:val="en-US" w:eastAsia="zh-CN"/>
              </w:rPr>
              <w:t>/</w:t>
            </w:r>
          </w:p>
        </w:tc>
        <w:tc>
          <w:tcPr>
            <w:tcW w:w="1196" w:type="dxa"/>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51</w:t>
            </w:r>
          </w:p>
        </w:tc>
        <w:tc>
          <w:tcPr>
            <w:tcW w:w="594" w:type="dxa"/>
            <w:vAlign w:val="center"/>
          </w:tcPr>
          <w:p>
            <w:pPr>
              <w:pStyle w:val="28"/>
              <w:suppressLineNumbers w:val="0"/>
              <w:bidi w:val="0"/>
              <w:spacing w:before="0" w:after="0"/>
              <w:ind w:left="0" w:right="0"/>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642.58</w:t>
            </w:r>
          </w:p>
        </w:tc>
        <w:tc>
          <w:tcPr>
            <w:tcW w:w="2085" w:type="dxa"/>
            <w:vAlign w:val="center"/>
          </w:tcPr>
          <w:p>
            <w:pPr>
              <w:pStyle w:val="28"/>
              <w:suppressLineNumbers w:val="0"/>
              <w:bidi w:val="0"/>
              <w:spacing w:before="0" w:after="0"/>
              <w:ind w:left="0" w:right="0"/>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5</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化验室废液</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实验</w:t>
            </w:r>
          </w:p>
        </w:tc>
        <w:tc>
          <w:tcPr>
            <w:tcW w:w="598" w:type="dxa"/>
            <w:vAlign w:val="center"/>
          </w:tcPr>
          <w:p>
            <w:pPr>
              <w:pStyle w:val="28"/>
              <w:suppressLineNumbers w:val="0"/>
              <w:bidi w:val="0"/>
              <w:spacing w:before="0" w:after="0"/>
              <w:ind w:left="0" w:right="0"/>
              <w:rPr>
                <w:rFonts w:hint="eastAsia"/>
                <w:lang w:val="en-US" w:eastAsia="zh-CN"/>
              </w:rPr>
            </w:pPr>
            <w:r>
              <w:rPr>
                <w:rFonts w:hint="eastAsia"/>
              </w:rPr>
              <w:t>液</w:t>
            </w:r>
          </w:p>
        </w:tc>
        <w:tc>
          <w:tcPr>
            <w:tcW w:w="1705" w:type="dxa"/>
            <w:vAlign w:val="center"/>
          </w:tcPr>
          <w:p>
            <w:pPr>
              <w:pStyle w:val="28"/>
              <w:suppressLineNumbers w:val="0"/>
              <w:bidi w:val="0"/>
              <w:spacing w:before="0" w:after="0"/>
              <w:ind w:left="0" w:right="0"/>
              <w:rPr>
                <w:rFonts w:hint="eastAsia"/>
                <w:lang w:val="en-US" w:eastAsia="zh-CN"/>
              </w:rPr>
            </w:pPr>
            <w:r>
              <w:rPr>
                <w:rFonts w:hint="eastAsia"/>
              </w:rPr>
              <w:t>/</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814" w:type="dxa"/>
            <w:vAlign w:val="center"/>
          </w:tcPr>
          <w:p>
            <w:pPr>
              <w:pStyle w:val="28"/>
              <w:suppressLineNumbers w:val="0"/>
              <w:bidi w:val="0"/>
              <w:spacing w:before="0" w:after="0"/>
              <w:ind w:left="0" w:right="0"/>
              <w:rPr>
                <w:lang w:val="en-US" w:eastAsia="zh-CN"/>
              </w:rPr>
            </w:pPr>
            <w:r>
              <w:t>HW49</w:t>
            </w:r>
          </w:p>
        </w:tc>
        <w:tc>
          <w:tcPr>
            <w:tcW w:w="1196" w:type="dxa"/>
            <w:vAlign w:val="center"/>
          </w:tcPr>
          <w:p>
            <w:pPr>
              <w:pStyle w:val="28"/>
              <w:suppressLineNumbers w:val="0"/>
              <w:bidi w:val="0"/>
              <w:spacing w:before="0" w:after="0"/>
              <w:ind w:left="0" w:right="0"/>
              <w:rPr>
                <w:lang w:val="en-US" w:eastAsia="zh-CN"/>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outlineLvl w:val="9"/>
              <w:rPr>
                <w:rFonts w:hint="default"/>
                <w:lang w:val="en-US" w:eastAsia="zh-CN"/>
              </w:rPr>
            </w:pP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6</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废试剂瓶</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实验</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rPr>
              <w:t>/</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814" w:type="dxa"/>
            <w:vAlign w:val="center"/>
          </w:tcPr>
          <w:p>
            <w:pPr>
              <w:pStyle w:val="28"/>
              <w:suppressLineNumbers w:val="0"/>
              <w:bidi w:val="0"/>
              <w:spacing w:before="0" w:after="0"/>
              <w:ind w:left="0" w:right="0"/>
              <w:rPr>
                <w:lang w:val="en-US" w:eastAsia="zh-CN"/>
              </w:rPr>
            </w:pPr>
            <w:r>
              <w:t>HW49</w:t>
            </w:r>
          </w:p>
        </w:tc>
        <w:tc>
          <w:tcPr>
            <w:tcW w:w="1196" w:type="dxa"/>
            <w:vAlign w:val="center"/>
          </w:tcPr>
          <w:p>
            <w:pPr>
              <w:pStyle w:val="28"/>
              <w:suppressLineNumbers w:val="0"/>
              <w:bidi w:val="0"/>
              <w:spacing w:before="0" w:after="0"/>
              <w:ind w:left="0" w:right="0"/>
              <w:rPr>
                <w:lang w:val="en-US" w:eastAsia="zh-CN"/>
              </w:rPr>
            </w:pPr>
            <w:r>
              <w:t>900-041-49</w:t>
            </w:r>
          </w:p>
        </w:tc>
        <w:tc>
          <w:tcPr>
            <w:tcW w:w="594" w:type="dxa"/>
            <w:vAlign w:val="center"/>
          </w:tcPr>
          <w:p>
            <w:pPr>
              <w:pStyle w:val="28"/>
              <w:suppressLineNumbers w:val="0"/>
              <w:bidi w:val="0"/>
              <w:spacing w:before="0" w:after="0"/>
              <w:ind w:left="0" w:right="0"/>
              <w:rPr>
                <w:rFonts w:hint="default"/>
                <w:lang w:val="en-US" w:eastAsia="zh-CN"/>
              </w:rPr>
            </w:pPr>
            <w:r>
              <w:rPr>
                <w:rFonts w:hint="eastAsia"/>
                <w:lang w:val="en-US" w:eastAsia="zh-CN"/>
              </w:rPr>
              <w:t>T/In</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2085" w:type="dxa"/>
            <w:vAlign w:val="center"/>
          </w:tcPr>
          <w:p>
            <w:pPr>
              <w:pStyle w:val="28"/>
              <w:suppressLineNumbers w:val="0"/>
              <w:bidi w:val="0"/>
              <w:spacing w:before="0" w:after="0"/>
              <w:ind w:left="0" w:right="0"/>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7</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隔油池废油</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食堂废水隔油</w:t>
            </w:r>
          </w:p>
        </w:tc>
        <w:tc>
          <w:tcPr>
            <w:tcW w:w="598" w:type="dxa"/>
            <w:vAlign w:val="center"/>
          </w:tcPr>
          <w:p>
            <w:pPr>
              <w:pStyle w:val="28"/>
              <w:suppressLineNumbers w:val="0"/>
              <w:bidi w:val="0"/>
              <w:spacing w:before="0" w:after="0"/>
              <w:ind w:left="0" w:right="0"/>
              <w:rPr>
                <w:rFonts w:hint="eastAsia"/>
                <w:lang w:val="en-US" w:eastAsia="zh-CN"/>
              </w:rPr>
            </w:pPr>
            <w:r>
              <w:rPr>
                <w:rFonts w:hint="eastAsia"/>
              </w:rPr>
              <w:t>液</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rPr>
              <w:t>0.</w:t>
            </w:r>
            <w:r>
              <w:rPr>
                <w:rFonts w:hint="eastAsia"/>
                <w:lang w:val="en-US" w:eastAsia="zh-CN"/>
              </w:rPr>
              <w:t>011</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tcPr>
          <w:p>
            <w:pPr>
              <w:pStyle w:val="28"/>
              <w:suppressLineNumbers w:val="0"/>
              <w:bidi w:val="0"/>
              <w:spacing w:before="0" w:after="0"/>
              <w:ind w:left="0" w:right="0"/>
              <w:rPr>
                <w:rFonts w:hint="eastAsia" w:eastAsia="宋体"/>
                <w:lang w:val="en-US" w:eastAsia="zh-CN"/>
              </w:rPr>
            </w:pPr>
            <w:r>
              <w:rPr>
                <w:rFonts w:hint="eastAsia"/>
                <w:lang w:val="en-US" w:eastAsia="zh-CN"/>
              </w:rPr>
              <w:t>8</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生活垃圾</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办公</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val="en-US" w:eastAsia="zh-CN"/>
              </w:rPr>
              <w:t>废纸等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tcPr>
          <w:p>
            <w:pPr>
              <w:pStyle w:val="28"/>
              <w:suppressLineNumbers w:val="0"/>
              <w:bidi w:val="0"/>
              <w:spacing w:before="0" w:after="0"/>
              <w:ind w:left="0" w:right="0"/>
              <w:rPr>
                <w:rFonts w:hint="eastAsia" w:eastAsia="宋体"/>
                <w:lang w:val="en-US" w:eastAsia="zh-CN"/>
              </w:rPr>
            </w:pPr>
            <w:r>
              <w:rPr>
                <w:rFonts w:hint="eastAsia"/>
                <w:lang w:val="en-US" w:eastAsia="zh-CN"/>
              </w:rPr>
              <w:t>9</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餐厨垃圾</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食堂</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半固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val="en-US" w:eastAsia="zh-CN"/>
              </w:rPr>
              <w:t>动植物残渣</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tcPr>
          <w:p>
            <w:pPr>
              <w:pStyle w:val="28"/>
              <w:suppressLineNumbers w:val="0"/>
              <w:bidi w:val="0"/>
              <w:spacing w:before="0" w:after="0"/>
              <w:ind w:left="0" w:right="0"/>
              <w:rPr>
                <w:rFonts w:hint="eastAsia" w:eastAsia="宋体"/>
                <w:lang w:eastAsia="zh-CN"/>
              </w:rPr>
            </w:pPr>
            <w:r>
              <w:rPr>
                <w:rFonts w:hint="eastAsia"/>
                <w:lang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84</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184.16</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包装织物</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86</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HW13</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default"/>
              </w:rPr>
              <w:t>900-015-13</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51</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642.58</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900-041-49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T/In</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动植物油</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rPr>
              <w:t>0.</w:t>
            </w:r>
            <w:r>
              <w:rPr>
                <w:rFonts w:hint="eastAsia"/>
                <w:lang w:val="en-US" w:eastAsia="zh-CN"/>
              </w:rPr>
              <w:t>0055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废纸等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2.14</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动植物残渣</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2.14</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tcPr>
          <w:p>
            <w:pPr>
              <w:pStyle w:val="28"/>
              <w:suppressLineNumbers w:val="0"/>
              <w:bidi w:val="0"/>
              <w:spacing w:before="0" w:after="0"/>
              <w:ind w:left="0" w:right="0"/>
              <w:rPr>
                <w:rFonts w:hint="eastAsia" w:eastAsia="宋体"/>
                <w:lang w:eastAsia="zh-CN"/>
              </w:rPr>
            </w:pPr>
            <w:r>
              <w:rPr>
                <w:rFonts w:hint="eastAsia"/>
                <w:lang w:eastAsia="zh-CN"/>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84</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368.32</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包装织物</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86</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HW13</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default"/>
              </w:rPr>
              <w:t>900-015-13</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51</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1285.17</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900-041-49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T/In</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动植物油</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0.0165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废纸等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动植物残渣</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bl>
    <w:p>
      <w:pPr>
        <w:bidi w:val="0"/>
      </w:pPr>
    </w:p>
    <w:p>
      <w:pPr>
        <w:bidi w:val="0"/>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bidi w:val="0"/>
        <w:rPr>
          <w:rFonts w:hint="eastAsia"/>
          <w:lang w:val="en-US" w:eastAsia="zh-CN"/>
        </w:rPr>
      </w:pPr>
      <w:r>
        <w:rPr>
          <w:rFonts w:hint="eastAsia"/>
          <w:lang w:val="en-US" w:eastAsia="zh-CN"/>
        </w:rPr>
        <w:t>3.2.2.4 产污环节分析</w:t>
      </w:r>
    </w:p>
    <w:p>
      <w:pPr>
        <w:bidi w:val="0"/>
        <w:rPr>
          <w:rFonts w:hint="default"/>
          <w:lang w:val="en-US" w:eastAsia="zh-CN"/>
        </w:rPr>
      </w:pPr>
      <w:r>
        <w:rPr>
          <w:rFonts w:hint="eastAsia"/>
          <w:lang w:val="en-US" w:eastAsia="zh-CN"/>
        </w:rPr>
        <w:t>1、废气：</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有组织电煅废气：SO2、NOx、烟尘。</w:t>
      </w:r>
    </w:p>
    <w:p>
      <w:pPr>
        <w:bidi w:val="0"/>
        <w:rPr>
          <w:rFonts w:hint="eastAsia"/>
          <w:lang w:val="en-US" w:eastAsia="zh-CN"/>
        </w:rPr>
      </w:pPr>
      <w:r>
        <w:rPr>
          <w:rFonts w:hint="default"/>
          <w:lang w:val="en-US" w:eastAsia="zh-CN"/>
        </w:rPr>
        <w:fldChar w:fldCharType="begin"/>
      </w:r>
      <w:r>
        <w:rPr>
          <w:rFonts w:hint="default"/>
          <w:lang w:val="en-US" w:eastAsia="zh-CN"/>
        </w:rPr>
        <w:instrText xml:space="preserve"> = 2 \* GB2 \* MERGEFORMAT </w:instrText>
      </w:r>
      <w:r>
        <w:rPr>
          <w:rFonts w:hint="default"/>
          <w:lang w:val="en-US" w:eastAsia="zh-CN"/>
        </w:rPr>
        <w:fldChar w:fldCharType="separate"/>
      </w:r>
      <w:r>
        <w:t>⑵</w:t>
      </w:r>
      <w:r>
        <w:rPr>
          <w:rFonts w:hint="default"/>
          <w:lang w:val="en-US" w:eastAsia="zh-CN"/>
        </w:rPr>
        <w:fldChar w:fldCharType="end"/>
      </w:r>
      <w:r>
        <w:rPr>
          <w:rFonts w:hint="eastAsia"/>
          <w:lang w:val="en-US" w:eastAsia="zh-CN"/>
        </w:rPr>
        <w:t>有组织粉尘废气：粉尘。</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3 \* GB2 \* MERGEFORMAT </w:instrText>
      </w:r>
      <w:r>
        <w:rPr>
          <w:rFonts w:hint="eastAsia"/>
          <w:lang w:val="en-US" w:eastAsia="zh-CN"/>
        </w:rPr>
        <w:fldChar w:fldCharType="separate"/>
      </w:r>
      <w:r>
        <w:t>⑶</w:t>
      </w:r>
      <w:r>
        <w:rPr>
          <w:rFonts w:hint="eastAsia"/>
          <w:lang w:val="en-US" w:eastAsia="zh-CN"/>
        </w:rPr>
        <w:fldChar w:fldCharType="end"/>
      </w:r>
      <w:r>
        <w:rPr>
          <w:rFonts w:hint="eastAsia"/>
          <w:lang w:val="en-US" w:eastAsia="zh-CN"/>
        </w:rPr>
        <w:t>无组织废气：粉尘。</w:t>
      </w:r>
    </w:p>
    <w:p>
      <w:pPr>
        <w:bidi w:val="0"/>
        <w:rPr>
          <w:rFonts w:hint="default"/>
          <w:lang w:val="en-US" w:eastAsia="zh-CN"/>
        </w:rPr>
      </w:pPr>
      <w:r>
        <w:rPr>
          <w:rFonts w:hint="default"/>
          <w:lang w:val="en-US" w:eastAsia="zh-CN"/>
        </w:rPr>
        <w:fldChar w:fldCharType="begin"/>
      </w:r>
      <w:r>
        <w:rPr>
          <w:rFonts w:hint="default"/>
          <w:lang w:val="en-US" w:eastAsia="zh-CN"/>
        </w:rPr>
        <w:instrText xml:space="preserve"> = 4 \* GB2 \* MERGEFORMAT </w:instrText>
      </w:r>
      <w:r>
        <w:rPr>
          <w:rFonts w:hint="default"/>
          <w:lang w:val="en-US" w:eastAsia="zh-CN"/>
        </w:rPr>
        <w:fldChar w:fldCharType="separate"/>
      </w:r>
      <w:r>
        <w:t>⑷</w:t>
      </w:r>
      <w:r>
        <w:rPr>
          <w:rFonts w:hint="default"/>
          <w:lang w:val="en-US" w:eastAsia="zh-CN"/>
        </w:rPr>
        <w:fldChar w:fldCharType="end"/>
      </w:r>
      <w:r>
        <w:rPr>
          <w:rFonts w:hint="eastAsia"/>
          <w:lang w:val="en-US" w:eastAsia="zh-CN"/>
        </w:rPr>
        <w:t>食堂油烟废气：经油烟净化装置处理后排放。</w:t>
      </w:r>
    </w:p>
    <w:p>
      <w:pPr>
        <w:bidi w:val="0"/>
        <w:rPr>
          <w:rFonts w:hint="eastAsia"/>
          <w:lang w:val="en-US" w:eastAsia="zh-CN"/>
        </w:rPr>
      </w:pPr>
      <w:r>
        <w:rPr>
          <w:rFonts w:hint="eastAsia"/>
          <w:lang w:val="en-US" w:eastAsia="zh-CN"/>
        </w:rPr>
        <w:t>2、废水</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循环冷却排水：部分用作厂区绿化用水，部分作为清下水排放。</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2 \* GB2 \* MERGEFORMAT </w:instrText>
      </w:r>
      <w:r>
        <w:rPr>
          <w:rFonts w:hint="eastAsia"/>
          <w:lang w:val="en-US" w:eastAsia="zh-CN"/>
        </w:rPr>
        <w:fldChar w:fldCharType="separate"/>
      </w:r>
      <w:r>
        <w:t>⑵</w:t>
      </w:r>
      <w:r>
        <w:rPr>
          <w:rFonts w:hint="eastAsia"/>
          <w:lang w:val="en-US" w:eastAsia="zh-CN"/>
        </w:rPr>
        <w:fldChar w:fldCharType="end"/>
      </w:r>
      <w:r>
        <w:rPr>
          <w:rFonts w:hint="eastAsia"/>
          <w:lang w:val="en-US" w:eastAsia="zh-CN"/>
        </w:rPr>
        <w:t>软水制备系统排水，属于清净下水，主要含少量盐、SS。部分作为脱硫系统补充用水，部分用作厂区绿化用水，部分作为清下水排放。</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3 \* GB2 \* MERGEFORMAT </w:instrText>
      </w:r>
      <w:r>
        <w:rPr>
          <w:rFonts w:hint="eastAsia"/>
          <w:lang w:val="en-US" w:eastAsia="zh-CN"/>
        </w:rPr>
        <w:fldChar w:fldCharType="separate"/>
      </w:r>
      <w:r>
        <w:t>⑶</w:t>
      </w:r>
      <w:r>
        <w:rPr>
          <w:rFonts w:hint="eastAsia"/>
          <w:lang w:val="en-US" w:eastAsia="zh-CN"/>
        </w:rPr>
        <w:fldChar w:fldCharType="end"/>
      </w:r>
      <w:r>
        <w:rPr>
          <w:rFonts w:hint="eastAsia"/>
          <w:lang w:val="en-US" w:eastAsia="zh-CN"/>
        </w:rPr>
        <w:t>脱硫废水：无。</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4 \* GB2 \* MERGEFORMAT </w:instrText>
      </w:r>
      <w:r>
        <w:rPr>
          <w:rFonts w:hint="eastAsia"/>
          <w:lang w:val="en-US" w:eastAsia="zh-CN"/>
        </w:rPr>
        <w:fldChar w:fldCharType="separate"/>
      </w:r>
      <w:r>
        <w:t>⑷</w:t>
      </w:r>
      <w:r>
        <w:rPr>
          <w:rFonts w:hint="eastAsia"/>
          <w:lang w:val="en-US" w:eastAsia="zh-CN"/>
        </w:rPr>
        <w:fldChar w:fldCharType="end"/>
      </w:r>
      <w:r>
        <w:rPr>
          <w:rFonts w:hint="eastAsia"/>
          <w:lang w:val="en-US" w:eastAsia="zh-CN"/>
        </w:rPr>
        <w:t>生活污水：生活污水经化粪池预处理后进青湖镇联村生活污水处理厂处理。</w:t>
      </w:r>
    </w:p>
    <w:p>
      <w:pPr>
        <w:bidi w:val="0"/>
        <w:rPr>
          <w:rFonts w:hint="eastAsia"/>
          <w:lang w:val="en-US" w:eastAsia="zh-CN"/>
        </w:rPr>
      </w:pPr>
      <w:r>
        <w:rPr>
          <w:rFonts w:hint="eastAsia"/>
        </w:rPr>
        <w:t>食堂废水</w:t>
      </w:r>
      <w:r>
        <w:rPr>
          <w:rFonts w:hint="eastAsia"/>
          <w:lang w:eastAsia="zh-CN"/>
        </w:rPr>
        <w:t>：食堂废水经隔油池处理后与生活污水一起进化粪池处理，</w:t>
      </w:r>
      <w:r>
        <w:rPr>
          <w:rFonts w:hint="eastAsia"/>
          <w:lang w:val="en-US" w:eastAsia="zh-CN"/>
        </w:rPr>
        <w:t>处理后进青湖镇联村生活污水处理厂处理。</w:t>
      </w:r>
    </w:p>
    <w:p>
      <w:pPr>
        <w:bidi w:val="0"/>
        <w:rPr>
          <w:rFonts w:hint="eastAsia"/>
          <w:lang w:val="en-US" w:eastAsia="zh-CN"/>
        </w:rPr>
      </w:pPr>
      <w:r>
        <w:rPr>
          <w:rFonts w:hint="eastAsia"/>
          <w:lang w:val="en-US" w:eastAsia="zh-CN"/>
        </w:rPr>
        <w:t>3、固废</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生活垃圾：主要成分为纸张等，在厂区内集中收集，委托当地环卫部分处理。</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2 \* GB2 \* MERGEFORMAT </w:instrText>
      </w:r>
      <w:r>
        <w:rPr>
          <w:rFonts w:hint="eastAsia"/>
          <w:lang w:val="en-US" w:eastAsia="zh-CN"/>
        </w:rPr>
        <w:fldChar w:fldCharType="separate"/>
      </w:r>
      <w:r>
        <w:t>⑵</w:t>
      </w:r>
      <w:r>
        <w:rPr>
          <w:rFonts w:hint="eastAsia"/>
          <w:lang w:val="en-US" w:eastAsia="zh-CN"/>
        </w:rPr>
        <w:fldChar w:fldCharType="end"/>
      </w:r>
      <w:r>
        <w:rPr>
          <w:rFonts w:hint="eastAsia"/>
        </w:rPr>
        <w:t>餐厨垃圾</w:t>
      </w:r>
      <w:r>
        <w:rPr>
          <w:rFonts w:hint="eastAsia"/>
          <w:lang w:val="en-US" w:eastAsia="zh-CN"/>
        </w:rPr>
        <w:t>:主要成分为食物残渣、动植物油等，在厂区内集中收集，</w:t>
      </w:r>
      <w:r>
        <w:rPr>
          <w:rFonts w:hint="eastAsia"/>
          <w:lang w:eastAsia="zh-CN"/>
        </w:rPr>
        <w:t>由专门的公司进行回收处理</w:t>
      </w:r>
      <w:r>
        <w:rPr>
          <w:rFonts w:hint="eastAsia"/>
          <w:lang w:val="en-US" w:eastAsia="zh-CN"/>
        </w:rPr>
        <w:t>。</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3 \* GB2 \* MERGEFORMAT </w:instrText>
      </w:r>
      <w:r>
        <w:rPr>
          <w:rFonts w:hint="eastAsia"/>
          <w:lang w:val="en-US" w:eastAsia="zh-CN"/>
        </w:rPr>
        <w:fldChar w:fldCharType="separate"/>
      </w:r>
      <w:r>
        <w:t>⑶</w:t>
      </w:r>
      <w:r>
        <w:rPr>
          <w:rFonts w:hint="eastAsia"/>
          <w:lang w:val="en-US" w:eastAsia="zh-CN"/>
        </w:rPr>
        <w:fldChar w:fldCharType="end"/>
      </w:r>
      <w:r>
        <w:rPr>
          <w:rFonts w:hint="eastAsia"/>
          <w:lang w:val="en-US" w:eastAsia="zh-CN"/>
        </w:rPr>
        <w:t>布袋除尘器除尘下灰：回用或外售。</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4 \* GB2 \* MERGEFORMAT </w:instrText>
      </w:r>
      <w:r>
        <w:rPr>
          <w:rFonts w:hint="eastAsia"/>
          <w:lang w:val="en-US" w:eastAsia="zh-CN"/>
        </w:rPr>
        <w:fldChar w:fldCharType="separate"/>
      </w:r>
      <w:r>
        <w:t>⑷</w:t>
      </w:r>
      <w:r>
        <w:rPr>
          <w:rFonts w:hint="eastAsia"/>
          <w:lang w:val="en-US" w:eastAsia="zh-CN"/>
        </w:rPr>
        <w:fldChar w:fldCharType="end"/>
      </w:r>
      <w:r>
        <w:rPr>
          <w:rFonts w:hint="eastAsia"/>
          <w:lang w:val="en-US" w:eastAsia="zh-CN"/>
        </w:rPr>
        <w:t>地面清扫降尘：回用；</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5 \* GB2 \* MERGEFORMAT </w:instrText>
      </w:r>
      <w:r>
        <w:rPr>
          <w:rFonts w:hint="eastAsia"/>
          <w:lang w:val="en-US" w:eastAsia="zh-CN"/>
        </w:rPr>
        <w:fldChar w:fldCharType="separate"/>
      </w:r>
      <w:r>
        <w:t>⑸</w:t>
      </w:r>
      <w:r>
        <w:rPr>
          <w:rFonts w:hint="eastAsia"/>
          <w:lang w:val="en-US" w:eastAsia="zh-CN"/>
        </w:rPr>
        <w:fldChar w:fldCharType="end"/>
      </w:r>
      <w:r>
        <w:rPr>
          <w:rFonts w:hint="eastAsia"/>
          <w:lang w:val="en-US" w:eastAsia="zh-CN"/>
        </w:rPr>
        <w:t>废包装袋：外售综合利用；</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6 \* GB2 \* MERGEFORMAT </w:instrText>
      </w:r>
      <w:r>
        <w:rPr>
          <w:rFonts w:hint="eastAsia"/>
          <w:lang w:val="en-US" w:eastAsia="zh-CN"/>
        </w:rPr>
        <w:fldChar w:fldCharType="separate"/>
      </w:r>
      <w:r>
        <w:t>⑹</w:t>
      </w:r>
      <w:r>
        <w:rPr>
          <w:rFonts w:hint="eastAsia"/>
          <w:lang w:val="en-US" w:eastAsia="zh-CN"/>
        </w:rPr>
        <w:fldChar w:fldCharType="end"/>
      </w:r>
      <w:r>
        <w:rPr>
          <w:rFonts w:hint="eastAsia"/>
          <w:lang w:val="en-US" w:eastAsia="zh-CN"/>
        </w:rPr>
        <w:t>废树脂：定期更换，委托资质单位进行处理；</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7 \* GB2 \* MERGEFORMAT </w:instrText>
      </w:r>
      <w:r>
        <w:rPr>
          <w:rFonts w:hint="eastAsia"/>
          <w:lang w:val="en-US" w:eastAsia="zh-CN"/>
        </w:rPr>
        <w:fldChar w:fldCharType="separate"/>
      </w:r>
      <w:r>
        <w:t>⑺</w:t>
      </w:r>
      <w:r>
        <w:rPr>
          <w:rFonts w:hint="eastAsia"/>
          <w:lang w:val="en-US" w:eastAsia="zh-CN"/>
        </w:rPr>
        <w:fldChar w:fldCharType="end"/>
      </w:r>
      <w:r>
        <w:rPr>
          <w:rFonts w:hint="eastAsia"/>
          <w:lang w:val="en-US" w:eastAsia="zh-CN"/>
        </w:rPr>
        <w:t>脱硫石膏：作为建材外售；</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8 \* GB2 \* MERGEFORMAT </w:instrText>
      </w:r>
      <w:r>
        <w:rPr>
          <w:rFonts w:hint="eastAsia"/>
          <w:lang w:val="en-US" w:eastAsia="zh-CN"/>
        </w:rPr>
        <w:fldChar w:fldCharType="separate"/>
      </w:r>
      <w:r>
        <w:t>⑻</w:t>
      </w:r>
      <w:r>
        <w:rPr>
          <w:rFonts w:hint="eastAsia"/>
          <w:lang w:val="en-US" w:eastAsia="zh-CN"/>
        </w:rPr>
        <w:fldChar w:fldCharType="end"/>
      </w:r>
      <w:r>
        <w:rPr>
          <w:rFonts w:hint="eastAsia"/>
          <w:lang w:val="en-US" w:eastAsia="zh-CN"/>
        </w:rPr>
        <w:t>废试剂瓶、废化验室废液：委托资质单位处理；</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9 \* GB2 \* MERGEFORMAT </w:instrText>
      </w:r>
      <w:r>
        <w:rPr>
          <w:rFonts w:hint="eastAsia"/>
          <w:lang w:val="en-US" w:eastAsia="zh-CN"/>
        </w:rPr>
        <w:fldChar w:fldCharType="separate"/>
      </w:r>
      <w:r>
        <w:t>⑼</w:t>
      </w:r>
      <w:r>
        <w:rPr>
          <w:rFonts w:hint="eastAsia"/>
          <w:lang w:val="en-US" w:eastAsia="zh-CN"/>
        </w:rPr>
        <w:fldChar w:fldCharType="end"/>
      </w:r>
      <w:r>
        <w:rPr>
          <w:rFonts w:hint="eastAsia"/>
          <w:lang w:val="en-US" w:eastAsia="zh-CN"/>
        </w:rPr>
        <w:t>隔油池废油：委托处理。</w:t>
      </w:r>
    </w:p>
    <w:p>
      <w:pPr>
        <w:pStyle w:val="3"/>
        <w:bidi w:val="0"/>
        <w:rPr>
          <w:rFonts w:hint="eastAsia"/>
          <w:lang w:val="en-US" w:eastAsia="zh-CN"/>
        </w:rPr>
      </w:pPr>
      <w:bookmarkStart w:id="46" w:name="_Toc8767"/>
      <w:r>
        <w:rPr>
          <w:rFonts w:hint="eastAsia"/>
          <w:lang w:val="en-US" w:eastAsia="zh-CN"/>
        </w:rPr>
        <w:t>4 环境现状调查与评价</w:t>
      </w:r>
      <w:bookmarkEnd w:id="46"/>
    </w:p>
    <w:p>
      <w:pPr>
        <w:pStyle w:val="4"/>
        <w:bidi w:val="0"/>
        <w:rPr>
          <w:rFonts w:hint="eastAsia"/>
          <w:lang w:val="en-US" w:eastAsia="zh-CN"/>
        </w:rPr>
      </w:pPr>
      <w:bookmarkStart w:id="47" w:name="_Toc6312"/>
      <w:r>
        <w:rPr>
          <w:rFonts w:hint="eastAsia"/>
          <w:lang w:val="en-US" w:eastAsia="zh-CN"/>
        </w:rPr>
        <w:t>4.1 自然环境概况</w:t>
      </w:r>
      <w:bookmarkEnd w:id="47"/>
    </w:p>
    <w:p>
      <w:pPr>
        <w:pStyle w:val="5"/>
        <w:bidi w:val="0"/>
      </w:pPr>
      <w:bookmarkStart w:id="48" w:name="_Toc317838794"/>
      <w:bookmarkStart w:id="49" w:name="_Toc322259614"/>
      <w:r>
        <w:rPr>
          <w:rFonts w:hint="eastAsia"/>
          <w:lang w:eastAsia="zh-CN"/>
        </w:rPr>
        <w:t>4</w:t>
      </w:r>
      <w:r>
        <w:t>.1.1</w:t>
      </w:r>
      <w:r>
        <w:rPr>
          <w:lang w:eastAsia="zh-CN"/>
        </w:rPr>
        <w:t xml:space="preserve">  </w:t>
      </w:r>
      <w:r>
        <w:t>地理位置</w:t>
      </w:r>
      <w:bookmarkEnd w:id="48"/>
      <w:bookmarkEnd w:id="49"/>
    </w:p>
    <w:p>
      <w:pPr>
        <w:bidi w:val="0"/>
        <w:rPr>
          <w:lang w:eastAsia="zh-CN"/>
        </w:rPr>
      </w:pPr>
      <w:r>
        <w:rPr>
          <w:rFonts w:hint="eastAsia"/>
          <w:lang w:eastAsia="zh-CN"/>
        </w:rPr>
        <w:t>东海县位于江苏省东北部，地处东经118°23′至119°10′，北纬34°11′至34°44′，是亚欧大陆桥东桥头堡西行第一县。东海县东与连云港市区相连，西靠山东省郯城县以马陵山为界，南与沭阳县、新沂市和灌云县为邻，北界新沭河与赣榆县毗邻，西北接山东省临沭县。东海县东濒黄海，南邻宿迁，西通彭城，北界齐鲁，是国务院批准的首批沿海对外开放县，也是新亚欧大陆桥东桥头堡西行第一县，位于国家“陆桥经济带”、“星火开发带”、“徐连经济带”范围之内，更是江苏省开发的三大产业带之一——沿东陇海线产业带上的重要节点，连云港和徐州两大城市的重要连接点。</w:t>
      </w:r>
    </w:p>
    <w:p>
      <w:pPr>
        <w:bidi w:val="0"/>
        <w:rPr>
          <w:rFonts w:hint="eastAsia"/>
          <w:lang w:eastAsia="zh-CN"/>
        </w:rPr>
      </w:pPr>
      <w:r>
        <w:rPr>
          <w:rFonts w:hint="eastAsia"/>
          <w:lang w:eastAsia="zh-CN"/>
        </w:rPr>
        <w:t>青湖镇地处东海县北部，其驻地距离县城17公里，东与黄川镇交界，西与横沟乡毗邻，南与石榴、驼峰乡接壤，北与石梁河镇为邻。因镇驻青湖村而得名，青湖镇面积94.306平方公里，耕地面积6000公顷，人口5.82万人。青湖镇辖20个行政村，镇地处丘陵湖洼的接合部，地势西高东低，海拔在6-40米之间。</w:t>
      </w:r>
    </w:p>
    <w:p>
      <w:pPr>
        <w:bidi w:val="0"/>
        <w:rPr>
          <w:rFonts w:hint="eastAsia"/>
          <w:lang w:eastAsia="zh-CN"/>
        </w:rPr>
      </w:pPr>
      <w:r>
        <w:rPr>
          <w:rFonts w:hint="eastAsia"/>
          <w:lang w:eastAsia="zh-CN"/>
        </w:rPr>
        <w:t>青湖镇区位优势显著，地理位置优越，海陆空交通便捷，310国道、245省道在镇驻地交汇，距国际大港连云港港口60公里，距陇海铁路东海站20公里，距连云港民航机场15公里，距旅游胜地花果山40公里，距东海温泉度假区10公里。</w:t>
      </w:r>
    </w:p>
    <w:p>
      <w:pPr>
        <w:bidi w:val="0"/>
        <w:rPr>
          <w:lang w:eastAsia="zh-CN"/>
        </w:rPr>
      </w:pPr>
      <w:r>
        <w:rPr>
          <w:rFonts w:hint="eastAsia"/>
          <w:lang w:eastAsia="zh-CN"/>
        </w:rPr>
        <w:t>本</w:t>
      </w:r>
      <w:r>
        <w:rPr>
          <w:lang w:eastAsia="zh-CN"/>
        </w:rPr>
        <w:t>项目位于</w:t>
      </w:r>
      <w:r>
        <w:rPr>
          <w:rFonts w:hint="eastAsia"/>
          <w:lang w:eastAsia="zh-CN"/>
        </w:rPr>
        <w:t>东海县青湖镇工业集中区</w:t>
      </w:r>
      <w:r>
        <w:rPr>
          <w:lang w:eastAsia="zh-CN"/>
        </w:rPr>
        <w:t>，</w:t>
      </w:r>
      <w:r>
        <w:rPr>
          <w:rFonts w:hint="eastAsia"/>
          <w:lang w:eastAsia="zh-CN"/>
        </w:rPr>
        <w:t>本</w:t>
      </w:r>
      <w:r>
        <w:rPr>
          <w:lang w:eastAsia="zh-CN"/>
        </w:rPr>
        <w:t>项目地理位置见图</w:t>
      </w:r>
      <w:r>
        <w:rPr>
          <w:rFonts w:hint="eastAsia"/>
          <w:lang w:eastAsia="zh-CN"/>
        </w:rPr>
        <w:t>4</w:t>
      </w:r>
      <w:r>
        <w:rPr>
          <w:lang w:eastAsia="zh-CN"/>
        </w:rPr>
        <w:t>.1-1。</w:t>
      </w:r>
    </w:p>
    <w:p>
      <w:pPr>
        <w:pStyle w:val="5"/>
        <w:bidi w:val="0"/>
      </w:pPr>
      <w:bookmarkStart w:id="50" w:name="_Toc317838795"/>
      <w:bookmarkStart w:id="51" w:name="_Toc322259615"/>
      <w:r>
        <w:rPr>
          <w:rFonts w:hint="eastAsia"/>
          <w:lang w:eastAsia="zh-CN"/>
        </w:rPr>
        <w:t>4</w:t>
      </w:r>
      <w:r>
        <w:t>.1.2</w:t>
      </w:r>
      <w:r>
        <w:rPr>
          <w:lang w:eastAsia="zh-CN"/>
        </w:rPr>
        <w:t xml:space="preserve">  </w:t>
      </w:r>
      <w:r>
        <w:t>地形</w:t>
      </w:r>
      <w:r>
        <w:rPr>
          <w:rFonts w:hint="eastAsia"/>
          <w:lang w:eastAsia="zh-CN"/>
        </w:rPr>
        <w:t>、</w:t>
      </w:r>
      <w:r>
        <w:t>地貌</w:t>
      </w:r>
      <w:bookmarkEnd w:id="50"/>
      <w:r>
        <w:rPr>
          <w:rFonts w:hint="eastAsia"/>
          <w:lang w:eastAsia="zh-CN"/>
        </w:rPr>
        <w:t>、</w:t>
      </w:r>
      <w:r>
        <w:t>地质</w:t>
      </w:r>
      <w:bookmarkEnd w:id="51"/>
    </w:p>
    <w:p>
      <w:pPr>
        <w:bidi w:val="0"/>
        <w:rPr>
          <w:rFonts w:hint="eastAsia"/>
          <w:lang w:eastAsia="zh-CN"/>
        </w:rPr>
      </w:pPr>
      <w:r>
        <w:rPr>
          <w:rFonts w:hint="eastAsia"/>
          <w:lang w:eastAsia="zh-CN"/>
        </w:rPr>
        <w:t>东海县地势西高东低。西部边界的马陵山海拔在69-125m之间，东部的湖荡平原海拔只有2-5m。中西部岗岭交错，沟壑纵横。土地以岗地为主，其面积占全县土地总面积的53%。东部地势平坦，河网密布，湖荡相连。全县有大小山峰10余座，主要分布在中西部，其中最高的是羽山，海拔269.5m。县城南侧的牛山海拔54m，其山体向东北延伸形成海拔30-40m的隆起。县城自南向北地势不断走低，场地比较平坦，海拔在10.9-40m之间。地质结构由上往下依次为1.2-6.4m的素填土和粘土；2.3-19.9m厚度的不同风化程度的片麻岩；基底为东海群阿湖组变质岩系。</w:t>
      </w:r>
    </w:p>
    <w:p>
      <w:pPr>
        <w:bidi w:val="0"/>
        <w:rPr>
          <w:rFonts w:hint="eastAsia"/>
          <w:lang w:eastAsia="zh-CN"/>
        </w:rPr>
      </w:pPr>
      <w:r>
        <w:rPr>
          <w:rFonts w:hint="eastAsia"/>
          <w:lang w:eastAsia="zh-CN"/>
        </w:rPr>
        <w:t>东海县地处华北地台东南缘，东与扬子准地台以海州——泗阳断裂为界。西部被郯（城）庐（江）大断裂切割。境内基底为下元古东海群变质岩，地质构造复杂。由于长期处于上升剥蚀状态，上部地层发育不全，缺失古生代全部地层，直至中、新生代（第三纪）局部下降，才有盖层沉积。七千米深厚的东海群沉积层受高温高压及岩浆侵入的影响，成为构造复杂的中深区域变质岩系，成为东海县的基底。</w:t>
      </w:r>
    </w:p>
    <w:p>
      <w:pPr>
        <w:bidi w:val="0"/>
        <w:rPr>
          <w:lang w:eastAsia="zh-CN"/>
        </w:rPr>
      </w:pPr>
      <w:r>
        <w:rPr>
          <w:rFonts w:hint="eastAsia"/>
          <w:lang w:eastAsia="zh-CN"/>
        </w:rPr>
        <w:t>根据高程、坡度、地形特征，全县可划分为三个地貌单元：一是低山丘陵区，海拔在65m以上，坡度较大，面积404km2，占总面积的18%；二是残丘缓坡区，海拔10至65m，残丘平地分布广，相对自然坡度较缓，面积967km2，占总面积的43%；三是湖荡平原区，海拔2.3至10m，地势平坦，湖荡较多，面积877km2，占总面积的39%。</w:t>
      </w:r>
    </w:p>
    <w:p>
      <w:pPr>
        <w:pStyle w:val="5"/>
        <w:bidi w:val="0"/>
      </w:pPr>
      <w:bookmarkStart w:id="52" w:name="_Toc317838796"/>
      <w:bookmarkStart w:id="53" w:name="_Toc322259616"/>
      <w:r>
        <w:rPr>
          <w:rFonts w:hint="eastAsia"/>
          <w:lang w:eastAsia="zh-CN"/>
        </w:rPr>
        <w:t>4</w:t>
      </w:r>
      <w:r>
        <w:t>.1.3</w:t>
      </w:r>
      <w:r>
        <w:rPr>
          <w:rFonts w:hint="eastAsia"/>
          <w:lang w:eastAsia="zh-CN"/>
        </w:rPr>
        <w:t xml:space="preserve">  </w:t>
      </w:r>
      <w:r>
        <w:t>气候气象</w:t>
      </w:r>
      <w:bookmarkEnd w:id="52"/>
      <w:bookmarkEnd w:id="53"/>
    </w:p>
    <w:p>
      <w:pPr>
        <w:bidi w:val="0"/>
        <w:rPr>
          <w:lang w:eastAsia="zh-CN"/>
        </w:rPr>
      </w:pPr>
      <w:r>
        <w:rPr>
          <w:lang w:eastAsia="zh-CN"/>
        </w:rPr>
        <w:t>东海县地处暖温带南缘。属半湿润性季风气候，日照充足，四季分明，春季干旱风大，夏季高温多雨，秋季天高气爽，冬季寒冷干燥。全年雨量充沛，但降雨在年份和月份上分配很不均匀。常年主导风向为NE，次主导风向为ESE。区域主要气象特征见表</w:t>
      </w:r>
      <w:r>
        <w:rPr>
          <w:rFonts w:hint="eastAsia"/>
          <w:lang w:eastAsia="zh-CN"/>
        </w:rPr>
        <w:t>4</w:t>
      </w:r>
      <w:r>
        <w:rPr>
          <w:lang w:eastAsia="zh-CN"/>
        </w:rPr>
        <w:t>.1-1。</w:t>
      </w:r>
    </w:p>
    <w:p>
      <w:pPr>
        <w:pStyle w:val="27"/>
        <w:bidi w:val="0"/>
        <w:rPr>
          <w:lang w:eastAsia="zh-CN"/>
        </w:rPr>
      </w:pPr>
      <w:r>
        <w:rPr>
          <w:lang w:eastAsia="zh-CN"/>
        </w:rPr>
        <w:t>表</w:t>
      </w:r>
      <w:r>
        <w:rPr>
          <w:rFonts w:hint="eastAsia"/>
          <w:lang w:eastAsia="zh-CN"/>
        </w:rPr>
        <w:t>4</w:t>
      </w:r>
      <w:r>
        <w:rPr>
          <w:lang w:eastAsia="zh-CN"/>
        </w:rPr>
        <w:t>.1</w:t>
      </w:r>
      <w:r>
        <w:rPr>
          <w:rFonts w:hint="eastAsia"/>
          <w:lang w:val="en-US" w:eastAsia="zh-CN"/>
        </w:rPr>
        <w:t>.1</w:t>
      </w:r>
      <w:r>
        <w:rPr>
          <w:lang w:eastAsia="zh-CN"/>
        </w:rPr>
        <w:t>-1</w:t>
      </w:r>
      <w:r>
        <w:rPr>
          <w:rFonts w:hint="eastAsia"/>
          <w:lang w:eastAsia="zh-CN"/>
        </w:rPr>
        <w:t xml:space="preserve">  </w:t>
      </w:r>
      <w:r>
        <w:rPr>
          <w:lang w:eastAsia="zh-CN"/>
        </w:rPr>
        <w:t>东海县气象站的主要气象资料</w:t>
      </w:r>
    </w:p>
    <w:tbl>
      <w:tblPr>
        <w:tblStyle w:val="21"/>
        <w:tblW w:w="92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94"/>
        <w:gridCol w:w="3099"/>
        <w:gridCol w:w="3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gridSpan w:val="2"/>
            <w:tcBorders>
              <w:tl2br w:val="nil"/>
              <w:tr2bl w:val="nil"/>
            </w:tcBorders>
            <w:noWrap w:val="0"/>
            <w:vAlign w:val="center"/>
          </w:tcPr>
          <w:p>
            <w:pPr>
              <w:pStyle w:val="28"/>
              <w:suppressLineNumbers w:val="0"/>
              <w:bidi w:val="0"/>
              <w:spacing w:before="0" w:after="0"/>
              <w:ind w:left="0" w:right="0"/>
            </w:pPr>
            <w:r>
              <w:t>气象参数</w:t>
            </w:r>
          </w:p>
        </w:tc>
        <w:tc>
          <w:tcPr>
            <w:tcW w:w="0" w:type="pct"/>
            <w:tcBorders>
              <w:tl2br w:val="nil"/>
              <w:tr2bl w:val="nil"/>
            </w:tcBorders>
            <w:noWrap w:val="0"/>
            <w:vAlign w:val="center"/>
          </w:tcPr>
          <w:p>
            <w:pPr>
              <w:pStyle w:val="28"/>
              <w:suppressLineNumbers w:val="0"/>
              <w:bidi w:val="0"/>
              <w:spacing w:before="0" w:after="0"/>
              <w:ind w:left="0" w:right="0"/>
            </w:pPr>
            <w:r>
              <w:t>历年平均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tcBorders>
              <w:tl2br w:val="nil"/>
              <w:tr2bl w:val="nil"/>
            </w:tcBorders>
            <w:noWrap w:val="0"/>
            <w:vAlign w:val="center"/>
          </w:tcPr>
          <w:p>
            <w:pPr>
              <w:pStyle w:val="28"/>
              <w:suppressLineNumbers w:val="0"/>
              <w:bidi w:val="0"/>
              <w:spacing w:before="0" w:after="0"/>
              <w:ind w:left="0" w:right="0"/>
            </w:pPr>
            <w:r>
              <w:t>气压（hpa）</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1011.8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restart"/>
            <w:tcBorders>
              <w:tl2br w:val="nil"/>
              <w:tr2bl w:val="nil"/>
            </w:tcBorders>
            <w:noWrap w:val="0"/>
            <w:vAlign w:val="center"/>
          </w:tcPr>
          <w:p>
            <w:pPr>
              <w:pStyle w:val="28"/>
              <w:suppressLineNumbers w:val="0"/>
              <w:bidi w:val="0"/>
              <w:spacing w:before="0" w:after="0"/>
              <w:ind w:left="0" w:right="0"/>
            </w:pPr>
            <w:r>
              <w:t>气温（℃）</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13.8（59.8.20）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极端最高</w:t>
            </w:r>
          </w:p>
        </w:tc>
        <w:tc>
          <w:tcPr>
            <w:tcW w:w="0" w:type="pct"/>
            <w:tcBorders>
              <w:tl2br w:val="nil"/>
              <w:tr2bl w:val="nil"/>
            </w:tcBorders>
            <w:noWrap w:val="0"/>
            <w:vAlign w:val="center"/>
          </w:tcPr>
          <w:p>
            <w:pPr>
              <w:pStyle w:val="28"/>
              <w:suppressLineNumbers w:val="0"/>
              <w:bidi w:val="0"/>
              <w:spacing w:before="0" w:after="0"/>
              <w:ind w:left="0" w:right="0"/>
            </w:pPr>
            <w:r>
              <w:t>39.7（69.2.5）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极端最低</w:t>
            </w:r>
          </w:p>
        </w:tc>
        <w:tc>
          <w:tcPr>
            <w:tcW w:w="0" w:type="pct"/>
            <w:tcBorders>
              <w:tl2br w:val="nil"/>
              <w:tr2bl w:val="nil"/>
            </w:tcBorders>
            <w:noWrap w:val="0"/>
            <w:vAlign w:val="center"/>
          </w:tcPr>
          <w:p>
            <w:pPr>
              <w:pStyle w:val="28"/>
              <w:suppressLineNumbers w:val="0"/>
              <w:bidi w:val="0"/>
              <w:spacing w:before="0" w:after="0"/>
              <w:ind w:left="0" w:right="0"/>
            </w:pPr>
            <w: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tcBorders>
              <w:tl2br w:val="nil"/>
              <w:tr2bl w:val="nil"/>
            </w:tcBorders>
            <w:noWrap w:val="0"/>
            <w:vAlign w:val="center"/>
          </w:tcPr>
          <w:p>
            <w:pPr>
              <w:pStyle w:val="28"/>
              <w:suppressLineNumbers w:val="0"/>
              <w:bidi w:val="0"/>
              <w:spacing w:before="0" w:after="0"/>
              <w:ind w:left="0" w:right="0"/>
            </w:pPr>
            <w:r>
              <w:t>相对湿度（%）</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restart"/>
            <w:tcBorders>
              <w:tl2br w:val="nil"/>
              <w:tr2bl w:val="nil"/>
            </w:tcBorders>
            <w:noWrap w:val="0"/>
            <w:vAlign w:val="center"/>
          </w:tcPr>
          <w:p>
            <w:pPr>
              <w:pStyle w:val="28"/>
              <w:suppressLineNumbers w:val="0"/>
              <w:bidi w:val="0"/>
              <w:spacing w:before="0" w:after="0"/>
              <w:ind w:left="0" w:right="0"/>
            </w:pPr>
            <w:r>
              <w:t>降雨量（mm）</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872.5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一次最大</w:t>
            </w:r>
          </w:p>
        </w:tc>
        <w:tc>
          <w:tcPr>
            <w:tcW w:w="0" w:type="pct"/>
            <w:tcBorders>
              <w:tl2br w:val="nil"/>
              <w:tr2bl w:val="nil"/>
            </w:tcBorders>
            <w:noWrap w:val="0"/>
            <w:vAlign w:val="center"/>
          </w:tcPr>
          <w:p>
            <w:pPr>
              <w:pStyle w:val="28"/>
              <w:suppressLineNumbers w:val="0"/>
              <w:bidi w:val="0"/>
              <w:spacing w:before="0" w:after="0"/>
              <w:ind w:left="0" w:right="0"/>
            </w:pPr>
            <w:r>
              <w:t>1345.9（1960年）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tcBorders>
              <w:tl2br w:val="nil"/>
              <w:tr2bl w:val="nil"/>
            </w:tcBorders>
            <w:noWrap w:val="0"/>
            <w:vAlign w:val="center"/>
          </w:tcPr>
          <w:p>
            <w:pPr>
              <w:pStyle w:val="28"/>
              <w:suppressLineNumbers w:val="0"/>
              <w:bidi w:val="0"/>
              <w:spacing w:before="0" w:after="0"/>
              <w:ind w:left="0" w:right="0"/>
            </w:pPr>
            <w:r>
              <w:t>蒸发量（mm）</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1619.9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restart"/>
            <w:tcBorders>
              <w:tl2br w:val="nil"/>
              <w:tr2bl w:val="nil"/>
            </w:tcBorders>
            <w:noWrap w:val="0"/>
            <w:vAlign w:val="center"/>
          </w:tcPr>
          <w:p>
            <w:pPr>
              <w:pStyle w:val="28"/>
              <w:suppressLineNumbers w:val="0"/>
              <w:bidi w:val="0"/>
              <w:spacing w:before="0" w:after="0"/>
              <w:ind w:left="0" w:right="0"/>
            </w:pPr>
            <w:r>
              <w:t>风速（m/s）</w:t>
            </w:r>
          </w:p>
        </w:tc>
        <w:tc>
          <w:tcPr>
            <w:tcW w:w="0" w:type="pct"/>
            <w:tcBorders>
              <w:tl2br w:val="nil"/>
              <w:tr2bl w:val="nil"/>
            </w:tcBorders>
            <w:noWrap w:val="0"/>
            <w:vAlign w:val="center"/>
          </w:tcPr>
          <w:p>
            <w:pPr>
              <w:pStyle w:val="28"/>
              <w:suppressLineNumbers w:val="0"/>
              <w:bidi w:val="0"/>
              <w:spacing w:before="0" w:after="0"/>
              <w:ind w:left="0" w:right="0"/>
            </w:pPr>
            <w:r>
              <w:t>年平均</w:t>
            </w:r>
          </w:p>
        </w:tc>
        <w:tc>
          <w:tcPr>
            <w:tcW w:w="0" w:type="pct"/>
            <w:tcBorders>
              <w:tl2br w:val="nil"/>
              <w:tr2bl w:val="nil"/>
            </w:tcBorders>
            <w:noWrap w:val="0"/>
            <w:vAlign w:val="center"/>
          </w:tcPr>
          <w:p>
            <w:pPr>
              <w:pStyle w:val="28"/>
              <w:suppressLineNumbers w:val="0"/>
              <w:bidi w:val="0"/>
              <w:spacing w:before="0" w:after="0"/>
              <w:ind w:left="0" w:right="0"/>
            </w:pPr>
            <w: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最大</w:t>
            </w:r>
          </w:p>
        </w:tc>
        <w:tc>
          <w:tcPr>
            <w:tcW w:w="0" w:type="pct"/>
            <w:tcBorders>
              <w:tl2br w:val="nil"/>
              <w:tr2bl w:val="nil"/>
            </w:tcBorders>
            <w:noWrap w:val="0"/>
            <w:vAlign w:val="center"/>
          </w:tcPr>
          <w:p>
            <w:pPr>
              <w:pStyle w:val="28"/>
              <w:suppressLineNumbers w:val="0"/>
              <w:bidi w:val="0"/>
              <w:spacing w:before="0" w:after="0"/>
              <w:ind w:left="0" w:right="0"/>
            </w:pPr>
            <w: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restart"/>
            <w:tcBorders>
              <w:tl2br w:val="nil"/>
              <w:tr2bl w:val="nil"/>
            </w:tcBorders>
            <w:noWrap w:val="0"/>
            <w:vAlign w:val="center"/>
          </w:tcPr>
          <w:p>
            <w:pPr>
              <w:pStyle w:val="28"/>
              <w:suppressLineNumbers w:val="0"/>
              <w:bidi w:val="0"/>
              <w:spacing w:before="0" w:after="0"/>
              <w:ind w:left="0" w:right="0"/>
            </w:pPr>
            <w:r>
              <w:t>风向及频率（%）</w:t>
            </w:r>
          </w:p>
        </w:tc>
        <w:tc>
          <w:tcPr>
            <w:tcW w:w="0" w:type="pct"/>
            <w:tcBorders>
              <w:tl2br w:val="nil"/>
              <w:tr2bl w:val="nil"/>
            </w:tcBorders>
            <w:noWrap w:val="0"/>
            <w:vAlign w:val="center"/>
          </w:tcPr>
          <w:p>
            <w:pPr>
              <w:pStyle w:val="28"/>
              <w:suppressLineNumbers w:val="0"/>
              <w:bidi w:val="0"/>
              <w:spacing w:before="0" w:after="0"/>
              <w:ind w:left="0" w:right="0"/>
            </w:pPr>
            <w:r>
              <w:t>全年主导风向</w:t>
            </w:r>
          </w:p>
        </w:tc>
        <w:tc>
          <w:tcPr>
            <w:tcW w:w="0" w:type="pct"/>
            <w:tcBorders>
              <w:tl2br w:val="nil"/>
              <w:tr2bl w:val="nil"/>
            </w:tcBorders>
            <w:noWrap w:val="0"/>
            <w:vAlign w:val="center"/>
          </w:tcPr>
          <w:p>
            <w:pPr>
              <w:pStyle w:val="28"/>
              <w:suppressLineNumbers w:val="0"/>
              <w:bidi w:val="0"/>
              <w:spacing w:before="0" w:after="0"/>
              <w:ind w:left="0" w:right="0"/>
            </w:pPr>
            <w:r>
              <w:t>NE10%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夏季主导</w:t>
            </w:r>
          </w:p>
        </w:tc>
        <w:tc>
          <w:tcPr>
            <w:tcW w:w="0" w:type="pct"/>
            <w:tcBorders>
              <w:tl2br w:val="nil"/>
              <w:tr2bl w:val="nil"/>
            </w:tcBorders>
            <w:noWrap w:val="0"/>
            <w:vAlign w:val="center"/>
          </w:tcPr>
          <w:p>
            <w:pPr>
              <w:pStyle w:val="28"/>
              <w:suppressLineNumbers w:val="0"/>
              <w:bidi w:val="0"/>
              <w:spacing w:before="0" w:after="0"/>
              <w:ind w:left="0" w:right="0"/>
            </w:pPr>
            <w:r>
              <w:t>ESE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vMerge w:val="continue"/>
            <w:tcBorders>
              <w:tl2br w:val="nil"/>
              <w:tr2bl w:val="nil"/>
            </w:tcBorders>
            <w:noWrap w:val="0"/>
            <w:vAlign w:val="center"/>
          </w:tcPr>
          <w:p>
            <w:pPr>
              <w:pStyle w:val="28"/>
              <w:suppressLineNumbers w:val="0"/>
              <w:bidi w:val="0"/>
              <w:spacing w:before="0" w:after="0"/>
              <w:ind w:left="0" w:right="0"/>
              <w:outlineLvl w:val="9"/>
            </w:pPr>
          </w:p>
        </w:tc>
        <w:tc>
          <w:tcPr>
            <w:tcW w:w="0" w:type="pct"/>
            <w:tcBorders>
              <w:tl2br w:val="nil"/>
              <w:tr2bl w:val="nil"/>
            </w:tcBorders>
            <w:noWrap w:val="0"/>
            <w:vAlign w:val="center"/>
          </w:tcPr>
          <w:p>
            <w:pPr>
              <w:pStyle w:val="28"/>
              <w:suppressLineNumbers w:val="0"/>
              <w:bidi w:val="0"/>
              <w:spacing w:before="0" w:after="0"/>
              <w:ind w:left="0" w:right="0"/>
            </w:pPr>
            <w:r>
              <w:t>冬季主导</w:t>
            </w:r>
          </w:p>
        </w:tc>
        <w:tc>
          <w:tcPr>
            <w:tcW w:w="0" w:type="pct"/>
            <w:tcBorders>
              <w:tl2br w:val="nil"/>
              <w:tr2bl w:val="nil"/>
            </w:tcBorders>
            <w:noWrap w:val="0"/>
            <w:vAlign w:val="center"/>
          </w:tcPr>
          <w:p>
            <w:pPr>
              <w:pStyle w:val="28"/>
              <w:suppressLineNumbers w:val="0"/>
              <w:bidi w:val="0"/>
              <w:spacing w:before="0" w:after="0"/>
              <w:ind w:left="0" w:right="0"/>
            </w:pPr>
            <w:r>
              <w:t>NNE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tcBorders>
              <w:tl2br w:val="nil"/>
              <w:tr2bl w:val="nil"/>
            </w:tcBorders>
            <w:noWrap w:val="0"/>
            <w:vAlign w:val="center"/>
          </w:tcPr>
          <w:p>
            <w:pPr>
              <w:pStyle w:val="28"/>
              <w:suppressLineNumbers w:val="0"/>
              <w:bidi w:val="0"/>
              <w:spacing w:before="0" w:after="0"/>
              <w:ind w:left="0" w:right="0"/>
            </w:pPr>
            <w:r>
              <w:t>日照时数（h）</w:t>
            </w:r>
          </w:p>
        </w:tc>
        <w:tc>
          <w:tcPr>
            <w:tcW w:w="0" w:type="pct"/>
            <w:tcBorders>
              <w:tl2br w:val="nil"/>
              <w:tr2bl w:val="nil"/>
            </w:tcBorders>
            <w:noWrap w:val="0"/>
            <w:vAlign w:val="center"/>
          </w:tcPr>
          <w:p>
            <w:pPr>
              <w:pStyle w:val="28"/>
              <w:suppressLineNumbers w:val="0"/>
              <w:bidi w:val="0"/>
              <w:spacing w:before="0" w:after="0"/>
              <w:ind w:left="0" w:right="0"/>
            </w:pPr>
            <w:r>
              <w:t>平均</w:t>
            </w:r>
          </w:p>
        </w:tc>
        <w:tc>
          <w:tcPr>
            <w:tcW w:w="0" w:type="pct"/>
            <w:tcBorders>
              <w:tl2br w:val="nil"/>
              <w:tr2bl w:val="nil"/>
            </w:tcBorders>
            <w:noWrap w:val="0"/>
            <w:vAlign w:val="center"/>
          </w:tcPr>
          <w:p>
            <w:pPr>
              <w:pStyle w:val="28"/>
              <w:suppressLineNumbers w:val="0"/>
              <w:bidi w:val="0"/>
              <w:spacing w:before="0" w:after="0"/>
              <w:ind w:left="0" w:right="0"/>
            </w:pPr>
            <w:r>
              <w:t>2299.3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0" w:type="pct"/>
            <w:tcBorders>
              <w:tl2br w:val="nil"/>
              <w:tr2bl w:val="nil"/>
            </w:tcBorders>
            <w:noWrap w:val="0"/>
            <w:vAlign w:val="center"/>
          </w:tcPr>
          <w:p>
            <w:pPr>
              <w:pStyle w:val="28"/>
              <w:suppressLineNumbers w:val="0"/>
              <w:bidi w:val="0"/>
              <w:spacing w:before="0" w:after="0"/>
              <w:ind w:left="0" w:right="0"/>
            </w:pPr>
            <w:r>
              <w:t>无霜期</w:t>
            </w:r>
          </w:p>
        </w:tc>
        <w:tc>
          <w:tcPr>
            <w:tcW w:w="0" w:type="pct"/>
            <w:tcBorders>
              <w:tl2br w:val="nil"/>
              <w:tr2bl w:val="nil"/>
            </w:tcBorders>
            <w:noWrap w:val="0"/>
            <w:vAlign w:val="center"/>
          </w:tcPr>
          <w:p>
            <w:pPr>
              <w:pStyle w:val="28"/>
              <w:suppressLineNumbers w:val="0"/>
              <w:bidi w:val="0"/>
              <w:spacing w:before="0" w:after="0"/>
              <w:ind w:left="0" w:right="0"/>
            </w:pPr>
            <w:r>
              <w:t>平均</w:t>
            </w:r>
          </w:p>
        </w:tc>
        <w:tc>
          <w:tcPr>
            <w:tcW w:w="0" w:type="pct"/>
            <w:tcBorders>
              <w:tl2br w:val="nil"/>
              <w:tr2bl w:val="nil"/>
            </w:tcBorders>
            <w:noWrap w:val="0"/>
            <w:vAlign w:val="center"/>
          </w:tcPr>
          <w:p>
            <w:pPr>
              <w:pStyle w:val="28"/>
              <w:suppressLineNumbers w:val="0"/>
              <w:bidi w:val="0"/>
              <w:spacing w:before="0" w:after="0"/>
              <w:ind w:left="0" w:right="0"/>
            </w:pPr>
            <w:r>
              <w:t>225</w:t>
            </w:r>
          </w:p>
        </w:tc>
      </w:tr>
    </w:tbl>
    <w:p>
      <w:pPr>
        <w:pStyle w:val="5"/>
        <w:bidi w:val="0"/>
        <w:rPr>
          <w:lang w:eastAsia="zh-CN"/>
        </w:rPr>
      </w:pPr>
      <w:bookmarkStart w:id="54" w:name="_Toc317838798"/>
      <w:bookmarkStart w:id="55" w:name="_Toc322259618"/>
      <w:r>
        <w:rPr>
          <w:rFonts w:hint="eastAsia"/>
          <w:lang w:eastAsia="zh-CN"/>
        </w:rPr>
        <w:t>4</w:t>
      </w:r>
      <w:r>
        <w:t>.1.</w:t>
      </w:r>
      <w:r>
        <w:rPr>
          <w:lang w:eastAsia="zh-CN"/>
        </w:rPr>
        <w:t xml:space="preserve">5  </w:t>
      </w:r>
      <w:r>
        <w:rPr>
          <w:rFonts w:hint="eastAsia"/>
          <w:lang w:eastAsia="zh-CN"/>
        </w:rPr>
        <w:t>水文特性</w:t>
      </w:r>
    </w:p>
    <w:p>
      <w:pPr>
        <w:bidi w:val="0"/>
        <w:rPr>
          <w:rFonts w:hint="eastAsia"/>
          <w:lang w:eastAsia="zh-CN"/>
        </w:rPr>
      </w:pPr>
      <w:r>
        <w:rPr>
          <w:rFonts w:hint="eastAsia"/>
          <w:lang w:eastAsia="zh-CN"/>
        </w:rPr>
        <w:t>东海境内河流均属沂、沭河下游水系，较大的河流有蔷薇河、鲁兰河、乌龙河等，均自西向东流，经临洪河口入海。建国后，东海县为了调节水位，首先进行了导沭整沂，控制了沂沭河洪水，而后沂北除涝，整治蔷薇河，开挖淮沭新河，引进江淮水，继而在丘陵山区等高截岭开挖南北走向的石安河、龙梁河等，至此全县形成一个新的水系格局。目前，东海县属于干河水网的有新沂河、老沭河、蔷薇河、龙梁河、石安河和淮沭新河；属于支河水网的有磨山河、乌龙河、鲁兰河、马河、民主河以及其他28条小河流。</w:t>
      </w:r>
    </w:p>
    <w:p>
      <w:pPr>
        <w:bidi w:val="0"/>
        <w:rPr>
          <w:rFonts w:hint="eastAsia"/>
          <w:lang w:eastAsia="zh-CN"/>
        </w:rPr>
      </w:pPr>
      <w:r>
        <w:rPr>
          <w:rFonts w:hint="eastAsia"/>
          <w:lang w:eastAsia="zh-CN"/>
        </w:rPr>
        <w:t>蔷薇河发源于新沂市山区，在东海境内全长50.714km，河底宽80～130m，集水面积1800km</w:t>
      </w:r>
      <w:r>
        <w:rPr>
          <w:rFonts w:hint="eastAsia"/>
          <w:vertAlign w:val="superscript"/>
          <w:lang w:eastAsia="zh-CN"/>
        </w:rPr>
        <w:t>2</w:t>
      </w:r>
      <w:r>
        <w:rPr>
          <w:rFonts w:hint="eastAsia"/>
          <w:lang w:eastAsia="zh-CN"/>
        </w:rPr>
        <w:t>，是一条集生活饮用、排洪、灌溉、工业用水为一体的综合性河流。</w:t>
      </w:r>
    </w:p>
    <w:p>
      <w:pPr>
        <w:bidi w:val="0"/>
        <w:rPr>
          <w:rFonts w:hint="eastAsia"/>
          <w:lang w:eastAsia="zh-CN"/>
        </w:rPr>
      </w:pPr>
      <w:r>
        <w:rPr>
          <w:rFonts w:hint="eastAsia"/>
          <w:lang w:eastAsia="zh-CN"/>
        </w:rPr>
        <w:t>淮沭新河东海段全长44km，集水面积324km</w:t>
      </w:r>
      <w:r>
        <w:rPr>
          <w:rFonts w:hint="eastAsia"/>
          <w:vertAlign w:val="superscript"/>
          <w:lang w:eastAsia="zh-CN"/>
        </w:rPr>
        <w:t>2</w:t>
      </w:r>
      <w:r>
        <w:rPr>
          <w:rFonts w:hint="eastAsia"/>
          <w:lang w:eastAsia="zh-CN"/>
        </w:rPr>
        <w:t>，河底宽20～30m，排水流量80～293m</w:t>
      </w:r>
      <w:r>
        <w:rPr>
          <w:rFonts w:hint="eastAsia"/>
          <w:vertAlign w:val="superscript"/>
          <w:lang w:eastAsia="zh-CN"/>
        </w:rPr>
        <w:t>3</w:t>
      </w:r>
      <w:r>
        <w:rPr>
          <w:rFonts w:hint="eastAsia"/>
          <w:lang w:eastAsia="zh-CN"/>
        </w:rPr>
        <w:t>/s，是一条集生活饮用、排洪、灌溉、工业用水等为一体的综合性河流。</w:t>
      </w:r>
    </w:p>
    <w:p>
      <w:pPr>
        <w:bidi w:val="0"/>
        <w:rPr>
          <w:rFonts w:hint="eastAsia"/>
          <w:lang w:eastAsia="zh-CN"/>
        </w:rPr>
      </w:pPr>
      <w:r>
        <w:rPr>
          <w:rFonts w:hint="eastAsia"/>
          <w:lang w:eastAsia="zh-CN"/>
        </w:rPr>
        <w:t>石安河全长55km，河底宽度20～30m，集水面积173km2，排水流量660m</w:t>
      </w:r>
      <w:r>
        <w:rPr>
          <w:rFonts w:hint="eastAsia"/>
          <w:vertAlign w:val="superscript"/>
          <w:lang w:eastAsia="zh-CN"/>
        </w:rPr>
        <w:t>3</w:t>
      </w:r>
      <w:r>
        <w:rPr>
          <w:rFonts w:hint="eastAsia"/>
          <w:lang w:eastAsia="zh-CN"/>
        </w:rPr>
        <w:t>/s，是一条集饮用、工业用水、排洪、灌溉为一体的综合性河流。</w:t>
      </w:r>
    </w:p>
    <w:p>
      <w:pPr>
        <w:bidi w:val="0"/>
        <w:rPr>
          <w:rFonts w:hint="eastAsia"/>
          <w:lang w:eastAsia="zh-CN"/>
        </w:rPr>
      </w:pPr>
      <w:r>
        <w:rPr>
          <w:rFonts w:hint="eastAsia"/>
          <w:lang w:eastAsia="zh-CN"/>
        </w:rPr>
        <w:t>鲁兰河在东海境内长30km，自横沟水库经富安桥汇入蔷薇河，集水面积280km</w:t>
      </w:r>
      <w:r>
        <w:rPr>
          <w:rFonts w:hint="eastAsia"/>
          <w:vertAlign w:val="superscript"/>
          <w:lang w:eastAsia="zh-CN"/>
        </w:rPr>
        <w:t>2</w:t>
      </w:r>
      <w:r>
        <w:rPr>
          <w:rFonts w:hint="eastAsia"/>
          <w:lang w:eastAsia="zh-CN"/>
        </w:rPr>
        <w:t>，排水流量165～335m</w:t>
      </w:r>
      <w:r>
        <w:rPr>
          <w:rFonts w:hint="eastAsia"/>
          <w:vertAlign w:val="superscript"/>
          <w:lang w:eastAsia="zh-CN"/>
        </w:rPr>
        <w:t>3</w:t>
      </w:r>
      <w:r>
        <w:rPr>
          <w:rFonts w:hint="eastAsia"/>
          <w:lang w:eastAsia="zh-CN"/>
        </w:rPr>
        <w:t>/s。</w:t>
      </w:r>
    </w:p>
    <w:p>
      <w:pPr>
        <w:bidi w:val="0"/>
        <w:rPr>
          <w:rFonts w:hint="eastAsia"/>
          <w:lang w:eastAsia="zh-CN"/>
        </w:rPr>
      </w:pPr>
      <w:r>
        <w:rPr>
          <w:rFonts w:hint="eastAsia"/>
          <w:lang w:eastAsia="zh-CN"/>
        </w:rPr>
        <w:t>龙梁河位于县境西部的丘陵山区，全长65km，自大石埠水库，经石梁河镇、南辰乡、温泉镇、双店镇、洪庄镇、桃林镇、青湖镇、横沟乡等乡镇，通向石梁河水库，集水面积168km</w:t>
      </w:r>
      <w:r>
        <w:rPr>
          <w:rFonts w:hint="eastAsia"/>
          <w:vertAlign w:val="superscript"/>
          <w:lang w:eastAsia="zh-CN"/>
        </w:rPr>
        <w:t>2</w:t>
      </w:r>
      <w:r>
        <w:rPr>
          <w:rFonts w:hint="eastAsia"/>
          <w:lang w:eastAsia="zh-CN"/>
        </w:rPr>
        <w:t>，排水流量110～200m</w:t>
      </w:r>
      <w:r>
        <w:rPr>
          <w:rFonts w:hint="eastAsia"/>
          <w:vertAlign w:val="superscript"/>
          <w:lang w:eastAsia="zh-CN"/>
        </w:rPr>
        <w:t>3</w:t>
      </w:r>
      <w:r>
        <w:rPr>
          <w:rFonts w:hint="eastAsia"/>
          <w:lang w:eastAsia="zh-CN"/>
        </w:rPr>
        <w:t>/s。</w:t>
      </w:r>
    </w:p>
    <w:p>
      <w:pPr>
        <w:bidi w:val="0"/>
        <w:rPr>
          <w:rFonts w:hint="eastAsia"/>
          <w:lang w:eastAsia="zh-CN"/>
        </w:rPr>
      </w:pPr>
      <w:r>
        <w:rPr>
          <w:rFonts w:hint="eastAsia"/>
          <w:lang w:eastAsia="zh-CN"/>
        </w:rPr>
        <w:t>乌龙河东西走向，全长27km，集水面积213km</w:t>
      </w:r>
      <w:r>
        <w:rPr>
          <w:rFonts w:hint="eastAsia"/>
          <w:vertAlign w:val="superscript"/>
          <w:lang w:eastAsia="zh-CN"/>
        </w:rPr>
        <w:t>2</w:t>
      </w:r>
      <w:r>
        <w:rPr>
          <w:rFonts w:hint="eastAsia"/>
          <w:lang w:eastAsia="zh-CN"/>
        </w:rPr>
        <w:t>，排水流量105～206m</w:t>
      </w:r>
      <w:r>
        <w:rPr>
          <w:rFonts w:hint="eastAsia"/>
          <w:vertAlign w:val="superscript"/>
          <w:lang w:eastAsia="zh-CN"/>
        </w:rPr>
        <w:t>3</w:t>
      </w:r>
      <w:r>
        <w:rPr>
          <w:rFonts w:hint="eastAsia"/>
          <w:lang w:eastAsia="zh-CN"/>
        </w:rPr>
        <w:t>/s，流经青湖、黄川等镇。</w:t>
      </w:r>
    </w:p>
    <w:p>
      <w:pPr>
        <w:bidi w:val="0"/>
        <w:rPr>
          <w:rFonts w:hint="eastAsia"/>
          <w:lang w:eastAsia="zh-CN"/>
        </w:rPr>
      </w:pPr>
      <w:r>
        <w:rPr>
          <w:rFonts w:hint="eastAsia"/>
          <w:lang w:eastAsia="zh-CN"/>
        </w:rPr>
        <w:t>新沭河是为使沭河洪水直接入海而开挖的排洪河道。自山东省临沭县大官庄起，东穿马陵山，于大兴镇东入东海境，穿过石梁河水库，经东海、赣榆两县和连云港市区在临洪口入海，全长78公里。</w:t>
      </w:r>
    </w:p>
    <w:p>
      <w:pPr>
        <w:bidi w:val="0"/>
        <w:rPr>
          <w:rFonts w:hint="eastAsia"/>
          <w:lang w:eastAsia="zh-CN"/>
        </w:rPr>
      </w:pPr>
      <w:r>
        <w:rPr>
          <w:rFonts w:hint="eastAsia"/>
          <w:lang w:eastAsia="zh-CN"/>
        </w:rPr>
        <w:t>石梁河水库位于新沭河中游，地处苏鲁两省东海、赣榆、临沭三县交界处，是江苏省最大的人工水库，设计总库容量5.31亿m</w:t>
      </w:r>
      <w:r>
        <w:rPr>
          <w:rFonts w:hint="eastAsia"/>
          <w:vertAlign w:val="superscript"/>
          <w:lang w:eastAsia="zh-CN"/>
        </w:rPr>
        <w:t>3</w:t>
      </w:r>
      <w:r>
        <w:rPr>
          <w:rFonts w:hint="eastAsia"/>
          <w:lang w:eastAsia="zh-CN"/>
        </w:rPr>
        <w:t>，最高水位22.5m，坝顶宽31m，水库的功能是防洪、蓄水、灌溉、工业用水和饮用水源。</w:t>
      </w:r>
    </w:p>
    <w:p>
      <w:pPr>
        <w:bidi w:val="0"/>
        <w:rPr>
          <w:rFonts w:hint="eastAsia"/>
          <w:lang w:eastAsia="zh-CN"/>
        </w:rPr>
      </w:pPr>
      <w:r>
        <w:rPr>
          <w:rFonts w:hint="eastAsia"/>
          <w:lang w:eastAsia="zh-CN"/>
        </w:rPr>
        <w:t>安峰山水库库容量1291万m</w:t>
      </w:r>
      <w:r>
        <w:rPr>
          <w:rFonts w:hint="eastAsia"/>
          <w:vertAlign w:val="superscript"/>
          <w:lang w:eastAsia="zh-CN"/>
        </w:rPr>
        <w:t>3</w:t>
      </w:r>
      <w:r>
        <w:rPr>
          <w:rFonts w:hint="eastAsia"/>
          <w:lang w:eastAsia="zh-CN"/>
        </w:rPr>
        <w:t>，南北长9km，东西宽4km，集水面积36km</w:t>
      </w:r>
      <w:r>
        <w:rPr>
          <w:rFonts w:hint="eastAsia"/>
          <w:vertAlign w:val="superscript"/>
          <w:lang w:eastAsia="zh-CN"/>
        </w:rPr>
        <w:t>2</w:t>
      </w:r>
      <w:r>
        <w:rPr>
          <w:rFonts w:hint="eastAsia"/>
          <w:lang w:eastAsia="zh-CN"/>
        </w:rPr>
        <w:t>，水库的功能是防洪、蓄水、灌溉、工业用水和饮用水源。</w:t>
      </w:r>
    </w:p>
    <w:p>
      <w:pPr>
        <w:bidi w:val="0"/>
        <w:rPr>
          <w:rFonts w:hint="eastAsia"/>
          <w:lang w:eastAsia="zh-CN"/>
        </w:rPr>
      </w:pPr>
      <w:r>
        <w:rPr>
          <w:rFonts w:hint="eastAsia"/>
          <w:lang w:eastAsia="zh-CN"/>
        </w:rPr>
        <w:t>张谷水库位于东海县城西南5公里处，总库容为570.75万m</w:t>
      </w:r>
      <w:r>
        <w:rPr>
          <w:rFonts w:hint="eastAsia"/>
          <w:vertAlign w:val="superscript"/>
          <w:lang w:eastAsia="zh-CN"/>
        </w:rPr>
        <w:t>3</w:t>
      </w:r>
      <w:r>
        <w:rPr>
          <w:rFonts w:hint="eastAsia"/>
          <w:lang w:eastAsia="zh-CN"/>
        </w:rPr>
        <w:t>，集水面积为20.7km</w:t>
      </w:r>
      <w:r>
        <w:rPr>
          <w:rFonts w:hint="eastAsia"/>
          <w:vertAlign w:val="superscript"/>
          <w:lang w:eastAsia="zh-CN"/>
        </w:rPr>
        <w:t>2</w:t>
      </w:r>
      <w:r>
        <w:rPr>
          <w:rFonts w:hint="eastAsia"/>
          <w:lang w:eastAsia="zh-CN"/>
        </w:rPr>
        <w:t>，常年正常库容量为100万m</w:t>
      </w:r>
      <w:r>
        <w:rPr>
          <w:rFonts w:hint="eastAsia"/>
          <w:vertAlign w:val="superscript"/>
          <w:lang w:eastAsia="zh-CN"/>
        </w:rPr>
        <w:t>3</w:t>
      </w:r>
      <w:r>
        <w:rPr>
          <w:rFonts w:hint="eastAsia"/>
          <w:lang w:eastAsia="zh-CN"/>
        </w:rPr>
        <w:t>左右，是周边自然村的主要灌溉水源。</w:t>
      </w:r>
    </w:p>
    <w:p>
      <w:pPr>
        <w:bidi w:val="0"/>
        <w:rPr>
          <w:rFonts w:hint="eastAsia"/>
          <w:lang w:eastAsia="zh-CN"/>
        </w:rPr>
      </w:pPr>
      <w:r>
        <w:rPr>
          <w:rFonts w:hint="eastAsia"/>
          <w:lang w:eastAsia="zh-CN"/>
        </w:rPr>
        <w:t>项目建设地周围水系情况见图4.1-2。</w:t>
      </w:r>
    </w:p>
    <w:p>
      <w:pPr>
        <w:pStyle w:val="5"/>
        <w:bidi w:val="0"/>
        <w:rPr>
          <w:lang w:eastAsia="zh-CN"/>
        </w:rPr>
      </w:pPr>
      <w:r>
        <w:rPr>
          <w:rFonts w:hint="eastAsia"/>
          <w:lang w:eastAsia="zh-CN"/>
        </w:rPr>
        <w:t>4</w:t>
      </w:r>
      <w:r>
        <w:t>.1.</w:t>
      </w:r>
      <w:bookmarkEnd w:id="54"/>
      <w:r>
        <w:rPr>
          <w:lang w:eastAsia="zh-CN"/>
        </w:rPr>
        <w:t xml:space="preserve">6  </w:t>
      </w:r>
      <w:bookmarkEnd w:id="55"/>
      <w:bookmarkStart w:id="56" w:name="_Toc317838799"/>
      <w:r>
        <w:rPr>
          <w:rFonts w:hint="eastAsia"/>
          <w:lang w:eastAsia="zh-CN"/>
        </w:rPr>
        <w:t>植被、生物多样性</w:t>
      </w:r>
    </w:p>
    <w:p>
      <w:pPr>
        <w:bidi w:val="0"/>
        <w:rPr>
          <w:rFonts w:hint="eastAsia"/>
          <w:lang w:eastAsia="zh-CN"/>
        </w:rPr>
      </w:pPr>
      <w:r>
        <w:rPr>
          <w:rFonts w:hint="eastAsia"/>
          <w:lang w:eastAsia="zh-CN"/>
        </w:rPr>
        <w:t>区域主要为农田生态系统，植被较好，主要农作物为水稻、小麦，有少量黄豆、花生。安峰山上有獾、刺猬、松鼠等动物，无珍稀濒危保护动植物。安峰镇动植物以家禽和人工植被为主，野生动物主要多为野兔，野鸡等。其他地区为平原农业区，属农田生态系统，植被较好，境内无裸露地表，植被覆盖率为90%左右。主要种植水稻、小麦、花生、蔬菜等农作物，饲养家畜、家禽和水产养殖。地带性植被属落叶林带，现有林木以农田林网和四旁种植为主，人工栽培的植物主要有杨、柳、榆、桑等。境内有较丰富的野生动植物资源，野生动物有狗獾、刺猬、野兔、蝙蝠、地鳖虫、蛇和鸟类等，还有螯虫、斑蝥、蟾酥等可供药用的昆虫；野生植物种类繁多，其中可供药用的有皂英刺、半夏、石菖蒲等200多种。本地区内无自然保护区，也没有国家重点保护的珍稀濒危物种。</w:t>
      </w:r>
    </w:p>
    <w:p>
      <w:pPr>
        <w:pStyle w:val="5"/>
        <w:bidi w:val="0"/>
        <w:rPr>
          <w:lang w:eastAsia="zh-CN"/>
        </w:rPr>
      </w:pPr>
      <w:r>
        <w:rPr>
          <w:rFonts w:hint="eastAsia"/>
          <w:lang w:eastAsia="zh-CN"/>
        </w:rPr>
        <w:t>4</w:t>
      </w:r>
      <w:r>
        <w:t>.1.</w:t>
      </w:r>
      <w:r>
        <w:rPr>
          <w:rFonts w:hint="eastAsia"/>
          <w:lang w:eastAsia="zh-CN"/>
        </w:rPr>
        <w:t>7</w:t>
      </w:r>
      <w:r>
        <w:rPr>
          <w:lang w:eastAsia="zh-CN"/>
        </w:rPr>
        <w:t xml:space="preserve">  </w:t>
      </w:r>
      <w:r>
        <w:rPr>
          <w:rFonts w:hint="eastAsia"/>
          <w:lang w:eastAsia="zh-CN"/>
        </w:rPr>
        <w:t>地下水</w:t>
      </w:r>
    </w:p>
    <w:p>
      <w:pPr>
        <w:bidi w:val="0"/>
        <w:rPr>
          <w:rFonts w:hint="eastAsia"/>
          <w:lang w:eastAsia="zh-CN"/>
        </w:rPr>
      </w:pPr>
      <w:r>
        <w:rPr>
          <w:rFonts w:hint="eastAsia"/>
          <w:lang w:eastAsia="zh-CN"/>
        </w:rPr>
        <w:t>根据含水层岩性、赋层条件及水利特征，地下水可分为松散岩类孔隙水和基岩裂隙水两大类型。受地层和海水影响，工程所在地地下水水位一般在0.35m～0.95m之间，水质无色、透明，含盐分较高，有苦味，无开发利用价值。</w:t>
      </w:r>
    </w:p>
    <w:p>
      <w:pPr>
        <w:pStyle w:val="5"/>
        <w:bidi w:val="0"/>
        <w:rPr>
          <w:rFonts w:hint="eastAsia"/>
          <w:lang w:eastAsia="zh-CN"/>
        </w:rPr>
      </w:pPr>
      <w:r>
        <w:rPr>
          <w:rFonts w:hint="eastAsia"/>
          <w:lang w:eastAsia="zh-CN"/>
        </w:rPr>
        <w:t>4.1.8  土壤环境</w:t>
      </w:r>
    </w:p>
    <w:p>
      <w:pPr>
        <w:bidi w:val="0"/>
        <w:rPr>
          <w:rFonts w:hint="eastAsia"/>
          <w:lang w:eastAsia="zh-CN"/>
        </w:rPr>
      </w:pPr>
      <w:r>
        <w:rPr>
          <w:rFonts w:hint="eastAsia"/>
          <w:lang w:eastAsia="zh-CN"/>
        </w:rPr>
        <w:t>东海县土地总面积2037平方公里，其中耕地1170平方公里，占总面积的57.44%；水面523.5平方公里，占总面积的23.27%；林地217平方公里，占总面积的9.64%；其他类型土地216.2平方公里，占总面积的9.61%。东海县具有地带性土壤，分为6个土类、11个亚类、17个土属。</w:t>
      </w:r>
    </w:p>
    <w:p>
      <w:pPr>
        <w:pStyle w:val="5"/>
        <w:bidi w:val="0"/>
        <w:rPr>
          <w:rFonts w:hint="eastAsia"/>
          <w:lang w:eastAsia="zh-CN"/>
        </w:rPr>
      </w:pPr>
      <w:r>
        <w:rPr>
          <w:rFonts w:hint="eastAsia"/>
          <w:lang w:eastAsia="zh-CN"/>
        </w:rPr>
        <w:t xml:space="preserve">4.1.9  </w:t>
      </w:r>
      <w:r>
        <w:rPr>
          <w:lang w:eastAsia="zh-CN"/>
        </w:rPr>
        <w:t>矿产及地热资源</w:t>
      </w:r>
    </w:p>
    <w:p>
      <w:pPr>
        <w:bidi w:val="0"/>
        <w:rPr>
          <w:rFonts w:hint="eastAsia"/>
          <w:lang w:eastAsia="zh-CN"/>
        </w:rPr>
      </w:pPr>
      <w:r>
        <w:rPr>
          <w:rFonts w:hint="eastAsia"/>
          <w:lang w:eastAsia="zh-CN"/>
        </w:rPr>
        <w:t>东海县矿藏资源丰富，已经探明的矿藏种类有37种，其中尤其以水晶闻名国内外，被誉为“水晶之都”。东海水晶按其贮存状态可分为原生矿与次生矿，总储量达到30万吨，主要分布在陈集、池庄-曹林、牛山、柘塘-南榴、八湖-红土山-董马庄、马小埠一线，尤以红土山周围为最集中地产区。东海云母矿石江苏省内唯一云母产地，发现矿脉32条，主要分布在陆湖、青龙山、埠后、池庄、黄树、双店等地。</w:t>
      </w:r>
    </w:p>
    <w:p>
      <w:pPr>
        <w:bidi w:val="0"/>
        <w:rPr>
          <w:lang w:eastAsia="zh-CN"/>
        </w:rPr>
      </w:pPr>
      <w:r>
        <w:rPr>
          <w:lang w:eastAsia="zh-CN"/>
        </w:rPr>
        <w:t>东海县地热资源主要分布在温泉镇，热水埋深约200～250米，水温27～82℃，属大气降水深循环断裂型中低温地下热水，其中含有多种对人体有益的微量元素，氡、氟和溶解二氧化硅含量达到矿泉水标准。</w:t>
      </w:r>
    </w:p>
    <w:p>
      <w:pPr>
        <w:pStyle w:val="5"/>
        <w:bidi w:val="0"/>
      </w:pPr>
      <w:r>
        <w:rPr>
          <w:rFonts w:hint="eastAsia"/>
          <w:lang w:val="en-US" w:eastAsia="zh-CN"/>
        </w:rPr>
        <w:t>4.1.10</w:t>
      </w:r>
      <w:r>
        <w:t>生态环境状况</w:t>
      </w:r>
    </w:p>
    <w:p>
      <w:pPr>
        <w:bidi w:val="0"/>
      </w:pPr>
      <w:r>
        <w:t>区域平坦地带主要为工业用地及农田，现状存在植被主要为人工绿化植物和庄稼地。区域内有少量鼠类、蛙类等小型动物；无珍稀濒危野生动物。项目所在区域主要生态保护目标为西双湖重要湿地。</w:t>
      </w:r>
    </w:p>
    <w:p>
      <w:pPr>
        <w:bidi w:val="0"/>
      </w:pPr>
      <w:r>
        <w:t>西双湖重要湿地包括西双湖水库库区范围，总面积6平方公里，作为二级管控区。</w:t>
      </w:r>
    </w:p>
    <w:p>
      <w:pPr>
        <w:bidi w:val="0"/>
      </w:pPr>
      <w:r>
        <w:t>主要生态功能：湿地生态系统保护。</w:t>
      </w:r>
    </w:p>
    <w:p>
      <w:pPr>
        <w:bidi w:val="0"/>
      </w:pPr>
      <w:r>
        <w:t>保护对策：除法律法规有特别规定外，禁止从事下列活动：开（围）垦湿地，放牧、捕捞；填埋、排干湿地或者擅自改变湿地用途；取用或者截断湿地水源；挖砂、取土、开矿；排放生活污水、工业废水；破坏野生动物栖息地、鱼类洄游通道，采挖野生植物或者猎捕野生动物；引进外来物种；其他破坏湿地及其生态功能的活动。</w:t>
      </w:r>
    </w:p>
    <w:p>
      <w:pPr>
        <w:pStyle w:val="5"/>
        <w:bidi w:val="0"/>
      </w:pPr>
      <w:bookmarkStart w:id="57" w:name="_Toc498534157"/>
      <w:r>
        <w:rPr>
          <w:rFonts w:hint="eastAsia"/>
          <w:lang w:val="en-US" w:eastAsia="zh-CN"/>
        </w:rPr>
        <w:t>4.1.11</w:t>
      </w:r>
      <w:r>
        <w:t>人群健康和生活质量概况</w:t>
      </w:r>
      <w:bookmarkEnd w:id="57"/>
    </w:p>
    <w:p>
      <w:pPr>
        <w:bidi w:val="0"/>
      </w:pPr>
      <w:r>
        <w:t>实行改革开放以来，连云港市城乡居民生活水平有了较大提高，市民健康状况良好，无地方病存在和发生。</w:t>
      </w:r>
    </w:p>
    <w:bookmarkEnd w:id="56"/>
    <w:p>
      <w:pPr>
        <w:pStyle w:val="4"/>
        <w:bidi w:val="0"/>
        <w:rPr>
          <w:rFonts w:hint="default"/>
          <w:lang w:val="en-US" w:eastAsia="zh-CN"/>
        </w:rPr>
      </w:pPr>
      <w:bookmarkStart w:id="58" w:name="_Toc22256"/>
      <w:r>
        <w:rPr>
          <w:rFonts w:hint="eastAsia"/>
          <w:lang w:val="en-US" w:eastAsia="zh-CN"/>
        </w:rPr>
        <w:t>4.2 环境保护目标调查</w:t>
      </w:r>
      <w:bookmarkEnd w:id="58"/>
    </w:p>
    <w:p>
      <w:pPr>
        <w:spacing w:line="500" w:lineRule="exact"/>
        <w:ind w:firstLine="480" w:firstLineChars="200"/>
        <w:rPr>
          <w:rFonts w:ascii="Times New Roman" w:hAnsi="Times New Roman" w:eastAsia="宋体"/>
        </w:rPr>
      </w:pPr>
      <w:r>
        <w:rPr>
          <w:rFonts w:ascii="Times New Roman" w:hAnsi="Times New Roman" w:eastAsia="宋体"/>
          <w:sz w:val="24"/>
        </w:rPr>
        <w:t>本项目主要环境保护目标见表</w:t>
      </w:r>
      <w:r>
        <w:rPr>
          <w:rFonts w:hint="eastAsia" w:ascii="Times New Roman" w:hAnsi="Times New Roman" w:eastAsia="宋体"/>
          <w:sz w:val="24"/>
        </w:rPr>
        <w:t>3</w:t>
      </w:r>
      <w:r>
        <w:rPr>
          <w:rFonts w:ascii="Times New Roman" w:hAnsi="Times New Roman" w:eastAsia="宋体"/>
          <w:sz w:val="24"/>
        </w:rPr>
        <w:t>-</w:t>
      </w:r>
      <w:r>
        <w:rPr>
          <w:rFonts w:hint="eastAsia" w:ascii="Times New Roman" w:hAnsi="Times New Roman" w:eastAsia="宋体"/>
          <w:sz w:val="24"/>
        </w:rPr>
        <w:t>1</w:t>
      </w:r>
      <w:r>
        <w:rPr>
          <w:rFonts w:ascii="Times New Roman" w:hAnsi="Times New Roman" w:eastAsia="宋体"/>
          <w:sz w:val="24"/>
        </w:rPr>
        <w:t>、表</w:t>
      </w:r>
      <w:r>
        <w:rPr>
          <w:rFonts w:hint="eastAsia" w:ascii="Times New Roman" w:hAnsi="Times New Roman" w:eastAsia="宋体"/>
          <w:sz w:val="24"/>
        </w:rPr>
        <w:t>3</w:t>
      </w:r>
      <w:r>
        <w:rPr>
          <w:rFonts w:ascii="Times New Roman" w:hAnsi="Times New Roman" w:eastAsia="宋体"/>
          <w:sz w:val="24"/>
        </w:rPr>
        <w:t>-</w:t>
      </w:r>
      <w:r>
        <w:rPr>
          <w:rFonts w:hint="eastAsia" w:ascii="Times New Roman" w:hAnsi="Times New Roman" w:eastAsia="宋体"/>
          <w:sz w:val="24"/>
        </w:rPr>
        <w:t>2</w:t>
      </w:r>
      <w:r>
        <w:rPr>
          <w:rFonts w:ascii="Times New Roman" w:hAnsi="Times New Roman" w:eastAsia="宋体"/>
          <w:sz w:val="24"/>
        </w:rPr>
        <w:t>、表</w:t>
      </w:r>
      <w:r>
        <w:rPr>
          <w:rFonts w:hint="eastAsia" w:ascii="Times New Roman" w:hAnsi="Times New Roman" w:eastAsia="宋体"/>
          <w:sz w:val="24"/>
        </w:rPr>
        <w:t>3</w:t>
      </w:r>
      <w:r>
        <w:rPr>
          <w:rFonts w:ascii="Times New Roman" w:hAnsi="Times New Roman" w:eastAsia="宋体"/>
          <w:sz w:val="24"/>
        </w:rPr>
        <w:t>-</w:t>
      </w:r>
      <w:r>
        <w:rPr>
          <w:rFonts w:hint="eastAsia" w:ascii="Times New Roman" w:hAnsi="Times New Roman" w:eastAsia="宋体"/>
          <w:sz w:val="24"/>
        </w:rPr>
        <w:t>3</w:t>
      </w:r>
      <w:r>
        <w:rPr>
          <w:rFonts w:ascii="Times New Roman" w:hAnsi="Times New Roman" w:eastAsia="宋体"/>
          <w:sz w:val="24"/>
        </w:rPr>
        <w:t>及附图2。</w:t>
      </w: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p>
    <w:p>
      <w:pPr>
        <w:snapToGrid w:val="0"/>
        <w:spacing w:line="500" w:lineRule="exact"/>
        <w:ind w:firstLine="562" w:firstLineChars="200"/>
        <w:jc w:val="center"/>
        <w:rPr>
          <w:rFonts w:ascii="Times New Roman" w:hAnsi="Times New Roman" w:eastAsia="宋体"/>
          <w:b/>
          <w:szCs w:val="21"/>
        </w:rPr>
      </w:pPr>
      <w:r>
        <w:rPr>
          <w:rFonts w:ascii="Times New Roman" w:hAnsi="Times New Roman" w:eastAsia="宋体"/>
          <w:b/>
          <w:szCs w:val="21"/>
        </w:rPr>
        <w:t>表</w:t>
      </w:r>
      <w:r>
        <w:rPr>
          <w:rFonts w:hint="eastAsia"/>
          <w:b/>
          <w:szCs w:val="21"/>
          <w:lang w:val="en-US" w:eastAsia="zh-CN"/>
        </w:rPr>
        <w:t>4.2-1</w:t>
      </w:r>
      <w:r>
        <w:rPr>
          <w:rFonts w:ascii="Times New Roman" w:hAnsi="Times New Roman" w:eastAsia="宋体"/>
          <w:b/>
          <w:szCs w:val="21"/>
        </w:rPr>
        <w:t>项目主要大气环境保护目标表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42"/>
        <w:gridCol w:w="1043"/>
        <w:gridCol w:w="754"/>
        <w:gridCol w:w="994"/>
        <w:gridCol w:w="2875"/>
        <w:gridCol w:w="79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03" w:type="dxa"/>
            <w:vMerge w:val="restart"/>
            <w:tcBorders>
              <w:tl2br w:val="nil"/>
              <w:tr2bl w:val="nil"/>
            </w:tcBorders>
            <w:noWrap w:val="0"/>
            <w:tcMar>
              <w:left w:w="28" w:type="dxa"/>
              <w:right w:w="28" w:type="dxa"/>
            </w:tcMar>
            <w:vAlign w:val="center"/>
          </w:tcPr>
          <w:p>
            <w:pPr>
              <w:pStyle w:val="28"/>
              <w:suppressLineNumbers w:val="0"/>
              <w:bidi w:val="0"/>
              <w:spacing w:before="0" w:after="0"/>
              <w:ind w:left="0" w:right="0"/>
            </w:pPr>
            <w:r>
              <w:t>名称</w:t>
            </w:r>
          </w:p>
        </w:tc>
        <w:tc>
          <w:tcPr>
            <w:tcW w:w="1885" w:type="dxa"/>
            <w:gridSpan w:val="2"/>
            <w:tcBorders>
              <w:tl2br w:val="nil"/>
              <w:tr2bl w:val="nil"/>
            </w:tcBorders>
            <w:noWrap w:val="0"/>
            <w:vAlign w:val="center"/>
          </w:tcPr>
          <w:p>
            <w:pPr>
              <w:pStyle w:val="28"/>
              <w:suppressLineNumbers w:val="0"/>
              <w:bidi w:val="0"/>
              <w:spacing w:before="0" w:after="0"/>
              <w:ind w:left="0" w:right="0"/>
            </w:pPr>
            <w:r>
              <w:t>坐标/m</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保护对象</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保护内容</w:t>
            </w:r>
          </w:p>
        </w:tc>
        <w:tc>
          <w:tcPr>
            <w:tcW w:w="2875" w:type="dxa"/>
            <w:vMerge w:val="restart"/>
            <w:tcBorders>
              <w:tl2br w:val="nil"/>
              <w:tr2bl w:val="nil"/>
            </w:tcBorders>
            <w:noWrap w:val="0"/>
            <w:vAlign w:val="center"/>
          </w:tcPr>
          <w:p>
            <w:pPr>
              <w:pStyle w:val="28"/>
              <w:suppressLineNumbers w:val="0"/>
              <w:bidi w:val="0"/>
              <w:spacing w:before="0" w:after="0"/>
              <w:ind w:left="0" w:right="0"/>
            </w:pPr>
            <w:r>
              <w:t>环境功能区</w:t>
            </w:r>
          </w:p>
        </w:tc>
        <w:tc>
          <w:tcPr>
            <w:tcW w:w="795"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相对厂址</w:t>
            </w:r>
            <w:r>
              <w:t>方位</w:t>
            </w:r>
          </w:p>
        </w:tc>
        <w:tc>
          <w:tcPr>
            <w:tcW w:w="1234"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w:t>
            </w:r>
            <w:r>
              <w:t>厂界距离</w:t>
            </w:r>
            <w:r>
              <w:rPr>
                <w:rFonts w:hint="eastAsia"/>
                <w:lang w:val="en-US" w:eastAsia="zh-CN"/>
              </w:rPr>
              <w:t>/</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203" w:type="dxa"/>
            <w:vMerge w:val="continue"/>
            <w:tcBorders>
              <w:tl2br w:val="nil"/>
              <w:tr2bl w:val="nil"/>
            </w:tcBorders>
            <w:noWrap w:val="0"/>
            <w:tcMar>
              <w:left w:w="28" w:type="dxa"/>
              <w:right w:w="28" w:type="dxa"/>
            </w:tcMar>
            <w:vAlign w:val="center"/>
          </w:tcPr>
          <w:p>
            <w:pPr>
              <w:pStyle w:val="28"/>
              <w:suppressLineNumbers w:val="0"/>
              <w:bidi w:val="0"/>
              <w:spacing w:before="0" w:after="0"/>
              <w:ind w:left="0" w:right="0"/>
              <w:outlineLvl w:val="9"/>
            </w:pPr>
          </w:p>
        </w:tc>
        <w:tc>
          <w:tcPr>
            <w:tcW w:w="842" w:type="dxa"/>
            <w:tcBorders>
              <w:tl2br w:val="nil"/>
              <w:tr2bl w:val="nil"/>
            </w:tcBorders>
            <w:noWrap w:val="0"/>
            <w:vAlign w:val="center"/>
          </w:tcPr>
          <w:p>
            <w:pPr>
              <w:pStyle w:val="28"/>
              <w:suppressLineNumbers w:val="0"/>
              <w:bidi w:val="0"/>
              <w:spacing w:before="0" w:after="0"/>
              <w:ind w:left="0" w:right="0"/>
            </w:pPr>
            <w:r>
              <w:t>X</w:t>
            </w:r>
          </w:p>
        </w:tc>
        <w:tc>
          <w:tcPr>
            <w:tcW w:w="1043" w:type="dxa"/>
            <w:tcBorders>
              <w:tl2br w:val="nil"/>
              <w:tr2bl w:val="nil"/>
            </w:tcBorders>
            <w:noWrap w:val="0"/>
            <w:vAlign w:val="center"/>
          </w:tcPr>
          <w:p>
            <w:pPr>
              <w:pStyle w:val="28"/>
              <w:suppressLineNumbers w:val="0"/>
              <w:bidi w:val="0"/>
              <w:spacing w:before="0" w:after="0"/>
              <w:ind w:left="0" w:right="0"/>
            </w:pPr>
            <w:r>
              <w:t>Y</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pPr>
          </w:p>
        </w:tc>
        <w:tc>
          <w:tcPr>
            <w:tcW w:w="795" w:type="dxa"/>
            <w:vMerge w:val="continue"/>
            <w:tcBorders>
              <w:tl2br w:val="nil"/>
              <w:tr2bl w:val="nil"/>
            </w:tcBorders>
            <w:noWrap w:val="0"/>
            <w:vAlign w:val="center"/>
          </w:tcPr>
          <w:p>
            <w:pPr>
              <w:pStyle w:val="28"/>
              <w:suppressLineNumbers w:val="0"/>
              <w:bidi w:val="0"/>
              <w:spacing w:before="0" w:after="0"/>
              <w:ind w:left="0" w:right="0"/>
              <w:outlineLvl w:val="9"/>
            </w:pPr>
          </w:p>
        </w:tc>
        <w:tc>
          <w:tcPr>
            <w:tcW w:w="1234"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大丁旺村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239</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410</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居民区</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大气环境、环境风险</w:t>
            </w:r>
          </w:p>
        </w:tc>
        <w:tc>
          <w:tcPr>
            <w:tcW w:w="2875" w:type="dxa"/>
            <w:vMerge w:val="restart"/>
            <w:tcBorders>
              <w:tl2br w:val="nil"/>
              <w:tr2bl w:val="nil"/>
            </w:tcBorders>
            <w:noWrap w:val="0"/>
            <w:vAlign w:val="center"/>
          </w:tcPr>
          <w:p>
            <w:pPr>
              <w:pStyle w:val="28"/>
              <w:suppressLineNumbers w:val="0"/>
              <w:bidi w:val="0"/>
              <w:spacing w:before="0" w:after="0"/>
              <w:ind w:left="0" w:right="0"/>
            </w:pPr>
            <w:r>
              <w:t>《环境空气质量标准》（GB3095-2012）二级类区</w:t>
            </w: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西丁旺小学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772</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312</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eastAsia="zh-CN"/>
              </w:rPr>
            </w:pPr>
            <w:r>
              <w:rPr>
                <w:rFonts w:hint="eastAsia"/>
                <w:lang w:eastAsia="zh-CN"/>
              </w:rPr>
              <w:t>西丁旺村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365</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691</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丁后庄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鲁埠墩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西埠村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徐埠墩</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3840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2310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时湖村</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710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东旺村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尚庄村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1580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-650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张村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3860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小屯村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上河套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4130</w:t>
            </w:r>
          </w:p>
        </w:tc>
        <w:tc>
          <w:tcPr>
            <w:tcW w:w="104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-1680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北辰</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-1900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张顶</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640</w:t>
            </w:r>
          </w:p>
        </w:tc>
        <w:tc>
          <w:tcPr>
            <w:tcW w:w="1043" w:type="dxa"/>
            <w:tcBorders>
              <w:tl2br w:val="nil"/>
              <w:tr2bl w:val="nil"/>
            </w:tcBorders>
            <w:noWrap w:val="0"/>
            <w:vAlign w:val="center"/>
          </w:tcPr>
          <w:p>
            <w:pPr>
              <w:pStyle w:val="28"/>
              <w:suppressLineNumbers w:val="0"/>
              <w:bidi w:val="0"/>
              <w:spacing w:before="0" w:after="0"/>
              <w:ind w:left="0" w:right="0"/>
              <w:rPr>
                <w:b/>
                <w:bCs/>
              </w:rPr>
            </w:pPr>
            <w:r>
              <w:rPr>
                <w:rFonts w:hint="eastAsia"/>
                <w:lang w:val="en-US" w:eastAsia="zh-CN"/>
              </w:rPr>
              <w:t>-5230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花荡村  </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大房庄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-4660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河口村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-1370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青湖镇</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-560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打磨塘</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-4000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新庄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青湖中学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优圩子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朱咀雁</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张小店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-3620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齐庄村</w:t>
            </w:r>
          </w:p>
        </w:tc>
        <w:tc>
          <w:tcPr>
            <w:tcW w:w="842"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N</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东岭村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范围子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bl>
    <w:p>
      <w:pPr>
        <w:snapToGrid w:val="0"/>
        <w:rPr>
          <w:rFonts w:ascii="Times New Roman" w:hAnsi="Times New Roman" w:eastAsia="宋体"/>
          <w:sz w:val="18"/>
          <w:szCs w:val="18"/>
        </w:rPr>
      </w:pPr>
      <w:r>
        <w:rPr>
          <w:rFonts w:ascii="Times New Roman" w:hAnsi="Times New Roman" w:eastAsia="宋体"/>
          <w:sz w:val="18"/>
          <w:szCs w:val="18"/>
        </w:rPr>
        <w:t>注：本次评价以</w:t>
      </w:r>
      <w:r>
        <w:rPr>
          <w:rFonts w:hint="eastAsia" w:ascii="Times New Roman" w:hAnsi="Times New Roman" w:eastAsia="宋体"/>
          <w:sz w:val="18"/>
          <w:szCs w:val="18"/>
        </w:rPr>
        <w:t>项目</w:t>
      </w:r>
      <w:r>
        <w:rPr>
          <w:rFonts w:hint="eastAsia"/>
          <w:sz w:val="18"/>
          <w:szCs w:val="18"/>
          <w:lang w:eastAsia="zh-CN"/>
        </w:rPr>
        <w:t>厂界东北角</w:t>
      </w:r>
      <w:r>
        <w:rPr>
          <w:rFonts w:ascii="Times New Roman" w:hAnsi="Times New Roman" w:eastAsia="宋体"/>
          <w:sz w:val="18"/>
          <w:szCs w:val="18"/>
        </w:rPr>
        <w:t>为原点，坐标（0,0），东西方向为X轴、南北方向为Y轴，保护目标坐标为相对坐标。</w:t>
      </w:r>
    </w:p>
    <w:p>
      <w:pPr>
        <w:snapToGrid w:val="0"/>
        <w:spacing w:line="500" w:lineRule="exact"/>
        <w:ind w:firstLine="562" w:firstLineChars="200"/>
        <w:jc w:val="center"/>
        <w:rPr>
          <w:rFonts w:ascii="Times New Roman" w:hAnsi="Times New Roman" w:eastAsia="宋体"/>
          <w:b/>
          <w:szCs w:val="21"/>
        </w:rPr>
      </w:pPr>
    </w:p>
    <w:p>
      <w:pPr>
        <w:pStyle w:val="27"/>
        <w:bidi w:val="0"/>
      </w:pPr>
      <w:r>
        <w:t>表</w:t>
      </w:r>
      <w:r>
        <w:rPr>
          <w:rFonts w:hint="eastAsia"/>
          <w:lang w:val="en-US" w:eastAsia="zh-CN"/>
        </w:rPr>
        <w:t>4.2-2</w:t>
      </w:r>
      <w:r>
        <w:t>地表水主要环境保护目标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922"/>
        <w:gridCol w:w="918"/>
        <w:gridCol w:w="764"/>
        <w:gridCol w:w="922"/>
        <w:gridCol w:w="765"/>
        <w:gridCol w:w="921"/>
        <w:gridCol w:w="922"/>
        <w:gridCol w:w="766"/>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vMerge w:val="restart"/>
            <w:tcBorders>
              <w:tl2br w:val="nil"/>
              <w:tr2bl w:val="nil"/>
            </w:tcBorders>
            <w:noWrap w:val="0"/>
            <w:vAlign w:val="center"/>
          </w:tcPr>
          <w:p>
            <w:pPr>
              <w:pStyle w:val="28"/>
              <w:suppressLineNumbers w:val="0"/>
              <w:bidi w:val="0"/>
              <w:spacing w:before="0" w:after="0"/>
              <w:ind w:left="0" w:right="0"/>
            </w:pPr>
            <w:r>
              <w:t>保护</w:t>
            </w:r>
          </w:p>
          <w:p>
            <w:pPr>
              <w:pStyle w:val="28"/>
              <w:suppressLineNumbers w:val="0"/>
              <w:bidi w:val="0"/>
              <w:spacing w:before="0" w:after="0"/>
              <w:ind w:left="0" w:right="0"/>
            </w:pPr>
            <w:r>
              <w:t>对象</w:t>
            </w:r>
          </w:p>
        </w:tc>
        <w:tc>
          <w:tcPr>
            <w:tcW w:w="922" w:type="dxa"/>
            <w:vMerge w:val="restart"/>
            <w:tcBorders>
              <w:tl2br w:val="nil"/>
              <w:tr2bl w:val="nil"/>
            </w:tcBorders>
            <w:noWrap w:val="0"/>
            <w:vAlign w:val="center"/>
          </w:tcPr>
          <w:p>
            <w:pPr>
              <w:pStyle w:val="28"/>
              <w:suppressLineNumbers w:val="0"/>
              <w:bidi w:val="0"/>
              <w:spacing w:before="0" w:after="0"/>
              <w:ind w:left="0" w:right="0"/>
            </w:pPr>
            <w:r>
              <w:t>保护</w:t>
            </w:r>
          </w:p>
          <w:p>
            <w:pPr>
              <w:pStyle w:val="28"/>
              <w:suppressLineNumbers w:val="0"/>
              <w:bidi w:val="0"/>
              <w:spacing w:before="0" w:after="0"/>
              <w:ind w:left="0" w:right="0"/>
            </w:pPr>
            <w:r>
              <w:t>内容</w:t>
            </w:r>
          </w:p>
        </w:tc>
        <w:tc>
          <w:tcPr>
            <w:tcW w:w="3369" w:type="dxa"/>
            <w:gridSpan w:val="4"/>
            <w:tcBorders>
              <w:tl2br w:val="nil"/>
              <w:tr2bl w:val="nil"/>
            </w:tcBorders>
            <w:noWrap w:val="0"/>
            <w:vAlign w:val="center"/>
          </w:tcPr>
          <w:p>
            <w:pPr>
              <w:pStyle w:val="28"/>
              <w:suppressLineNumbers w:val="0"/>
              <w:bidi w:val="0"/>
              <w:spacing w:before="0" w:after="0"/>
              <w:ind w:left="0" w:right="0"/>
            </w:pPr>
            <w:r>
              <w:t>相对厂界m</w:t>
            </w:r>
          </w:p>
        </w:tc>
        <w:tc>
          <w:tcPr>
            <w:tcW w:w="2609" w:type="dxa"/>
            <w:gridSpan w:val="3"/>
            <w:tcBorders>
              <w:tl2br w:val="nil"/>
              <w:tr2bl w:val="nil"/>
            </w:tcBorders>
            <w:noWrap w:val="0"/>
            <w:vAlign w:val="center"/>
          </w:tcPr>
          <w:p>
            <w:pPr>
              <w:pStyle w:val="28"/>
              <w:suppressLineNumbers w:val="0"/>
              <w:bidi w:val="0"/>
              <w:spacing w:before="0" w:after="0"/>
              <w:ind w:left="0" w:right="0"/>
            </w:pPr>
            <w:r>
              <w:t>相对排放口m</w:t>
            </w:r>
          </w:p>
        </w:tc>
        <w:tc>
          <w:tcPr>
            <w:tcW w:w="1803" w:type="dxa"/>
            <w:vMerge w:val="restart"/>
            <w:tcBorders>
              <w:tl2br w:val="nil"/>
              <w:tr2bl w:val="nil"/>
            </w:tcBorders>
            <w:noWrap w:val="0"/>
            <w:vAlign w:val="center"/>
          </w:tcPr>
          <w:p>
            <w:pPr>
              <w:pStyle w:val="28"/>
              <w:suppressLineNumbers w:val="0"/>
              <w:bidi w:val="0"/>
              <w:spacing w:before="0" w:after="0"/>
              <w:ind w:left="0" w:right="0"/>
            </w:pPr>
            <w:r>
              <w:t>与本项目的水利联系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vMerge w:val="continue"/>
            <w:tcBorders>
              <w:tl2br w:val="nil"/>
              <w:tr2bl w:val="nil"/>
            </w:tcBorders>
            <w:noWrap w:val="0"/>
            <w:vAlign w:val="center"/>
          </w:tcPr>
          <w:p>
            <w:pPr>
              <w:pStyle w:val="28"/>
              <w:suppressLineNumbers w:val="0"/>
              <w:bidi w:val="0"/>
              <w:spacing w:before="0" w:after="0"/>
              <w:ind w:left="0" w:right="0"/>
              <w:outlineLvl w:val="9"/>
            </w:pPr>
          </w:p>
        </w:tc>
        <w:tc>
          <w:tcPr>
            <w:tcW w:w="922" w:type="dxa"/>
            <w:vMerge w:val="continue"/>
            <w:tcBorders>
              <w:tl2br w:val="nil"/>
              <w:tr2bl w:val="nil"/>
            </w:tcBorders>
            <w:noWrap w:val="0"/>
            <w:vAlign w:val="center"/>
          </w:tcPr>
          <w:p>
            <w:pPr>
              <w:pStyle w:val="28"/>
              <w:suppressLineNumbers w:val="0"/>
              <w:bidi w:val="0"/>
              <w:spacing w:before="0" w:after="0"/>
              <w:ind w:left="0" w:right="0"/>
              <w:outlineLvl w:val="9"/>
            </w:pPr>
          </w:p>
        </w:tc>
        <w:tc>
          <w:tcPr>
            <w:tcW w:w="918" w:type="dxa"/>
            <w:vMerge w:val="restart"/>
            <w:tcBorders>
              <w:tl2br w:val="nil"/>
              <w:tr2bl w:val="nil"/>
            </w:tcBorders>
            <w:noWrap w:val="0"/>
            <w:vAlign w:val="center"/>
          </w:tcPr>
          <w:p>
            <w:pPr>
              <w:pStyle w:val="28"/>
              <w:suppressLineNumbers w:val="0"/>
              <w:bidi w:val="0"/>
              <w:spacing w:before="0" w:after="0"/>
              <w:ind w:left="0" w:right="0"/>
            </w:pPr>
            <w:r>
              <w:t>距离</w:t>
            </w:r>
          </w:p>
        </w:tc>
        <w:tc>
          <w:tcPr>
            <w:tcW w:w="1686" w:type="dxa"/>
            <w:gridSpan w:val="2"/>
            <w:tcBorders>
              <w:tl2br w:val="nil"/>
              <w:tr2bl w:val="nil"/>
            </w:tcBorders>
            <w:noWrap w:val="0"/>
            <w:vAlign w:val="center"/>
          </w:tcPr>
          <w:p>
            <w:pPr>
              <w:pStyle w:val="28"/>
              <w:suppressLineNumbers w:val="0"/>
              <w:bidi w:val="0"/>
              <w:spacing w:before="0" w:after="0"/>
              <w:ind w:left="0" w:right="0"/>
            </w:pPr>
            <w:r>
              <w:t>坐标</w:t>
            </w:r>
          </w:p>
        </w:tc>
        <w:tc>
          <w:tcPr>
            <w:tcW w:w="765" w:type="dxa"/>
            <w:vMerge w:val="restart"/>
            <w:tcBorders>
              <w:tl2br w:val="nil"/>
              <w:tr2bl w:val="nil"/>
            </w:tcBorders>
            <w:noWrap w:val="0"/>
            <w:vAlign w:val="center"/>
          </w:tcPr>
          <w:p>
            <w:pPr>
              <w:pStyle w:val="28"/>
              <w:suppressLineNumbers w:val="0"/>
              <w:bidi w:val="0"/>
              <w:spacing w:before="0" w:after="0"/>
              <w:ind w:left="0" w:right="0"/>
            </w:pPr>
            <w:r>
              <w:t>高差</w:t>
            </w:r>
          </w:p>
        </w:tc>
        <w:tc>
          <w:tcPr>
            <w:tcW w:w="921" w:type="dxa"/>
            <w:vMerge w:val="restart"/>
            <w:tcBorders>
              <w:tl2br w:val="nil"/>
              <w:tr2bl w:val="nil"/>
            </w:tcBorders>
            <w:noWrap w:val="0"/>
            <w:vAlign w:val="center"/>
          </w:tcPr>
          <w:p>
            <w:pPr>
              <w:pStyle w:val="28"/>
              <w:suppressLineNumbers w:val="0"/>
              <w:bidi w:val="0"/>
              <w:spacing w:before="0" w:after="0"/>
              <w:ind w:left="0" w:right="0"/>
            </w:pPr>
            <w:r>
              <w:t>距离</w:t>
            </w:r>
          </w:p>
        </w:tc>
        <w:tc>
          <w:tcPr>
            <w:tcW w:w="1688" w:type="dxa"/>
            <w:gridSpan w:val="2"/>
            <w:tcBorders>
              <w:tl2br w:val="nil"/>
              <w:tr2bl w:val="nil"/>
            </w:tcBorders>
            <w:noWrap w:val="0"/>
            <w:vAlign w:val="center"/>
          </w:tcPr>
          <w:p>
            <w:pPr>
              <w:pStyle w:val="28"/>
              <w:suppressLineNumbers w:val="0"/>
              <w:bidi w:val="0"/>
              <w:spacing w:before="0" w:after="0"/>
              <w:ind w:left="0" w:right="0"/>
            </w:pPr>
            <w:r>
              <w:t>坐标</w:t>
            </w:r>
          </w:p>
        </w:tc>
        <w:tc>
          <w:tcPr>
            <w:tcW w:w="1803"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vMerge w:val="continue"/>
            <w:tcBorders>
              <w:tl2br w:val="nil"/>
              <w:tr2bl w:val="nil"/>
            </w:tcBorders>
            <w:noWrap w:val="0"/>
            <w:vAlign w:val="center"/>
          </w:tcPr>
          <w:p>
            <w:pPr>
              <w:pStyle w:val="28"/>
              <w:suppressLineNumbers w:val="0"/>
              <w:bidi w:val="0"/>
              <w:spacing w:before="0" w:after="0"/>
              <w:ind w:left="0" w:right="0"/>
              <w:outlineLvl w:val="9"/>
            </w:pPr>
          </w:p>
        </w:tc>
        <w:tc>
          <w:tcPr>
            <w:tcW w:w="922" w:type="dxa"/>
            <w:vMerge w:val="continue"/>
            <w:tcBorders>
              <w:tl2br w:val="nil"/>
              <w:tr2bl w:val="nil"/>
            </w:tcBorders>
            <w:noWrap w:val="0"/>
            <w:vAlign w:val="center"/>
          </w:tcPr>
          <w:p>
            <w:pPr>
              <w:pStyle w:val="28"/>
              <w:suppressLineNumbers w:val="0"/>
              <w:bidi w:val="0"/>
              <w:spacing w:before="0" w:after="0"/>
              <w:ind w:left="0" w:right="0"/>
              <w:outlineLvl w:val="9"/>
            </w:pPr>
          </w:p>
        </w:tc>
        <w:tc>
          <w:tcPr>
            <w:tcW w:w="918" w:type="dxa"/>
            <w:vMerge w:val="continue"/>
            <w:tcBorders>
              <w:tl2br w:val="nil"/>
              <w:tr2bl w:val="nil"/>
            </w:tcBorders>
            <w:noWrap w:val="0"/>
            <w:vAlign w:val="center"/>
          </w:tcPr>
          <w:p>
            <w:pPr>
              <w:pStyle w:val="28"/>
              <w:suppressLineNumbers w:val="0"/>
              <w:bidi w:val="0"/>
              <w:spacing w:before="0" w:after="0"/>
              <w:ind w:left="0" w:right="0"/>
              <w:outlineLvl w:val="9"/>
            </w:pPr>
          </w:p>
        </w:tc>
        <w:tc>
          <w:tcPr>
            <w:tcW w:w="764" w:type="dxa"/>
            <w:tcBorders>
              <w:tl2br w:val="nil"/>
              <w:tr2bl w:val="nil"/>
            </w:tcBorders>
            <w:noWrap w:val="0"/>
            <w:vAlign w:val="center"/>
          </w:tcPr>
          <w:p>
            <w:pPr>
              <w:pStyle w:val="28"/>
              <w:suppressLineNumbers w:val="0"/>
              <w:bidi w:val="0"/>
              <w:spacing w:before="0" w:after="0"/>
              <w:ind w:left="0" w:right="0"/>
            </w:pPr>
            <w:r>
              <w:t>X</w:t>
            </w:r>
          </w:p>
        </w:tc>
        <w:tc>
          <w:tcPr>
            <w:tcW w:w="922" w:type="dxa"/>
            <w:tcBorders>
              <w:tl2br w:val="nil"/>
              <w:tr2bl w:val="nil"/>
            </w:tcBorders>
            <w:noWrap w:val="0"/>
            <w:vAlign w:val="center"/>
          </w:tcPr>
          <w:p>
            <w:pPr>
              <w:pStyle w:val="28"/>
              <w:suppressLineNumbers w:val="0"/>
              <w:bidi w:val="0"/>
              <w:spacing w:before="0" w:after="0"/>
              <w:ind w:left="0" w:right="0"/>
            </w:pPr>
            <w:r>
              <w:t>Y</w:t>
            </w:r>
          </w:p>
        </w:tc>
        <w:tc>
          <w:tcPr>
            <w:tcW w:w="765" w:type="dxa"/>
            <w:vMerge w:val="continue"/>
            <w:tcBorders>
              <w:tl2br w:val="nil"/>
              <w:tr2bl w:val="nil"/>
            </w:tcBorders>
            <w:noWrap w:val="0"/>
            <w:vAlign w:val="center"/>
          </w:tcPr>
          <w:p>
            <w:pPr>
              <w:pStyle w:val="28"/>
              <w:suppressLineNumbers w:val="0"/>
              <w:bidi w:val="0"/>
              <w:spacing w:before="0" w:after="0"/>
              <w:ind w:left="0" w:right="0"/>
              <w:outlineLvl w:val="9"/>
            </w:pPr>
          </w:p>
        </w:tc>
        <w:tc>
          <w:tcPr>
            <w:tcW w:w="921" w:type="dxa"/>
            <w:vMerge w:val="continue"/>
            <w:tcBorders>
              <w:tl2br w:val="nil"/>
              <w:tr2bl w:val="nil"/>
            </w:tcBorders>
            <w:noWrap w:val="0"/>
            <w:vAlign w:val="center"/>
          </w:tcPr>
          <w:p>
            <w:pPr>
              <w:pStyle w:val="28"/>
              <w:suppressLineNumbers w:val="0"/>
              <w:bidi w:val="0"/>
              <w:spacing w:before="0" w:after="0"/>
              <w:ind w:left="0" w:right="0"/>
              <w:outlineLvl w:val="9"/>
            </w:pPr>
          </w:p>
        </w:tc>
        <w:tc>
          <w:tcPr>
            <w:tcW w:w="922" w:type="dxa"/>
            <w:tcBorders>
              <w:tl2br w:val="nil"/>
              <w:tr2bl w:val="nil"/>
            </w:tcBorders>
            <w:noWrap w:val="0"/>
            <w:vAlign w:val="center"/>
          </w:tcPr>
          <w:p>
            <w:pPr>
              <w:pStyle w:val="28"/>
              <w:suppressLineNumbers w:val="0"/>
              <w:bidi w:val="0"/>
              <w:spacing w:before="0" w:after="0"/>
              <w:ind w:left="0" w:right="0"/>
            </w:pPr>
            <w:r>
              <w:t>X</w:t>
            </w:r>
          </w:p>
        </w:tc>
        <w:tc>
          <w:tcPr>
            <w:tcW w:w="766" w:type="dxa"/>
            <w:tcBorders>
              <w:tl2br w:val="nil"/>
              <w:tr2bl w:val="nil"/>
            </w:tcBorders>
            <w:noWrap w:val="0"/>
            <w:vAlign w:val="center"/>
          </w:tcPr>
          <w:p>
            <w:pPr>
              <w:pStyle w:val="28"/>
              <w:suppressLineNumbers w:val="0"/>
              <w:bidi w:val="0"/>
              <w:spacing w:before="0" w:after="0"/>
              <w:ind w:left="0" w:right="0"/>
            </w:pPr>
            <w:r>
              <w:t>Y</w:t>
            </w:r>
          </w:p>
        </w:tc>
        <w:tc>
          <w:tcPr>
            <w:tcW w:w="1803"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石安河</w:t>
            </w:r>
          </w:p>
        </w:tc>
        <w:tc>
          <w:tcPr>
            <w:tcW w:w="922"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水质</w:t>
            </w:r>
          </w:p>
        </w:tc>
        <w:tc>
          <w:tcPr>
            <w:tcW w:w="918"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800</w:t>
            </w:r>
          </w:p>
        </w:tc>
        <w:tc>
          <w:tcPr>
            <w:tcW w:w="76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rPr>
              <w:t>-</w:t>
            </w:r>
            <w:r>
              <w:rPr>
                <w:rFonts w:hint="eastAsia"/>
                <w:lang w:val="en-US" w:eastAsia="zh-CN"/>
              </w:rPr>
              <w:t>800</w:t>
            </w:r>
          </w:p>
        </w:tc>
        <w:tc>
          <w:tcPr>
            <w:tcW w:w="922"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0</w:t>
            </w:r>
          </w:p>
        </w:tc>
        <w:tc>
          <w:tcPr>
            <w:tcW w:w="765"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-1</w:t>
            </w:r>
          </w:p>
        </w:tc>
        <w:tc>
          <w:tcPr>
            <w:tcW w:w="921"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922"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766"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1803"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乌龙河</w:t>
            </w:r>
          </w:p>
        </w:tc>
        <w:tc>
          <w:tcPr>
            <w:tcW w:w="922"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水质</w:t>
            </w:r>
          </w:p>
        </w:tc>
        <w:tc>
          <w:tcPr>
            <w:tcW w:w="918"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660</w:t>
            </w:r>
            <w:bookmarkStart w:id="284" w:name="_GoBack"/>
            <w:bookmarkEnd w:id="284"/>
          </w:p>
        </w:tc>
        <w:tc>
          <w:tcPr>
            <w:tcW w:w="76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92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660</w:t>
            </w:r>
          </w:p>
        </w:tc>
        <w:tc>
          <w:tcPr>
            <w:tcW w:w="76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w:t>
            </w:r>
          </w:p>
        </w:tc>
        <w:tc>
          <w:tcPr>
            <w:tcW w:w="921"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922"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766"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1803" w:type="dxa"/>
            <w:tcBorders>
              <w:tl2br w:val="nil"/>
              <w:tr2bl w:val="nil"/>
            </w:tcBorders>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鲁兰河</w:t>
            </w:r>
          </w:p>
        </w:tc>
        <w:tc>
          <w:tcPr>
            <w:tcW w:w="922"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水质</w:t>
            </w:r>
          </w:p>
        </w:tc>
        <w:tc>
          <w:tcPr>
            <w:tcW w:w="918"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3770</w:t>
            </w:r>
          </w:p>
        </w:tc>
        <w:tc>
          <w:tcPr>
            <w:tcW w:w="764"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92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-3770</w:t>
            </w:r>
          </w:p>
        </w:tc>
        <w:tc>
          <w:tcPr>
            <w:tcW w:w="765"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-1</w:t>
            </w:r>
          </w:p>
        </w:tc>
        <w:tc>
          <w:tcPr>
            <w:tcW w:w="921"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922"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766"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1803"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r>
    </w:tbl>
    <w:p>
      <w:pPr>
        <w:pStyle w:val="27"/>
        <w:bidi w:val="0"/>
      </w:pPr>
      <w:r>
        <w:t>表</w:t>
      </w:r>
      <w:r>
        <w:rPr>
          <w:rFonts w:hint="eastAsia"/>
          <w:lang w:val="en-US" w:eastAsia="zh-CN"/>
        </w:rPr>
        <w:t>4.2-3</w:t>
      </w:r>
      <w:r>
        <w:rPr>
          <w:rFonts w:hint="eastAsia"/>
        </w:rPr>
        <w:t xml:space="preserve"> </w:t>
      </w:r>
      <w:r>
        <w:t>项目其他环境保护目标表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56"/>
        <w:gridCol w:w="546"/>
        <w:gridCol w:w="1279"/>
        <w:gridCol w:w="546"/>
        <w:gridCol w:w="1025"/>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tcBorders>
              <w:tl2br w:val="nil"/>
              <w:tr2bl w:val="nil"/>
            </w:tcBorders>
            <w:noWrap w:val="0"/>
            <w:vAlign w:val="center"/>
          </w:tcPr>
          <w:p>
            <w:pPr>
              <w:pStyle w:val="28"/>
              <w:suppressLineNumbers w:val="0"/>
              <w:bidi w:val="0"/>
              <w:spacing w:before="0" w:after="0"/>
              <w:ind w:left="0" w:right="0"/>
            </w:pPr>
            <w:r>
              <w:t>环境要素</w:t>
            </w:r>
          </w:p>
        </w:tc>
        <w:tc>
          <w:tcPr>
            <w:tcW w:w="1856" w:type="dxa"/>
            <w:tcBorders>
              <w:tl2br w:val="nil"/>
              <w:tr2bl w:val="nil"/>
            </w:tcBorders>
            <w:noWrap w:val="0"/>
            <w:vAlign w:val="center"/>
          </w:tcPr>
          <w:p>
            <w:pPr>
              <w:pStyle w:val="28"/>
              <w:suppressLineNumbers w:val="0"/>
              <w:bidi w:val="0"/>
              <w:spacing w:before="0" w:after="0"/>
              <w:ind w:left="0" w:right="0"/>
            </w:pPr>
            <w:r>
              <w:t>环境保护对象名称</w:t>
            </w:r>
          </w:p>
        </w:tc>
        <w:tc>
          <w:tcPr>
            <w:tcW w:w="546" w:type="dxa"/>
            <w:tcBorders>
              <w:tl2br w:val="nil"/>
              <w:tr2bl w:val="nil"/>
            </w:tcBorders>
            <w:noWrap w:val="0"/>
            <w:vAlign w:val="center"/>
          </w:tcPr>
          <w:p>
            <w:pPr>
              <w:pStyle w:val="28"/>
              <w:suppressLineNumbers w:val="0"/>
              <w:bidi w:val="0"/>
              <w:spacing w:before="0" w:after="0"/>
              <w:ind w:left="0" w:right="0"/>
            </w:pPr>
            <w:r>
              <w:t>方位</w:t>
            </w:r>
          </w:p>
        </w:tc>
        <w:tc>
          <w:tcPr>
            <w:tcW w:w="1279" w:type="dxa"/>
            <w:tcBorders>
              <w:tl2br w:val="nil"/>
              <w:tr2bl w:val="nil"/>
            </w:tcBorders>
            <w:noWrap w:val="0"/>
            <w:vAlign w:val="center"/>
          </w:tcPr>
          <w:p>
            <w:pPr>
              <w:pStyle w:val="28"/>
              <w:suppressLineNumbers w:val="0"/>
              <w:bidi w:val="0"/>
              <w:spacing w:before="0" w:after="0"/>
              <w:ind w:left="0" w:right="0"/>
            </w:pPr>
            <w:r>
              <w:t>最近距离（m）</w:t>
            </w:r>
          </w:p>
        </w:tc>
        <w:tc>
          <w:tcPr>
            <w:tcW w:w="546" w:type="dxa"/>
            <w:tcBorders>
              <w:tl2br w:val="nil"/>
              <w:tr2bl w:val="nil"/>
            </w:tcBorders>
            <w:noWrap w:val="0"/>
            <w:vAlign w:val="center"/>
          </w:tcPr>
          <w:p>
            <w:pPr>
              <w:pStyle w:val="28"/>
              <w:suppressLineNumbers w:val="0"/>
              <w:bidi w:val="0"/>
              <w:spacing w:before="0" w:after="0"/>
              <w:ind w:left="0" w:right="0"/>
            </w:pPr>
            <w:r>
              <w:t>规模</w:t>
            </w:r>
          </w:p>
        </w:tc>
        <w:tc>
          <w:tcPr>
            <w:tcW w:w="1025" w:type="dxa"/>
            <w:tcBorders>
              <w:tl2br w:val="nil"/>
              <w:tr2bl w:val="nil"/>
            </w:tcBorders>
            <w:noWrap w:val="0"/>
            <w:vAlign w:val="center"/>
          </w:tcPr>
          <w:p>
            <w:pPr>
              <w:pStyle w:val="28"/>
              <w:suppressLineNumbers w:val="0"/>
              <w:bidi w:val="0"/>
              <w:spacing w:before="0" w:after="0"/>
              <w:ind w:left="0" w:right="0"/>
            </w:pPr>
            <w:r>
              <w:t>环境功能</w:t>
            </w:r>
          </w:p>
        </w:tc>
        <w:tc>
          <w:tcPr>
            <w:tcW w:w="3370"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声环境</w:t>
            </w:r>
          </w:p>
        </w:tc>
        <w:tc>
          <w:tcPr>
            <w:tcW w:w="1856"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项目厂界</w:t>
            </w:r>
          </w:p>
        </w:tc>
        <w:tc>
          <w:tcPr>
            <w:tcW w:w="546"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1279" w:type="dxa"/>
            <w:tcBorders>
              <w:tl2br w:val="nil"/>
              <w:tr2bl w:val="nil"/>
            </w:tcBorders>
            <w:noWrap w:val="0"/>
            <w:vAlign w:val="center"/>
          </w:tcPr>
          <w:p>
            <w:pPr>
              <w:pStyle w:val="28"/>
              <w:suppressLineNumbers w:val="0"/>
              <w:bidi w:val="0"/>
              <w:spacing w:before="0" w:after="0"/>
              <w:ind w:left="0" w:right="0"/>
            </w:pPr>
            <w:r>
              <w:t>厂界</w:t>
            </w:r>
          </w:p>
        </w:tc>
        <w:tc>
          <w:tcPr>
            <w:tcW w:w="546" w:type="dxa"/>
            <w:tcBorders>
              <w:tl2br w:val="nil"/>
              <w:tr2bl w:val="nil"/>
            </w:tcBorders>
            <w:noWrap w:val="0"/>
            <w:vAlign w:val="center"/>
          </w:tcPr>
          <w:p>
            <w:pPr>
              <w:pStyle w:val="28"/>
              <w:suppressLineNumbers w:val="0"/>
              <w:bidi w:val="0"/>
              <w:spacing w:before="0" w:after="0"/>
              <w:ind w:left="0" w:right="0"/>
            </w:pPr>
            <w:r>
              <w:t>—</w:t>
            </w:r>
          </w:p>
        </w:tc>
        <w:tc>
          <w:tcPr>
            <w:tcW w:w="1025" w:type="dxa"/>
            <w:tcBorders>
              <w:tl2br w:val="nil"/>
              <w:tr2bl w:val="nil"/>
            </w:tcBorders>
            <w:noWrap w:val="0"/>
            <w:vAlign w:val="center"/>
          </w:tcPr>
          <w:p>
            <w:pPr>
              <w:pStyle w:val="28"/>
              <w:suppressLineNumbers w:val="0"/>
              <w:bidi w:val="0"/>
              <w:spacing w:before="0" w:after="0"/>
              <w:ind w:left="0" w:right="0"/>
            </w:pPr>
            <w:r>
              <w:t>工业区</w:t>
            </w:r>
          </w:p>
        </w:tc>
        <w:tc>
          <w:tcPr>
            <w:tcW w:w="3370" w:type="dxa"/>
            <w:tcBorders>
              <w:tl2br w:val="nil"/>
              <w:tr2bl w:val="nil"/>
            </w:tcBorders>
            <w:noWrap w:val="0"/>
            <w:vAlign w:val="center"/>
          </w:tcPr>
          <w:p>
            <w:pPr>
              <w:pStyle w:val="28"/>
              <w:suppressLineNumbers w:val="0"/>
              <w:bidi w:val="0"/>
              <w:spacing w:before="0" w:after="0"/>
              <w:ind w:left="0" w:right="0"/>
            </w:pPr>
            <w:r>
              <w:t>《声环境质量标准》（GB3096-2008）3类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生态</w:t>
            </w:r>
          </w:p>
        </w:tc>
        <w:tc>
          <w:tcPr>
            <w:tcW w:w="1856" w:type="dxa"/>
            <w:tcBorders>
              <w:tl2br w:val="nil"/>
              <w:tr2bl w:val="nil"/>
            </w:tcBorders>
            <w:noWrap w:val="0"/>
            <w:vAlign w:val="center"/>
          </w:tcPr>
          <w:p>
            <w:pPr>
              <w:pStyle w:val="28"/>
              <w:suppressLineNumbers w:val="0"/>
              <w:bidi w:val="0"/>
              <w:spacing w:before="0" w:after="0"/>
              <w:ind w:left="0" w:right="0"/>
              <w:rPr>
                <w:rFonts w:hint="eastAsia"/>
              </w:rPr>
            </w:pPr>
            <w:r>
              <w:rPr>
                <w:rFonts w:hint="eastAsia"/>
                <w:lang w:eastAsia="zh-CN"/>
              </w:rPr>
              <w:t>石安河</w:t>
            </w:r>
            <w:r>
              <w:rPr>
                <w:rFonts w:hint="eastAsia"/>
              </w:rPr>
              <w:t>清水通道维护区</w:t>
            </w:r>
          </w:p>
        </w:tc>
        <w:tc>
          <w:tcPr>
            <w:tcW w:w="546" w:type="dxa"/>
            <w:tcBorders>
              <w:tl2br w:val="nil"/>
              <w:tr2bl w:val="nil"/>
            </w:tcBorders>
            <w:noWrap w:val="0"/>
            <w:vAlign w:val="center"/>
          </w:tcPr>
          <w:p>
            <w:pPr>
              <w:pStyle w:val="28"/>
              <w:suppressLineNumbers w:val="0"/>
              <w:bidi w:val="0"/>
              <w:spacing w:before="0" w:after="0"/>
              <w:ind w:left="0" w:right="0"/>
              <w:outlineLvl w:val="9"/>
              <w:rPr>
                <w:rFonts w:hint="eastAsia"/>
              </w:rPr>
            </w:pPr>
          </w:p>
        </w:tc>
        <w:tc>
          <w:tcPr>
            <w:tcW w:w="1279" w:type="dxa"/>
            <w:tcBorders>
              <w:tl2br w:val="nil"/>
              <w:tr2bl w:val="nil"/>
            </w:tcBorders>
            <w:noWrap w:val="0"/>
            <w:vAlign w:val="center"/>
          </w:tcPr>
          <w:p>
            <w:pPr>
              <w:pStyle w:val="28"/>
              <w:suppressLineNumbers w:val="0"/>
              <w:bidi w:val="0"/>
              <w:spacing w:before="0" w:after="0"/>
              <w:ind w:left="0" w:right="0"/>
            </w:pPr>
            <w:r>
              <w:rPr>
                <w:rFonts w:hint="eastAsia"/>
              </w:rPr>
              <w:t>478</w:t>
            </w:r>
          </w:p>
        </w:tc>
        <w:tc>
          <w:tcPr>
            <w:tcW w:w="546" w:type="dxa"/>
            <w:tcBorders>
              <w:tl2br w:val="nil"/>
              <w:tr2bl w:val="nil"/>
            </w:tcBorders>
            <w:noWrap w:val="0"/>
            <w:vAlign w:val="center"/>
          </w:tcPr>
          <w:p>
            <w:pPr>
              <w:pStyle w:val="28"/>
              <w:suppressLineNumbers w:val="0"/>
              <w:bidi w:val="0"/>
              <w:spacing w:before="0" w:after="0"/>
              <w:ind w:left="0" w:right="0"/>
            </w:pPr>
            <w:r>
              <w:t>—</w:t>
            </w:r>
          </w:p>
        </w:tc>
        <w:tc>
          <w:tcPr>
            <w:tcW w:w="1025" w:type="dxa"/>
            <w:tcBorders>
              <w:tl2br w:val="nil"/>
              <w:tr2bl w:val="nil"/>
            </w:tcBorders>
            <w:noWrap w:val="0"/>
            <w:vAlign w:val="center"/>
          </w:tcPr>
          <w:p>
            <w:pPr>
              <w:pStyle w:val="28"/>
              <w:suppressLineNumbers w:val="0"/>
              <w:bidi w:val="0"/>
              <w:spacing w:before="0" w:after="0"/>
              <w:ind w:left="0" w:right="0"/>
            </w:pPr>
            <w:r>
              <w:rPr>
                <w:rFonts w:hint="eastAsia"/>
                <w:lang w:eastAsia="zh-CN"/>
              </w:rPr>
              <w:t>水源水质</w:t>
            </w:r>
            <w:r>
              <w:t>保护</w:t>
            </w:r>
          </w:p>
        </w:tc>
        <w:tc>
          <w:tcPr>
            <w:tcW w:w="3370" w:type="dxa"/>
            <w:tcBorders>
              <w:tl2br w:val="nil"/>
              <w:tr2bl w:val="nil"/>
            </w:tcBorders>
            <w:noWrap w:val="0"/>
            <w:vAlign w:val="center"/>
          </w:tcPr>
          <w:p>
            <w:pPr>
              <w:pStyle w:val="28"/>
              <w:suppressLineNumbers w:val="0"/>
              <w:bidi w:val="0"/>
              <w:spacing w:before="0" w:after="0"/>
              <w:ind w:left="0" w:right="0"/>
            </w:pPr>
            <w:r>
              <w:rPr>
                <w:rFonts w:hint="eastAsia"/>
              </w:rPr>
              <w:t>二级管控区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124"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地下水</w:t>
            </w:r>
          </w:p>
        </w:tc>
        <w:tc>
          <w:tcPr>
            <w:tcW w:w="1856"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区域地下水</w:t>
            </w:r>
          </w:p>
        </w:tc>
        <w:tc>
          <w:tcPr>
            <w:tcW w:w="546" w:type="dxa"/>
            <w:tcBorders>
              <w:tl2br w:val="nil"/>
              <w:tr2bl w:val="nil"/>
            </w:tcBorders>
            <w:noWrap w:val="0"/>
            <w:vAlign w:val="center"/>
          </w:tcPr>
          <w:p>
            <w:pPr>
              <w:pStyle w:val="28"/>
              <w:suppressLineNumbers w:val="0"/>
              <w:bidi w:val="0"/>
              <w:spacing w:before="0" w:after="0"/>
              <w:ind w:left="0" w:right="0"/>
              <w:rPr>
                <w:rFonts w:hint="eastAsia"/>
              </w:rPr>
            </w:pPr>
            <w:r>
              <w:rPr>
                <w:rFonts w:hint="eastAsia"/>
              </w:rPr>
              <w:t>—</w:t>
            </w:r>
          </w:p>
        </w:tc>
        <w:tc>
          <w:tcPr>
            <w:tcW w:w="1279" w:type="dxa"/>
            <w:tcBorders>
              <w:tl2br w:val="nil"/>
              <w:tr2bl w:val="nil"/>
            </w:tcBorders>
            <w:noWrap w:val="0"/>
            <w:vAlign w:val="center"/>
          </w:tcPr>
          <w:p>
            <w:pPr>
              <w:pStyle w:val="28"/>
              <w:suppressLineNumbers w:val="0"/>
              <w:bidi w:val="0"/>
              <w:spacing w:before="0" w:after="0"/>
              <w:ind w:left="0" w:right="0"/>
            </w:pPr>
            <w:r>
              <w:t>—</w:t>
            </w:r>
          </w:p>
        </w:tc>
        <w:tc>
          <w:tcPr>
            <w:tcW w:w="546" w:type="dxa"/>
            <w:tcBorders>
              <w:tl2br w:val="nil"/>
              <w:tr2bl w:val="nil"/>
            </w:tcBorders>
            <w:noWrap w:val="0"/>
            <w:vAlign w:val="center"/>
          </w:tcPr>
          <w:p>
            <w:pPr>
              <w:pStyle w:val="28"/>
              <w:suppressLineNumbers w:val="0"/>
              <w:bidi w:val="0"/>
              <w:spacing w:before="0" w:after="0"/>
              <w:ind w:left="0" w:right="0"/>
            </w:pPr>
            <w:r>
              <w:t>—</w:t>
            </w:r>
          </w:p>
        </w:tc>
        <w:tc>
          <w:tcPr>
            <w:tcW w:w="1025" w:type="dxa"/>
            <w:tcBorders>
              <w:tl2br w:val="nil"/>
              <w:tr2bl w:val="nil"/>
            </w:tcBorders>
            <w:noWrap w:val="0"/>
            <w:vAlign w:val="center"/>
          </w:tcPr>
          <w:p>
            <w:pPr>
              <w:pStyle w:val="28"/>
              <w:suppressLineNumbers w:val="0"/>
              <w:bidi w:val="0"/>
              <w:spacing w:before="0" w:after="0"/>
              <w:ind w:left="0" w:right="0"/>
            </w:pPr>
            <w:r>
              <w:t>—</w:t>
            </w:r>
          </w:p>
        </w:tc>
        <w:tc>
          <w:tcPr>
            <w:tcW w:w="3370" w:type="dxa"/>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土壤</w:t>
            </w:r>
          </w:p>
        </w:tc>
        <w:tc>
          <w:tcPr>
            <w:tcW w:w="1856"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耕地</w:t>
            </w:r>
          </w:p>
        </w:tc>
        <w:tc>
          <w:tcPr>
            <w:tcW w:w="546"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西</w:t>
            </w:r>
          </w:p>
        </w:tc>
        <w:tc>
          <w:tcPr>
            <w:tcW w:w="127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546" w:type="dxa"/>
            <w:tcBorders>
              <w:tl2br w:val="nil"/>
              <w:tr2bl w:val="nil"/>
            </w:tcBorders>
            <w:noWrap w:val="0"/>
            <w:vAlign w:val="center"/>
          </w:tcPr>
          <w:p>
            <w:pPr>
              <w:pStyle w:val="28"/>
              <w:suppressLineNumbers w:val="0"/>
              <w:bidi w:val="0"/>
              <w:spacing w:before="0" w:after="0"/>
              <w:ind w:left="0" w:right="0"/>
            </w:pPr>
            <w:r>
              <w:t>—</w:t>
            </w:r>
          </w:p>
        </w:tc>
        <w:tc>
          <w:tcPr>
            <w:tcW w:w="1025"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农用地</w:t>
            </w:r>
          </w:p>
        </w:tc>
        <w:tc>
          <w:tcPr>
            <w:tcW w:w="3370" w:type="dxa"/>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lang w:eastAsia="zh-CN"/>
              </w:rPr>
              <w:t>《</w:t>
            </w:r>
            <w:r>
              <w:rPr>
                <w:rFonts w:hint="eastAsia"/>
                <w:lang w:val="en-US" w:eastAsia="zh-CN"/>
              </w:rPr>
              <w:t>土壤环境质量 农用地土壤污染风险管控标准</w:t>
            </w:r>
          </w:p>
          <w:p>
            <w:pPr>
              <w:pStyle w:val="28"/>
              <w:suppressLineNumbers w:val="0"/>
              <w:bidi w:val="0"/>
              <w:spacing w:before="0" w:after="0"/>
              <w:ind w:left="0" w:right="0"/>
              <w:rPr>
                <w:rFonts w:hint="eastAsia"/>
                <w:lang w:val="en-US" w:eastAsia="zh-CN"/>
              </w:rPr>
            </w:pPr>
            <w:r>
              <w:rPr>
                <w:rFonts w:hint="eastAsia"/>
                <w:lang w:val="en-US" w:eastAsia="zh-CN"/>
              </w:rPr>
              <w:t>（试行）</w:t>
            </w:r>
            <w:r>
              <w:rPr>
                <w:rFonts w:hint="eastAsia"/>
                <w:lang w:eastAsia="zh-CN"/>
              </w:rPr>
              <w:t>》（</w:t>
            </w:r>
            <w:r>
              <w:rPr>
                <w:rFonts w:hint="eastAsia"/>
                <w:lang w:val="en-US" w:eastAsia="zh-CN"/>
              </w:rPr>
              <w:t>GB15618-2018)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tcBorders>
              <w:tl2br w:val="nil"/>
              <w:tr2bl w:val="nil"/>
            </w:tcBorders>
            <w:noWrap w:val="0"/>
            <w:vAlign w:val="center"/>
          </w:tcPr>
          <w:p>
            <w:pPr>
              <w:pStyle w:val="28"/>
              <w:suppressLineNumbers w:val="0"/>
              <w:bidi w:val="0"/>
              <w:spacing w:before="0" w:after="0"/>
              <w:ind w:left="0" w:right="0"/>
              <w:outlineLvl w:val="9"/>
              <w:rPr>
                <w:rFonts w:hint="eastAsia"/>
                <w:lang w:eastAsia="zh-CN"/>
              </w:rPr>
            </w:pPr>
          </w:p>
        </w:tc>
        <w:tc>
          <w:tcPr>
            <w:tcW w:w="1856" w:type="dxa"/>
            <w:vMerge w:val="continue"/>
            <w:tcBorders>
              <w:tl2br w:val="nil"/>
              <w:tr2bl w:val="nil"/>
            </w:tcBorders>
            <w:noWrap w:val="0"/>
            <w:vAlign w:val="center"/>
          </w:tcPr>
          <w:p>
            <w:pPr>
              <w:pStyle w:val="28"/>
              <w:suppressLineNumbers w:val="0"/>
              <w:bidi w:val="0"/>
              <w:spacing w:before="0" w:after="0"/>
              <w:ind w:left="0" w:right="0"/>
              <w:outlineLvl w:val="9"/>
              <w:rPr>
                <w:rFonts w:hint="eastAsia"/>
                <w:lang w:eastAsia="zh-CN"/>
              </w:rPr>
            </w:pPr>
          </w:p>
        </w:tc>
        <w:tc>
          <w:tcPr>
            <w:tcW w:w="546"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北</w:t>
            </w:r>
          </w:p>
        </w:tc>
        <w:tc>
          <w:tcPr>
            <w:tcW w:w="127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546" w:type="dxa"/>
            <w:tcBorders>
              <w:tl2br w:val="nil"/>
              <w:tr2bl w:val="nil"/>
            </w:tcBorders>
            <w:noWrap w:val="0"/>
            <w:vAlign w:val="center"/>
          </w:tcPr>
          <w:p>
            <w:pPr>
              <w:pStyle w:val="28"/>
              <w:suppressLineNumbers w:val="0"/>
              <w:bidi w:val="0"/>
              <w:spacing w:before="0" w:after="0"/>
              <w:ind w:left="0" w:right="0"/>
            </w:pPr>
            <w:r>
              <w:t>—</w:t>
            </w:r>
          </w:p>
        </w:tc>
        <w:tc>
          <w:tcPr>
            <w:tcW w:w="1025" w:type="dxa"/>
            <w:vMerge w:val="continue"/>
            <w:tcBorders>
              <w:tl2br w:val="nil"/>
              <w:tr2bl w:val="nil"/>
            </w:tcBorders>
            <w:noWrap w:val="0"/>
            <w:vAlign w:val="center"/>
          </w:tcPr>
          <w:p>
            <w:pPr>
              <w:pStyle w:val="28"/>
              <w:suppressLineNumbers w:val="0"/>
              <w:bidi w:val="0"/>
              <w:spacing w:before="0" w:after="0"/>
              <w:ind w:left="0" w:right="0"/>
              <w:outlineLvl w:val="9"/>
            </w:pPr>
          </w:p>
        </w:tc>
        <w:tc>
          <w:tcPr>
            <w:tcW w:w="3370" w:type="dxa"/>
            <w:vMerge w:val="continue"/>
            <w:tcBorders>
              <w:tl2br w:val="nil"/>
              <w:tr2bl w:val="nil"/>
            </w:tcBorders>
            <w:noWrap w:val="0"/>
            <w:vAlign w:val="center"/>
          </w:tcPr>
          <w:p>
            <w:pPr>
              <w:pStyle w:val="28"/>
              <w:suppressLineNumbers w:val="0"/>
              <w:bidi w:val="0"/>
              <w:spacing w:before="0" w:after="0"/>
              <w:ind w:left="0" w:right="0"/>
              <w:outlineLvl w:val="9"/>
            </w:pPr>
          </w:p>
        </w:tc>
      </w:tr>
    </w:tbl>
    <w:p>
      <w:pPr>
        <w:pStyle w:val="4"/>
        <w:bidi w:val="0"/>
        <w:rPr>
          <w:rFonts w:hint="eastAsia"/>
          <w:lang w:val="en-US" w:eastAsia="zh-CN"/>
        </w:rPr>
      </w:pPr>
      <w:bookmarkStart w:id="59" w:name="_Toc24963"/>
      <w:r>
        <w:rPr>
          <w:rFonts w:hint="eastAsia"/>
          <w:lang w:val="en-US" w:eastAsia="zh-CN"/>
        </w:rPr>
        <w:t>4.3环境质量现状调查与评价</w:t>
      </w:r>
      <w:bookmarkEnd w:id="59"/>
    </w:p>
    <w:p>
      <w:pPr>
        <w:pStyle w:val="5"/>
        <w:bidi w:val="0"/>
        <w:rPr>
          <w:rFonts w:hint="default"/>
          <w:lang w:val="en-US" w:eastAsia="zh-CN"/>
        </w:rPr>
      </w:pPr>
      <w:r>
        <w:rPr>
          <w:rFonts w:hint="eastAsia"/>
          <w:lang w:val="en-US" w:eastAsia="zh-CN"/>
        </w:rPr>
        <w:t>4.3.1 大气环境质量现状调查与评价</w:t>
      </w:r>
    </w:p>
    <w:p>
      <w:pPr>
        <w:pStyle w:val="6"/>
        <w:bidi w:val="0"/>
        <w:rPr>
          <w:rFonts w:hint="eastAsia"/>
          <w:lang w:val="en-US" w:eastAsia="zh-CN"/>
        </w:rPr>
      </w:pPr>
      <w:r>
        <w:rPr>
          <w:rFonts w:hint="eastAsia"/>
          <w:lang w:val="en-US" w:eastAsia="zh-CN"/>
        </w:rPr>
        <w:t>4.3.1.1 空气质量达标区判定</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根据</w:t>
      </w:r>
      <w:r>
        <w:rPr>
          <w:rFonts w:hint="eastAsia" w:ascii="宋体" w:hAnsi="宋体"/>
          <w:color w:val="000000"/>
          <w:sz w:val="28"/>
          <w:lang w:eastAsia="zh-CN"/>
        </w:rPr>
        <w:t>《</w:t>
      </w:r>
      <w:r>
        <w:rPr>
          <w:rFonts w:hint="default" w:ascii="宋体" w:hAnsi="宋体" w:eastAsia="宋体"/>
          <w:color w:val="000000"/>
          <w:sz w:val="28"/>
        </w:rPr>
        <w:t>连云港市环境质量报告书</w:t>
      </w:r>
      <w:r>
        <w:rPr>
          <w:rFonts w:hint="eastAsia" w:ascii="宋体" w:hAnsi="宋体"/>
          <w:color w:val="000000"/>
          <w:sz w:val="28"/>
          <w:lang w:eastAsia="zh-CN"/>
        </w:rPr>
        <w:t>》</w:t>
      </w:r>
      <w:r>
        <w:rPr>
          <w:rFonts w:hint="default" w:ascii="宋体" w:hAnsi="宋体" w:eastAsia="宋体"/>
          <w:color w:val="000000"/>
          <w:sz w:val="28"/>
        </w:rPr>
        <w:t>（</w:t>
      </w:r>
      <w:r>
        <w:rPr>
          <w:rFonts w:hint="default" w:ascii="Times New Roman" w:hAnsi="Times New Roman" w:eastAsia="Times New Roman"/>
          <w:color w:val="000000"/>
          <w:sz w:val="28"/>
        </w:rPr>
        <w:t>2018</w:t>
      </w:r>
      <w:r>
        <w:rPr>
          <w:rFonts w:hint="default" w:ascii="宋体" w:hAnsi="宋体" w:eastAsia="宋体"/>
          <w:color w:val="000000"/>
          <w:sz w:val="28"/>
        </w:rPr>
        <w:t>年度），连云港市环境达标区判定情况见表</w:t>
      </w:r>
      <w:r>
        <w:rPr>
          <w:rFonts w:hint="eastAsia" w:ascii="Times New Roman" w:hAnsi="Times New Roman"/>
          <w:color w:val="000000"/>
          <w:sz w:val="28"/>
          <w:lang w:val="en-US" w:eastAsia="zh-CN"/>
        </w:rPr>
        <w:t>4.3</w:t>
      </w:r>
      <w:r>
        <w:rPr>
          <w:rFonts w:hint="eastAsia"/>
          <w:color w:val="000000"/>
          <w:sz w:val="28"/>
          <w:lang w:val="en-US" w:eastAsia="zh-CN"/>
        </w:rPr>
        <w:t>.1</w:t>
      </w:r>
      <w:r>
        <w:rPr>
          <w:rFonts w:hint="default" w:ascii="Times New Roman" w:hAnsi="Times New Roman" w:eastAsia="Times New Roman"/>
          <w:color w:val="000000"/>
          <w:sz w:val="28"/>
        </w:rPr>
        <w:t>-1</w:t>
      </w:r>
      <w:r>
        <w:rPr>
          <w:rFonts w:hint="default" w:ascii="宋体" w:hAnsi="宋体" w:eastAsia="宋体"/>
          <w:color w:val="000000"/>
          <w:sz w:val="28"/>
        </w:rPr>
        <w:t>。</w:t>
      </w:r>
    </w:p>
    <w:p>
      <w:pPr>
        <w:pStyle w:val="27"/>
        <w:bidi w:val="0"/>
        <w:rPr>
          <w:rFonts w:hint="default"/>
        </w:rPr>
      </w:pPr>
      <w:r>
        <w:rPr>
          <w:rFonts w:hint="default"/>
        </w:rPr>
        <w:t>表</w:t>
      </w:r>
      <w:r>
        <w:rPr>
          <w:rFonts w:hint="eastAsia"/>
          <w:lang w:val="en-US" w:eastAsia="zh-CN"/>
        </w:rPr>
        <w:t>4.3.1</w:t>
      </w:r>
      <w:r>
        <w:rPr>
          <w:rFonts w:hint="default"/>
        </w:rPr>
        <w:t>-1 区域气质量现状评价表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2931"/>
        <w:gridCol w:w="2134"/>
        <w:gridCol w:w="970"/>
        <w:gridCol w:w="803"/>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污染物</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年评价指标</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现状浓度/ug/m</w:t>
            </w:r>
            <w:r>
              <w:rPr>
                <w:rFonts w:hint="eastAsia"/>
                <w:vertAlign w:val="superscript"/>
                <w:lang w:val="en-US" w:eastAsia="zh-CN"/>
              </w:rPr>
              <w:t>3</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标准值/ug/m</w:t>
            </w:r>
            <w:r>
              <w:rPr>
                <w:rFonts w:hint="eastAsia"/>
                <w:vertAlign w:val="superscript"/>
                <w:lang w:val="en-US" w:eastAsia="zh-CN"/>
              </w:rPr>
              <w:t>3</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占标率/%</w:t>
            </w:r>
          </w:p>
        </w:tc>
        <w:tc>
          <w:tcPr>
            <w:tcW w:w="166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SO</w:t>
            </w:r>
            <w:r>
              <w:rPr>
                <w:rFonts w:hint="eastAsia"/>
                <w:vertAlign w:val="subscript"/>
                <w:lang w:val="en-US" w:eastAsia="zh-CN"/>
              </w:rPr>
              <w:t>2</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年平均质量浓度</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15</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60</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25</w:t>
            </w:r>
          </w:p>
        </w:tc>
        <w:tc>
          <w:tcPr>
            <w:tcW w:w="1661" w:type="dxa"/>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NO</w:t>
            </w:r>
            <w:r>
              <w:rPr>
                <w:rFonts w:hint="eastAsia"/>
                <w:vertAlign w:val="subscript"/>
                <w:lang w:val="en-US" w:eastAsia="zh-CN"/>
              </w:rPr>
              <w:t>2</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年平均质量浓度</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31</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40</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77.5</w:t>
            </w:r>
          </w:p>
        </w:tc>
        <w:tc>
          <w:tcPr>
            <w:tcW w:w="1661"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臭氧</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最大8小时90百分位浓度值</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169</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160</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105.6</w:t>
            </w:r>
          </w:p>
        </w:tc>
        <w:tc>
          <w:tcPr>
            <w:tcW w:w="1661"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CO（mg/m</w:t>
            </w:r>
            <w:r>
              <w:rPr>
                <w:rFonts w:hint="eastAsia"/>
                <w:vertAlign w:val="superscript"/>
                <w:lang w:val="en-US" w:eastAsia="zh-CN"/>
              </w:rPr>
              <w:t>3</w:t>
            </w:r>
            <w:r>
              <w:rPr>
                <w:rFonts w:hint="eastAsia"/>
                <w:lang w:val="en-US" w:eastAsia="zh-CN"/>
              </w:rPr>
              <w:t>）</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日均值95百分位浓度值</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1.5</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4</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37.5</w:t>
            </w:r>
          </w:p>
        </w:tc>
        <w:tc>
          <w:tcPr>
            <w:tcW w:w="1661"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PM</w:t>
            </w:r>
            <w:r>
              <w:rPr>
                <w:rFonts w:hint="eastAsia"/>
                <w:vertAlign w:val="subscript"/>
                <w:lang w:val="en-US" w:eastAsia="zh-CN"/>
              </w:rPr>
              <w:t>10</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年平均质量浓度</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67</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70</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95.7</w:t>
            </w:r>
          </w:p>
        </w:tc>
        <w:tc>
          <w:tcPr>
            <w:tcW w:w="1661"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PM</w:t>
            </w:r>
            <w:r>
              <w:rPr>
                <w:rFonts w:hint="eastAsia"/>
                <w:vertAlign w:val="subscript"/>
                <w:lang w:val="en-US" w:eastAsia="zh-CN"/>
              </w:rPr>
              <w:t>2.5</w:t>
            </w:r>
          </w:p>
        </w:tc>
        <w:tc>
          <w:tcPr>
            <w:tcW w:w="2931"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年平均质量浓度</w:t>
            </w:r>
          </w:p>
        </w:tc>
        <w:tc>
          <w:tcPr>
            <w:tcW w:w="213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44</w:t>
            </w:r>
          </w:p>
        </w:tc>
        <w:tc>
          <w:tcPr>
            <w:tcW w:w="970"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35</w:t>
            </w:r>
          </w:p>
        </w:tc>
        <w:tc>
          <w:tcPr>
            <w:tcW w:w="803"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125.7</w:t>
            </w:r>
          </w:p>
        </w:tc>
        <w:tc>
          <w:tcPr>
            <w:tcW w:w="1661" w:type="dxa"/>
            <w:vMerge w:val="continue"/>
            <w:vAlign w:val="center"/>
          </w:tcPr>
          <w:p>
            <w:pPr>
              <w:pStyle w:val="28"/>
              <w:suppressLineNumbers w:val="0"/>
              <w:bidi w:val="0"/>
              <w:spacing w:before="0" w:after="0"/>
              <w:ind w:left="0" w:right="0"/>
              <w:jc w:val="center"/>
              <w:outlineLvl w:val="9"/>
              <w:rPr>
                <w:rFonts w:hint="default"/>
                <w:lang w:val="en-US" w:eastAsia="zh-CN"/>
              </w:rPr>
            </w:pPr>
          </w:p>
        </w:tc>
      </w:tr>
    </w:tbl>
    <w:p>
      <w:pPr>
        <w:rPr>
          <w:rFonts w:hint="default"/>
          <w:lang w:val="en-US" w:eastAsia="zh-CN"/>
        </w:rPr>
      </w:pPr>
      <w:r>
        <w:rPr>
          <w:rFonts w:hint="default" w:ascii="宋体" w:hAnsi="宋体" w:eastAsia="宋体"/>
          <w:color w:val="000000"/>
          <w:sz w:val="28"/>
        </w:rPr>
        <w:t>经调查，</w:t>
      </w:r>
      <w:r>
        <w:rPr>
          <w:rFonts w:hint="default" w:ascii="Times New Roman" w:hAnsi="Times New Roman" w:eastAsia="Times New Roman"/>
          <w:color w:val="000000"/>
          <w:sz w:val="28"/>
        </w:rPr>
        <w:t>2018</w:t>
      </w:r>
      <w:r>
        <w:rPr>
          <w:rFonts w:hint="default" w:ascii="宋体" w:hAnsi="宋体" w:eastAsia="宋体"/>
          <w:color w:val="000000"/>
          <w:sz w:val="28"/>
        </w:rPr>
        <w:t>年连云港市环境空气中，</w:t>
      </w:r>
      <w:r>
        <w:rPr>
          <w:rFonts w:hint="default" w:ascii="Times New Roman" w:hAnsi="Times New Roman" w:eastAsia="Times New Roman"/>
          <w:color w:val="000000"/>
          <w:sz w:val="28"/>
        </w:rPr>
        <w:t>SO</w:t>
      </w:r>
      <w:r>
        <w:rPr>
          <w:rFonts w:hint="default" w:ascii="Times New Roman" w:hAnsi="Times New Roman" w:eastAsia="Times New Roman"/>
          <w:color w:val="000000"/>
          <w:sz w:val="18"/>
        </w:rPr>
        <w:t>2</w:t>
      </w:r>
      <w:r>
        <w:rPr>
          <w:rFonts w:hint="default" w:ascii="宋体" w:hAnsi="宋体" w:eastAsia="宋体"/>
          <w:color w:val="000000"/>
          <w:sz w:val="28"/>
        </w:rPr>
        <w:t>、</w:t>
      </w:r>
      <w:r>
        <w:rPr>
          <w:rFonts w:hint="default" w:ascii="Times New Roman" w:hAnsi="Times New Roman" w:eastAsia="Times New Roman"/>
          <w:color w:val="000000"/>
          <w:sz w:val="28"/>
        </w:rPr>
        <w:t>NO</w:t>
      </w:r>
      <w:r>
        <w:rPr>
          <w:rFonts w:hint="default" w:ascii="Times New Roman" w:hAnsi="Times New Roman" w:eastAsia="Times New Roman"/>
          <w:color w:val="000000"/>
          <w:sz w:val="18"/>
        </w:rPr>
        <w:t>2</w:t>
      </w:r>
      <w:r>
        <w:rPr>
          <w:rFonts w:hint="default" w:ascii="宋体" w:hAnsi="宋体" w:eastAsia="宋体"/>
          <w:color w:val="000000"/>
          <w:sz w:val="28"/>
        </w:rPr>
        <w:t>、</w:t>
      </w:r>
      <w:r>
        <w:rPr>
          <w:rFonts w:hint="default" w:ascii="Times New Roman" w:hAnsi="Times New Roman" w:eastAsia="Times New Roman"/>
          <w:color w:val="000000"/>
          <w:sz w:val="28"/>
        </w:rPr>
        <w:t>PM</w:t>
      </w:r>
      <w:r>
        <w:rPr>
          <w:rFonts w:hint="default" w:ascii="Times New Roman" w:hAnsi="Times New Roman" w:eastAsia="Times New Roman"/>
          <w:color w:val="000000"/>
          <w:sz w:val="28"/>
          <w:vertAlign w:val="subscript"/>
        </w:rPr>
        <w:t>10</w:t>
      </w:r>
      <w:r>
        <w:rPr>
          <w:rFonts w:hint="default" w:ascii="宋体" w:hAnsi="宋体" w:eastAsia="宋体"/>
          <w:color w:val="000000"/>
          <w:sz w:val="28"/>
        </w:rPr>
        <w:t>年平均浓度、</w:t>
      </w:r>
      <w:r>
        <w:rPr>
          <w:rFonts w:hint="default" w:ascii="Times New Roman" w:hAnsi="Times New Roman" w:eastAsia="Times New Roman"/>
          <w:color w:val="000000"/>
          <w:sz w:val="28"/>
        </w:rPr>
        <w:t>CO</w:t>
      </w:r>
      <w:r>
        <w:rPr>
          <w:rFonts w:hint="default" w:ascii="宋体" w:hAnsi="宋体" w:eastAsia="宋体"/>
          <w:color w:val="000000"/>
          <w:sz w:val="28"/>
        </w:rPr>
        <w:t>日均值的第</w:t>
      </w:r>
      <w:r>
        <w:rPr>
          <w:rFonts w:hint="default" w:ascii="Times New Roman" w:hAnsi="Times New Roman" w:eastAsia="Times New Roman"/>
          <w:color w:val="000000"/>
          <w:sz w:val="28"/>
        </w:rPr>
        <w:t>95</w:t>
      </w:r>
      <w:r>
        <w:rPr>
          <w:rFonts w:hint="default" w:ascii="宋体" w:hAnsi="宋体" w:eastAsia="宋体"/>
          <w:color w:val="000000"/>
          <w:sz w:val="28"/>
        </w:rPr>
        <w:t>百分位浓度符合国家二级标准要求；臭氧</w:t>
      </w:r>
      <w:r>
        <w:rPr>
          <w:rFonts w:hint="default" w:ascii="Times New Roman" w:hAnsi="Times New Roman" w:eastAsia="Times New Roman"/>
          <w:color w:val="000000"/>
          <w:sz w:val="28"/>
        </w:rPr>
        <w:t>8</w:t>
      </w:r>
      <w:r>
        <w:rPr>
          <w:rFonts w:hint="default" w:ascii="宋体" w:hAnsi="宋体" w:eastAsia="宋体"/>
          <w:color w:val="000000"/>
          <w:sz w:val="28"/>
        </w:rPr>
        <w:t>小时第</w:t>
      </w:r>
      <w:r>
        <w:rPr>
          <w:rFonts w:hint="default" w:ascii="Times New Roman" w:hAnsi="Times New Roman" w:eastAsia="Times New Roman"/>
          <w:color w:val="000000"/>
          <w:sz w:val="28"/>
        </w:rPr>
        <w:t>90</w:t>
      </w:r>
      <w:r>
        <w:rPr>
          <w:rFonts w:hint="default" w:ascii="宋体" w:hAnsi="宋体" w:eastAsia="宋体"/>
          <w:color w:val="000000"/>
          <w:sz w:val="28"/>
        </w:rPr>
        <w:t>位百分位浓度、</w:t>
      </w:r>
      <w:r>
        <w:rPr>
          <w:rFonts w:hint="default" w:ascii="Times New Roman" w:hAnsi="Times New Roman" w:eastAsia="Times New Roman"/>
          <w:color w:val="000000"/>
          <w:sz w:val="28"/>
        </w:rPr>
        <w:t>PM</w:t>
      </w:r>
      <w:r>
        <w:rPr>
          <w:rFonts w:hint="default" w:ascii="Times New Roman" w:hAnsi="Times New Roman" w:eastAsia="Times New Roman"/>
          <w:color w:val="000000"/>
          <w:sz w:val="28"/>
          <w:vertAlign w:val="subscript"/>
        </w:rPr>
        <w:t>2.5</w:t>
      </w:r>
      <w:r>
        <w:rPr>
          <w:rFonts w:hint="default" w:ascii="宋体" w:hAnsi="宋体" w:eastAsia="宋体"/>
          <w:color w:val="000000"/>
          <w:sz w:val="28"/>
        </w:rPr>
        <w:t>年平均浓度均超过《环境空气质量标准》（</w:t>
      </w:r>
      <w:r>
        <w:rPr>
          <w:rFonts w:hint="default" w:ascii="Times New Roman" w:hAnsi="Times New Roman" w:eastAsia="Times New Roman"/>
          <w:color w:val="000000"/>
          <w:sz w:val="28"/>
        </w:rPr>
        <w:t>GB3095-2012</w:t>
      </w:r>
      <w:r>
        <w:rPr>
          <w:rFonts w:hint="default" w:ascii="宋体" w:hAnsi="宋体" w:eastAsia="宋体"/>
          <w:color w:val="000000"/>
          <w:sz w:val="28"/>
        </w:rPr>
        <w:t>）二级标准值。根据《环境影响评价技术导则</w:t>
      </w:r>
      <w:r>
        <w:rPr>
          <w:rFonts w:hint="eastAsia" w:ascii="宋体" w:hAnsi="宋体"/>
          <w:color w:val="000000"/>
          <w:sz w:val="28"/>
          <w:lang w:val="en-US" w:eastAsia="zh-CN"/>
        </w:rPr>
        <w:t xml:space="preserve"> </w:t>
      </w:r>
      <w:r>
        <w:rPr>
          <w:rFonts w:hint="default" w:ascii="宋体" w:hAnsi="宋体" w:eastAsia="宋体"/>
          <w:color w:val="000000"/>
          <w:sz w:val="28"/>
        </w:rPr>
        <w:t>大气环境》（</w:t>
      </w:r>
      <w:r>
        <w:rPr>
          <w:rFonts w:hint="default" w:ascii="Times New Roman" w:hAnsi="Times New Roman" w:eastAsia="Times New Roman"/>
          <w:color w:val="000000"/>
          <w:sz w:val="28"/>
        </w:rPr>
        <w:t>HJ2.2-2018</w:t>
      </w:r>
      <w:r>
        <w:rPr>
          <w:rFonts w:hint="default" w:ascii="宋体" w:hAnsi="宋体" w:eastAsia="宋体"/>
          <w:color w:val="000000"/>
          <w:sz w:val="28"/>
        </w:rPr>
        <w:t>），连云港市环境控制属于不达标区。</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连云港市环境空气质量达标规划由环境保护部华南环境科学研究所编制，</w:t>
      </w:r>
      <w:r>
        <w:rPr>
          <w:rFonts w:hint="default" w:ascii="Times New Roman" w:hAnsi="Times New Roman" w:eastAsia="Times New Roman"/>
          <w:color w:val="000000"/>
          <w:sz w:val="28"/>
        </w:rPr>
        <w:t>2016</w:t>
      </w:r>
      <w:r>
        <w:rPr>
          <w:rFonts w:hint="default" w:ascii="宋体" w:hAnsi="宋体" w:eastAsia="宋体"/>
          <w:color w:val="000000"/>
          <w:sz w:val="28"/>
        </w:rPr>
        <w:t>年</w:t>
      </w:r>
      <w:r>
        <w:rPr>
          <w:rFonts w:hint="default" w:ascii="Times New Roman" w:hAnsi="Times New Roman" w:eastAsia="Times New Roman"/>
          <w:color w:val="000000"/>
          <w:sz w:val="28"/>
        </w:rPr>
        <w:t>9</w:t>
      </w:r>
      <w:r>
        <w:rPr>
          <w:rFonts w:hint="default" w:ascii="宋体" w:hAnsi="宋体" w:eastAsia="宋体"/>
          <w:color w:val="000000"/>
          <w:sz w:val="28"/>
        </w:rPr>
        <w:t>月获得连云港市人民政府批复（批复文号：连政复</w:t>
      </w:r>
      <w:r>
        <w:rPr>
          <w:rFonts w:hint="default" w:ascii="Times New Roman" w:hAnsi="Times New Roman" w:eastAsia="Times New Roman"/>
          <w:color w:val="000000"/>
          <w:sz w:val="28"/>
        </w:rPr>
        <w:t>[2016]38</w:t>
      </w:r>
      <w:r>
        <w:rPr>
          <w:rFonts w:hint="default" w:ascii="宋体" w:hAnsi="宋体" w:eastAsia="宋体"/>
          <w:color w:val="000000"/>
          <w:sz w:val="28"/>
        </w:rPr>
        <w:t>号）。</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根据达标规划，连云港市</w:t>
      </w:r>
      <w:r>
        <w:rPr>
          <w:rFonts w:hint="default" w:ascii="Times New Roman" w:hAnsi="Times New Roman" w:eastAsia="Times New Roman"/>
          <w:color w:val="000000"/>
          <w:sz w:val="28"/>
        </w:rPr>
        <w:t>SO</w:t>
      </w:r>
      <w:r>
        <w:rPr>
          <w:rFonts w:hint="default" w:ascii="Times New Roman" w:hAnsi="Times New Roman" w:eastAsia="Times New Roman"/>
          <w:color w:val="000000"/>
          <w:sz w:val="18"/>
        </w:rPr>
        <w:t>2</w:t>
      </w:r>
      <w:r>
        <w:rPr>
          <w:rFonts w:hint="default" w:ascii="宋体" w:hAnsi="宋体" w:eastAsia="宋体"/>
          <w:color w:val="000000"/>
          <w:sz w:val="28"/>
        </w:rPr>
        <w:t>、</w:t>
      </w:r>
      <w:r>
        <w:rPr>
          <w:rFonts w:hint="default" w:ascii="Times New Roman" w:hAnsi="Times New Roman" w:eastAsia="Times New Roman"/>
          <w:color w:val="000000"/>
          <w:sz w:val="28"/>
        </w:rPr>
        <w:t>NOx</w:t>
      </w:r>
      <w:r>
        <w:rPr>
          <w:rFonts w:hint="default" w:ascii="宋体" w:hAnsi="宋体" w:eastAsia="宋体"/>
          <w:color w:val="000000"/>
          <w:sz w:val="28"/>
        </w:rPr>
        <w:t>、烟尘、</w:t>
      </w:r>
      <w:r>
        <w:rPr>
          <w:rFonts w:hint="default" w:ascii="Times New Roman" w:hAnsi="Times New Roman" w:eastAsia="Times New Roman"/>
          <w:color w:val="000000"/>
          <w:sz w:val="28"/>
        </w:rPr>
        <w:t>VOC</w:t>
      </w:r>
      <w:r>
        <w:rPr>
          <w:rFonts w:hint="default" w:ascii="宋体" w:hAnsi="宋体" w:eastAsia="宋体"/>
          <w:color w:val="000000"/>
          <w:sz w:val="28"/>
        </w:rPr>
        <w:t>减排潜力分别为</w:t>
      </w:r>
      <w:r>
        <w:rPr>
          <w:rFonts w:hint="default" w:ascii="Times New Roman" w:hAnsi="Times New Roman" w:eastAsia="Times New Roman"/>
          <w:color w:val="000000"/>
          <w:sz w:val="28"/>
        </w:rPr>
        <w:t>4.82</w:t>
      </w:r>
      <w:r>
        <w:rPr>
          <w:rFonts w:hint="default" w:ascii="宋体" w:hAnsi="宋体" w:eastAsia="宋体"/>
          <w:color w:val="000000"/>
          <w:sz w:val="28"/>
        </w:rPr>
        <w:t>万吨、</w:t>
      </w:r>
      <w:r>
        <w:rPr>
          <w:rFonts w:hint="default" w:ascii="Times New Roman" w:hAnsi="Times New Roman" w:eastAsia="Times New Roman"/>
          <w:color w:val="000000"/>
          <w:sz w:val="28"/>
        </w:rPr>
        <w:t>3.00</w:t>
      </w:r>
      <w:r>
        <w:rPr>
          <w:rFonts w:hint="default" w:ascii="宋体" w:hAnsi="宋体" w:eastAsia="宋体"/>
          <w:color w:val="000000"/>
          <w:sz w:val="28"/>
        </w:rPr>
        <w:t>万吨、</w:t>
      </w:r>
      <w:r>
        <w:rPr>
          <w:rFonts w:hint="default" w:ascii="Times New Roman" w:hAnsi="Times New Roman" w:eastAsia="Times New Roman"/>
          <w:color w:val="000000"/>
          <w:sz w:val="28"/>
        </w:rPr>
        <w:t>2.28</w:t>
      </w:r>
      <w:r>
        <w:rPr>
          <w:rFonts w:hint="default" w:ascii="宋体" w:hAnsi="宋体" w:eastAsia="宋体"/>
          <w:color w:val="000000"/>
          <w:sz w:val="28"/>
        </w:rPr>
        <w:t>万吨、</w:t>
      </w:r>
      <w:r>
        <w:rPr>
          <w:rFonts w:hint="default" w:ascii="Times New Roman" w:hAnsi="Times New Roman" w:eastAsia="Times New Roman"/>
          <w:color w:val="000000"/>
          <w:sz w:val="28"/>
        </w:rPr>
        <w:t>3.92</w:t>
      </w:r>
      <w:r>
        <w:rPr>
          <w:rFonts w:hint="default" w:ascii="宋体" w:hAnsi="宋体" w:eastAsia="宋体"/>
          <w:color w:val="000000"/>
          <w:sz w:val="28"/>
        </w:rPr>
        <w:t>万吨。在基础上，连云港市政府印发了《连云港市</w:t>
      </w:r>
      <w:r>
        <w:rPr>
          <w:rFonts w:hint="default" w:ascii="Times New Roman" w:hAnsi="Times New Roman" w:eastAsia="Times New Roman"/>
          <w:color w:val="000000"/>
          <w:sz w:val="28"/>
        </w:rPr>
        <w:t>“</w:t>
      </w:r>
      <w:r>
        <w:rPr>
          <w:rFonts w:hint="default" w:ascii="宋体" w:hAnsi="宋体" w:eastAsia="宋体"/>
          <w:color w:val="000000"/>
          <w:sz w:val="28"/>
        </w:rPr>
        <w:t>十三五</w:t>
      </w:r>
      <w:r>
        <w:rPr>
          <w:rFonts w:hint="default" w:ascii="Times New Roman" w:hAnsi="Times New Roman" w:eastAsia="Times New Roman"/>
          <w:color w:val="000000"/>
          <w:sz w:val="28"/>
        </w:rPr>
        <w:t>”</w:t>
      </w:r>
      <w:r>
        <w:rPr>
          <w:rFonts w:hint="default" w:ascii="宋体" w:hAnsi="宋体" w:eastAsia="宋体"/>
          <w:color w:val="000000"/>
          <w:sz w:val="28"/>
        </w:rPr>
        <w:t>大气污染防治工作计划》，将区域减排工作分解到年度。到</w:t>
      </w:r>
      <w:r>
        <w:rPr>
          <w:rFonts w:hint="default" w:ascii="Times New Roman" w:hAnsi="Times New Roman" w:eastAsia="Times New Roman"/>
          <w:color w:val="000000"/>
          <w:sz w:val="28"/>
        </w:rPr>
        <w:t>2020</w:t>
      </w:r>
      <w:r>
        <w:rPr>
          <w:rFonts w:hint="default" w:ascii="宋体" w:hAnsi="宋体" w:eastAsia="宋体"/>
          <w:color w:val="000000"/>
          <w:sz w:val="28"/>
        </w:rPr>
        <w:t>年，连云港市二氧化硫排放量与</w:t>
      </w:r>
      <w:r>
        <w:rPr>
          <w:rFonts w:hint="default" w:ascii="Times New Roman" w:hAnsi="Times New Roman" w:eastAsia="Times New Roman"/>
          <w:color w:val="000000"/>
          <w:sz w:val="28"/>
        </w:rPr>
        <w:t>2015</w:t>
      </w:r>
      <w:r>
        <w:rPr>
          <w:rFonts w:hint="default" w:ascii="宋体" w:hAnsi="宋体" w:eastAsia="宋体"/>
          <w:color w:val="000000"/>
          <w:sz w:val="28"/>
        </w:rPr>
        <w:t>年相比削减</w:t>
      </w:r>
      <w:r>
        <w:rPr>
          <w:rFonts w:hint="default" w:ascii="Times New Roman" w:hAnsi="Times New Roman" w:eastAsia="Times New Roman"/>
          <w:color w:val="000000"/>
          <w:sz w:val="28"/>
        </w:rPr>
        <w:t>35%</w:t>
      </w:r>
      <w:r>
        <w:rPr>
          <w:rFonts w:hint="default" w:ascii="宋体" w:hAnsi="宋体" w:eastAsia="宋体"/>
          <w:color w:val="000000"/>
          <w:sz w:val="28"/>
        </w:rPr>
        <w:t>，控制在</w:t>
      </w:r>
      <w:r>
        <w:rPr>
          <w:rFonts w:hint="default" w:ascii="Times New Roman" w:hAnsi="Times New Roman" w:eastAsia="Times New Roman"/>
          <w:color w:val="000000"/>
          <w:sz w:val="28"/>
        </w:rPr>
        <w:t>3.40</w:t>
      </w:r>
      <w:r>
        <w:rPr>
          <w:rFonts w:hint="default" w:ascii="宋体" w:hAnsi="宋体" w:eastAsia="宋体"/>
          <w:color w:val="000000"/>
          <w:sz w:val="28"/>
        </w:rPr>
        <w:t>万吨以内；氮氧化物排放量与</w:t>
      </w:r>
      <w:r>
        <w:rPr>
          <w:rFonts w:hint="default" w:ascii="Times New Roman" w:hAnsi="Times New Roman" w:eastAsia="Times New Roman"/>
          <w:color w:val="000000"/>
          <w:sz w:val="28"/>
        </w:rPr>
        <w:t>2015</w:t>
      </w:r>
      <w:r>
        <w:rPr>
          <w:rFonts w:hint="default" w:ascii="宋体" w:hAnsi="宋体" w:eastAsia="宋体"/>
          <w:color w:val="000000"/>
          <w:sz w:val="28"/>
        </w:rPr>
        <w:t>年相比削减</w:t>
      </w:r>
      <w:r>
        <w:rPr>
          <w:rFonts w:hint="default" w:ascii="Times New Roman" w:hAnsi="Times New Roman" w:eastAsia="Times New Roman"/>
          <w:color w:val="000000"/>
          <w:sz w:val="28"/>
        </w:rPr>
        <w:t>30%</w:t>
      </w:r>
      <w:r>
        <w:rPr>
          <w:rFonts w:hint="default" w:ascii="宋体" w:hAnsi="宋体" w:eastAsia="宋体"/>
          <w:color w:val="000000"/>
          <w:sz w:val="28"/>
        </w:rPr>
        <w:t>，控制在</w:t>
      </w:r>
      <w:r>
        <w:rPr>
          <w:rFonts w:hint="default" w:ascii="Times New Roman" w:hAnsi="Times New Roman" w:eastAsia="Times New Roman"/>
          <w:color w:val="000000"/>
          <w:sz w:val="28"/>
        </w:rPr>
        <w:t>4.67</w:t>
      </w:r>
      <w:r>
        <w:rPr>
          <w:rFonts w:hint="default" w:ascii="宋体" w:hAnsi="宋体" w:eastAsia="宋体"/>
          <w:color w:val="000000"/>
          <w:sz w:val="28"/>
        </w:rPr>
        <w:t>万吨以内；颗粒物与</w:t>
      </w:r>
      <w:r>
        <w:rPr>
          <w:rFonts w:hint="default" w:ascii="Times New Roman" w:hAnsi="Times New Roman" w:eastAsia="Times New Roman"/>
          <w:color w:val="000000"/>
          <w:sz w:val="28"/>
        </w:rPr>
        <w:t>2015</w:t>
      </w:r>
      <w:r>
        <w:rPr>
          <w:rFonts w:hint="default" w:ascii="宋体" w:hAnsi="宋体" w:eastAsia="宋体"/>
          <w:color w:val="000000"/>
          <w:sz w:val="28"/>
        </w:rPr>
        <w:t>年相比削减</w:t>
      </w:r>
      <w:r>
        <w:rPr>
          <w:rFonts w:hint="default" w:ascii="Times New Roman" w:hAnsi="Times New Roman" w:eastAsia="Times New Roman"/>
          <w:color w:val="000000"/>
          <w:sz w:val="28"/>
        </w:rPr>
        <w:t>36%</w:t>
      </w:r>
      <w:r>
        <w:rPr>
          <w:rFonts w:hint="default" w:ascii="宋体" w:hAnsi="宋体" w:eastAsia="宋体"/>
          <w:color w:val="000000"/>
          <w:sz w:val="28"/>
        </w:rPr>
        <w:t>，控制在</w:t>
      </w:r>
      <w:r>
        <w:rPr>
          <w:rFonts w:hint="default" w:ascii="Times New Roman" w:hAnsi="Times New Roman" w:eastAsia="Times New Roman"/>
          <w:color w:val="000000"/>
          <w:sz w:val="28"/>
        </w:rPr>
        <w:t>2.18</w:t>
      </w:r>
      <w:r>
        <w:rPr>
          <w:rFonts w:hint="default" w:ascii="宋体" w:hAnsi="宋体" w:eastAsia="宋体"/>
          <w:color w:val="000000"/>
          <w:sz w:val="28"/>
        </w:rPr>
        <w:t>万吨以内；挥发性有机物排放口与</w:t>
      </w:r>
      <w:r>
        <w:rPr>
          <w:rFonts w:hint="default" w:ascii="Times New Roman" w:hAnsi="Times New Roman" w:eastAsia="Times New Roman"/>
          <w:color w:val="000000"/>
          <w:sz w:val="28"/>
        </w:rPr>
        <w:t>2015</w:t>
      </w:r>
      <w:r>
        <w:rPr>
          <w:rFonts w:hint="default" w:ascii="宋体" w:hAnsi="宋体" w:eastAsia="宋体"/>
          <w:color w:val="000000"/>
          <w:sz w:val="28"/>
        </w:rPr>
        <w:t>年相比削减</w:t>
      </w:r>
      <w:r>
        <w:rPr>
          <w:rFonts w:hint="default" w:ascii="Times New Roman" w:hAnsi="Times New Roman" w:eastAsia="Times New Roman"/>
          <w:color w:val="000000"/>
          <w:sz w:val="28"/>
        </w:rPr>
        <w:t>18%</w:t>
      </w:r>
      <w:r>
        <w:rPr>
          <w:rFonts w:hint="default" w:ascii="宋体" w:hAnsi="宋体" w:eastAsia="宋体"/>
          <w:color w:val="000000"/>
          <w:sz w:val="28"/>
        </w:rPr>
        <w:t>，控制在</w:t>
      </w:r>
      <w:r>
        <w:rPr>
          <w:rFonts w:hint="default" w:ascii="Times New Roman" w:hAnsi="Times New Roman" w:eastAsia="Times New Roman"/>
          <w:color w:val="000000"/>
          <w:sz w:val="28"/>
        </w:rPr>
        <w:t>6.95</w:t>
      </w:r>
      <w:r>
        <w:rPr>
          <w:rFonts w:hint="default" w:ascii="宋体" w:hAnsi="宋体" w:eastAsia="宋体"/>
          <w:color w:val="000000"/>
          <w:sz w:val="28"/>
        </w:rPr>
        <w:t>万吨以内。</w:t>
      </w:r>
    </w:p>
    <w:p>
      <w:pPr>
        <w:rPr>
          <w:rFonts w:hint="default"/>
          <w:lang w:val="en-US" w:eastAsia="zh-CN"/>
        </w:rPr>
      </w:pPr>
      <w:r>
        <w:rPr>
          <w:rFonts w:hint="default" w:ascii="宋体" w:hAnsi="宋体" w:eastAsia="宋体"/>
          <w:color w:val="000000"/>
          <w:sz w:val="28"/>
        </w:rPr>
        <w:t>在落实了《连云港市空气质量达标规划》中的减排方案后，</w:t>
      </w:r>
      <w:r>
        <w:rPr>
          <w:rFonts w:hint="default" w:ascii="Times New Roman" w:hAnsi="Times New Roman" w:eastAsia="Times New Roman"/>
          <w:color w:val="000000"/>
          <w:sz w:val="28"/>
        </w:rPr>
        <w:t>2020</w:t>
      </w:r>
      <w:r>
        <w:rPr>
          <w:rFonts w:hint="default" w:ascii="宋体" w:hAnsi="宋体" w:eastAsia="宋体"/>
          <w:color w:val="000000"/>
          <w:sz w:val="28"/>
        </w:rPr>
        <w:t>年</w:t>
      </w:r>
      <w:r>
        <w:rPr>
          <w:rFonts w:hint="default" w:ascii="Times New Roman" w:hAnsi="Times New Roman" w:eastAsia="Times New Roman"/>
          <w:color w:val="000000"/>
          <w:sz w:val="28"/>
        </w:rPr>
        <w:t>PM</w:t>
      </w:r>
      <w:r>
        <w:rPr>
          <w:rFonts w:hint="default" w:ascii="Times New Roman" w:hAnsi="Times New Roman" w:eastAsia="Times New Roman"/>
          <w:color w:val="000000"/>
          <w:sz w:val="18"/>
        </w:rPr>
        <w:t>2.5</w:t>
      </w:r>
      <w:r>
        <w:rPr>
          <w:rFonts w:hint="default" w:ascii="宋体" w:hAnsi="宋体" w:eastAsia="宋体"/>
          <w:color w:val="000000"/>
          <w:sz w:val="28"/>
        </w:rPr>
        <w:t>浓度相比</w:t>
      </w:r>
      <w:r>
        <w:rPr>
          <w:rFonts w:hint="default" w:ascii="Times New Roman" w:hAnsi="Times New Roman" w:eastAsia="Times New Roman"/>
          <w:color w:val="000000"/>
          <w:sz w:val="28"/>
        </w:rPr>
        <w:t>2014</w:t>
      </w:r>
      <w:r>
        <w:rPr>
          <w:rFonts w:hint="default" w:ascii="宋体" w:hAnsi="宋体" w:eastAsia="宋体"/>
          <w:color w:val="000000"/>
          <w:sz w:val="28"/>
        </w:rPr>
        <w:t>年下降</w:t>
      </w:r>
      <w:r>
        <w:rPr>
          <w:rFonts w:hint="default" w:ascii="Times New Roman" w:hAnsi="Times New Roman" w:eastAsia="Times New Roman"/>
          <w:color w:val="000000"/>
          <w:sz w:val="28"/>
        </w:rPr>
        <w:t>31.7%</w:t>
      </w:r>
      <w:r>
        <w:rPr>
          <w:rFonts w:hint="default" w:ascii="宋体" w:hAnsi="宋体" w:eastAsia="宋体"/>
          <w:color w:val="000000"/>
          <w:sz w:val="28"/>
        </w:rPr>
        <w:t>，年均浓度</w:t>
      </w:r>
      <w:r>
        <w:rPr>
          <w:rFonts w:hint="default" w:ascii="Times New Roman" w:hAnsi="Times New Roman" w:eastAsia="Times New Roman"/>
          <w:color w:val="000000"/>
          <w:sz w:val="28"/>
        </w:rPr>
        <w:t>43.9</w:t>
      </w:r>
      <w:r>
        <w:rPr>
          <w:rFonts w:hint="default" w:ascii="宋体" w:hAnsi="宋体" w:eastAsia="宋体"/>
          <w:color w:val="000000"/>
          <w:sz w:val="28"/>
        </w:rPr>
        <w:t>微克</w:t>
      </w:r>
      <w:r>
        <w:rPr>
          <w:rFonts w:hint="default" w:ascii="Times New Roman" w:hAnsi="Times New Roman" w:eastAsia="Times New Roman"/>
          <w:color w:val="000000"/>
          <w:sz w:val="28"/>
        </w:rPr>
        <w:t>/</w:t>
      </w:r>
      <w:r>
        <w:rPr>
          <w:rFonts w:hint="default" w:ascii="宋体" w:hAnsi="宋体" w:eastAsia="宋体"/>
          <w:color w:val="000000"/>
          <w:sz w:val="28"/>
        </w:rPr>
        <w:t>立方米，基本达到污染控制目标（下降</w:t>
      </w:r>
      <w:r>
        <w:rPr>
          <w:rFonts w:hint="default" w:ascii="Times New Roman" w:hAnsi="Times New Roman" w:eastAsia="Times New Roman"/>
          <w:color w:val="000000"/>
          <w:sz w:val="28"/>
        </w:rPr>
        <w:t>28%</w:t>
      </w:r>
      <w:r>
        <w:rPr>
          <w:rFonts w:hint="default" w:ascii="宋体" w:hAnsi="宋体" w:eastAsia="宋体"/>
          <w:color w:val="000000"/>
          <w:sz w:val="28"/>
        </w:rPr>
        <w:t>），</w:t>
      </w:r>
      <w:r>
        <w:rPr>
          <w:rFonts w:hint="default" w:ascii="Times New Roman" w:hAnsi="Times New Roman" w:eastAsia="Times New Roman"/>
          <w:color w:val="000000"/>
          <w:sz w:val="28"/>
        </w:rPr>
        <w:t xml:space="preserve">2030 </w:t>
      </w:r>
      <w:r>
        <w:rPr>
          <w:rFonts w:hint="default" w:ascii="宋体" w:hAnsi="宋体" w:eastAsia="宋体"/>
          <w:color w:val="000000"/>
          <w:sz w:val="28"/>
        </w:rPr>
        <w:t>年</w:t>
      </w:r>
      <w:r>
        <w:rPr>
          <w:rFonts w:hint="default" w:ascii="Times New Roman" w:hAnsi="Times New Roman" w:eastAsia="Times New Roman"/>
          <w:color w:val="000000"/>
          <w:sz w:val="28"/>
        </w:rPr>
        <w:t>PM</w:t>
      </w:r>
      <w:r>
        <w:rPr>
          <w:rFonts w:hint="default" w:ascii="Times New Roman" w:hAnsi="Times New Roman" w:eastAsia="Times New Roman"/>
          <w:color w:val="000000"/>
          <w:sz w:val="18"/>
        </w:rPr>
        <w:t>2.5</w:t>
      </w:r>
      <w:r>
        <w:rPr>
          <w:rFonts w:hint="default" w:ascii="宋体" w:hAnsi="宋体" w:eastAsia="宋体"/>
          <w:color w:val="000000"/>
          <w:sz w:val="28"/>
        </w:rPr>
        <w:t>浓度相比</w:t>
      </w:r>
      <w:r>
        <w:rPr>
          <w:rFonts w:hint="default" w:ascii="Times New Roman" w:hAnsi="Times New Roman" w:eastAsia="Times New Roman"/>
          <w:color w:val="000000"/>
          <w:sz w:val="28"/>
        </w:rPr>
        <w:t xml:space="preserve">2014 </w:t>
      </w:r>
      <w:r>
        <w:rPr>
          <w:rFonts w:hint="default" w:ascii="宋体" w:hAnsi="宋体" w:eastAsia="宋体"/>
          <w:color w:val="000000"/>
          <w:sz w:val="28"/>
        </w:rPr>
        <w:t>年下降</w:t>
      </w:r>
      <w:r>
        <w:rPr>
          <w:rFonts w:hint="default" w:ascii="Times New Roman" w:hAnsi="Times New Roman" w:eastAsia="Times New Roman"/>
          <w:color w:val="000000"/>
          <w:sz w:val="28"/>
        </w:rPr>
        <w:t>46%</w:t>
      </w:r>
      <w:r>
        <w:rPr>
          <w:rFonts w:hint="default" w:ascii="宋体" w:hAnsi="宋体" w:eastAsia="宋体"/>
          <w:color w:val="000000"/>
          <w:sz w:val="28"/>
        </w:rPr>
        <w:t>，年均浓度</w:t>
      </w:r>
      <w:r>
        <w:rPr>
          <w:rFonts w:hint="default" w:ascii="Times New Roman" w:hAnsi="Times New Roman" w:eastAsia="Times New Roman"/>
          <w:color w:val="000000"/>
          <w:sz w:val="28"/>
        </w:rPr>
        <w:t xml:space="preserve">33.05 </w:t>
      </w:r>
      <w:r>
        <w:rPr>
          <w:rFonts w:hint="default" w:ascii="宋体" w:hAnsi="宋体" w:eastAsia="宋体"/>
          <w:color w:val="000000"/>
          <w:sz w:val="28"/>
        </w:rPr>
        <w:t>微克</w:t>
      </w:r>
      <w:r>
        <w:rPr>
          <w:rFonts w:hint="default" w:ascii="Times New Roman" w:hAnsi="Times New Roman" w:eastAsia="Times New Roman"/>
          <w:color w:val="000000"/>
          <w:sz w:val="28"/>
        </w:rPr>
        <w:t>/</w:t>
      </w:r>
      <w:r>
        <w:rPr>
          <w:rFonts w:hint="default" w:ascii="宋体" w:hAnsi="宋体" w:eastAsia="宋体"/>
          <w:color w:val="000000"/>
          <w:sz w:val="28"/>
        </w:rPr>
        <w:t>立方米，占标率</w:t>
      </w:r>
      <w:r>
        <w:rPr>
          <w:rFonts w:hint="default" w:ascii="Times New Roman" w:hAnsi="Times New Roman" w:eastAsia="Times New Roman"/>
          <w:color w:val="000000"/>
          <w:sz w:val="28"/>
        </w:rPr>
        <w:t>94.42%</w:t>
      </w:r>
      <w:r>
        <w:rPr>
          <w:rFonts w:hint="default" w:ascii="宋体" w:hAnsi="宋体" w:eastAsia="宋体"/>
          <w:color w:val="000000"/>
          <w:sz w:val="28"/>
        </w:rPr>
        <w:t>，优于二级标准要求。预测结果显示，预计</w:t>
      </w:r>
      <w:r>
        <w:rPr>
          <w:rFonts w:hint="default" w:ascii="Times New Roman" w:hAnsi="Times New Roman" w:eastAsia="Times New Roman"/>
          <w:color w:val="000000"/>
          <w:sz w:val="28"/>
        </w:rPr>
        <w:t xml:space="preserve">2020 </w:t>
      </w:r>
      <w:r>
        <w:rPr>
          <w:rFonts w:hint="default" w:ascii="宋体" w:hAnsi="宋体" w:eastAsia="宋体"/>
          <w:color w:val="000000"/>
          <w:sz w:val="28"/>
        </w:rPr>
        <w:t>年超标天数为</w:t>
      </w:r>
      <w:r>
        <w:rPr>
          <w:rFonts w:hint="default" w:ascii="Times New Roman" w:hAnsi="Times New Roman" w:eastAsia="Times New Roman"/>
          <w:color w:val="000000"/>
          <w:sz w:val="28"/>
        </w:rPr>
        <w:t xml:space="preserve">54 </w:t>
      </w:r>
      <w:r>
        <w:rPr>
          <w:rFonts w:hint="default" w:ascii="宋体" w:hAnsi="宋体" w:eastAsia="宋体"/>
          <w:color w:val="000000"/>
          <w:sz w:val="28"/>
        </w:rPr>
        <w:t>天，主要集中在冬季，全年优良率</w:t>
      </w:r>
      <w:r>
        <w:rPr>
          <w:rFonts w:hint="default" w:ascii="Times New Roman" w:hAnsi="Times New Roman" w:eastAsia="Times New Roman"/>
          <w:color w:val="000000"/>
          <w:sz w:val="28"/>
        </w:rPr>
        <w:t>85%</w:t>
      </w:r>
      <w:r>
        <w:rPr>
          <w:rFonts w:hint="default" w:ascii="宋体" w:hAnsi="宋体" w:eastAsia="宋体"/>
          <w:color w:val="000000"/>
          <w:sz w:val="28"/>
        </w:rPr>
        <w:t>以上，</w:t>
      </w:r>
      <w:r>
        <w:rPr>
          <w:rFonts w:hint="default" w:ascii="Times New Roman" w:hAnsi="Times New Roman" w:eastAsia="Times New Roman"/>
          <w:color w:val="000000"/>
          <w:sz w:val="28"/>
        </w:rPr>
        <w:t xml:space="preserve">2030 </w:t>
      </w:r>
      <w:r>
        <w:rPr>
          <w:rFonts w:hint="default" w:ascii="宋体" w:hAnsi="宋体" w:eastAsia="宋体"/>
          <w:color w:val="000000"/>
          <w:sz w:val="28"/>
        </w:rPr>
        <w:t>年超标天数约</w:t>
      </w:r>
      <w:r>
        <w:rPr>
          <w:rFonts w:hint="default" w:ascii="Times New Roman" w:hAnsi="Times New Roman" w:eastAsia="Times New Roman"/>
          <w:color w:val="000000"/>
          <w:sz w:val="28"/>
        </w:rPr>
        <w:t xml:space="preserve">18 </w:t>
      </w:r>
      <w:r>
        <w:rPr>
          <w:rFonts w:hint="default" w:ascii="宋体" w:hAnsi="宋体" w:eastAsia="宋体"/>
          <w:color w:val="000000"/>
          <w:sz w:val="28"/>
        </w:rPr>
        <w:t>天，全年优良率达到</w:t>
      </w:r>
      <w:r>
        <w:rPr>
          <w:rFonts w:hint="default" w:ascii="Times New Roman" w:hAnsi="Times New Roman" w:eastAsia="Times New Roman"/>
          <w:color w:val="000000"/>
          <w:sz w:val="28"/>
        </w:rPr>
        <w:t>95%</w:t>
      </w:r>
      <w:r>
        <w:rPr>
          <w:rFonts w:hint="default" w:ascii="宋体" w:hAnsi="宋体" w:eastAsia="宋体"/>
          <w:color w:val="000000"/>
          <w:sz w:val="28"/>
        </w:rPr>
        <w:t>以上。类比</w:t>
      </w:r>
      <w:r>
        <w:rPr>
          <w:rFonts w:hint="default" w:ascii="Times New Roman" w:hAnsi="Times New Roman" w:eastAsia="Times New Roman"/>
          <w:color w:val="000000"/>
          <w:sz w:val="28"/>
        </w:rPr>
        <w:t>2030</w:t>
      </w:r>
      <w:r>
        <w:rPr>
          <w:rFonts w:hint="default" w:ascii="宋体" w:hAnsi="宋体" w:eastAsia="宋体"/>
          <w:color w:val="000000"/>
          <w:sz w:val="28"/>
        </w:rPr>
        <w:t>年年平均质量浓度占标率，</w:t>
      </w:r>
      <w:r>
        <w:rPr>
          <w:rFonts w:hint="default" w:ascii="Times New Roman" w:hAnsi="Times New Roman" w:eastAsia="Times New Roman"/>
          <w:color w:val="000000"/>
          <w:sz w:val="28"/>
        </w:rPr>
        <w:t>PM</w:t>
      </w:r>
      <w:r>
        <w:rPr>
          <w:rFonts w:hint="default" w:ascii="Times New Roman" w:hAnsi="Times New Roman" w:eastAsia="Times New Roman"/>
          <w:color w:val="000000"/>
          <w:sz w:val="18"/>
        </w:rPr>
        <w:t>2.5</w:t>
      </w:r>
      <w:r>
        <w:rPr>
          <w:rFonts w:hint="default" w:ascii="Times New Roman" w:hAnsi="Times New Roman" w:eastAsia="Times New Roman"/>
          <w:color w:val="000000"/>
          <w:sz w:val="28"/>
        </w:rPr>
        <w:t>95%</w:t>
      </w:r>
      <w:r>
        <w:rPr>
          <w:rFonts w:hint="default" w:ascii="宋体" w:hAnsi="宋体" w:eastAsia="宋体"/>
          <w:color w:val="000000"/>
          <w:sz w:val="28"/>
        </w:rPr>
        <w:t>保证率日平均质量浓度浓度占标率取</w:t>
      </w:r>
      <w:r>
        <w:rPr>
          <w:rFonts w:hint="default" w:ascii="Times New Roman" w:hAnsi="Times New Roman" w:eastAsia="Times New Roman"/>
          <w:color w:val="000000"/>
          <w:sz w:val="28"/>
        </w:rPr>
        <w:t>94.42%</w:t>
      </w:r>
      <w:r>
        <w:rPr>
          <w:rFonts w:hint="default" w:ascii="宋体" w:hAnsi="宋体" w:eastAsia="宋体"/>
          <w:color w:val="000000"/>
          <w:sz w:val="28"/>
        </w:rPr>
        <w:t>，达标规划目标浓度为</w:t>
      </w:r>
      <w:r>
        <w:rPr>
          <w:rFonts w:hint="default" w:ascii="Times New Roman" w:hAnsi="Times New Roman" w:eastAsia="Times New Roman"/>
          <w:color w:val="000000"/>
          <w:sz w:val="28"/>
        </w:rPr>
        <w:t>71μg/m</w:t>
      </w:r>
      <w:r>
        <w:rPr>
          <w:rFonts w:hint="default" w:ascii="Times New Roman" w:hAnsi="Times New Roman" w:eastAsia="Times New Roman"/>
          <w:color w:val="000000"/>
          <w:sz w:val="18"/>
        </w:rPr>
        <w:t>3</w:t>
      </w:r>
      <w:r>
        <w:rPr>
          <w:rFonts w:hint="default" w:ascii="宋体" w:hAnsi="宋体" w:eastAsia="宋体"/>
          <w:color w:val="000000"/>
          <w:sz w:val="28"/>
        </w:rPr>
        <w:t>。</w:t>
      </w:r>
    </w:p>
    <w:p>
      <w:pPr>
        <w:pStyle w:val="6"/>
        <w:bidi w:val="0"/>
        <w:rPr>
          <w:rFonts w:hint="eastAsia"/>
          <w:lang w:val="en-US" w:eastAsia="zh-CN"/>
        </w:rPr>
      </w:pPr>
      <w:r>
        <w:rPr>
          <w:rFonts w:hint="eastAsia"/>
          <w:lang w:val="en-US" w:eastAsia="zh-CN"/>
        </w:rPr>
        <w:t>4.3.1.2 其他污染物环境质量现状</w:t>
      </w:r>
    </w:p>
    <w:p>
      <w:pPr>
        <w:bidi w:val="0"/>
        <w:rPr>
          <w:rFonts w:hint="eastAsia"/>
          <w:lang w:val="en-US" w:eastAsia="zh-CN"/>
        </w:rPr>
      </w:pPr>
      <w:r>
        <w:rPr>
          <w:rFonts w:hint="eastAsia"/>
          <w:lang w:val="en-US" w:eastAsia="zh-CN"/>
        </w:rPr>
        <w:t>（1）监测点位设置及监测因子</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监测点的布设考虑了环境保护区内的大气环境保护目标、功能区划分，并兼顾主导风向和均匀性的原则，根据《环境影响评价技术导则大气环境》（</w:t>
      </w:r>
      <w:r>
        <w:rPr>
          <w:rFonts w:hint="default" w:ascii="Times New Roman" w:hAnsi="Times New Roman" w:eastAsia="Times New Roman"/>
          <w:color w:val="000000"/>
          <w:sz w:val="28"/>
        </w:rPr>
        <w:t>HJ 2.2-2018</w:t>
      </w:r>
      <w:r>
        <w:rPr>
          <w:rFonts w:hint="default" w:ascii="宋体" w:hAnsi="宋体" w:eastAsia="宋体"/>
          <w:color w:val="000000"/>
          <w:sz w:val="28"/>
        </w:rPr>
        <w:t>）要求，在项目地周边布设现状监测点</w:t>
      </w:r>
      <w:r>
        <w:rPr>
          <w:rFonts w:hint="default" w:ascii="Times New Roman" w:hAnsi="Times New Roman" w:eastAsia="Times New Roman"/>
          <w:color w:val="000000"/>
          <w:sz w:val="28"/>
        </w:rPr>
        <w:t>2</w:t>
      </w:r>
      <w:r>
        <w:rPr>
          <w:rFonts w:hint="default" w:ascii="宋体" w:hAnsi="宋体" w:eastAsia="宋体"/>
          <w:color w:val="000000"/>
          <w:sz w:val="28"/>
        </w:rPr>
        <w:t>个。</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监测因子：特征监测因子选择</w:t>
      </w:r>
      <w:r>
        <w:rPr>
          <w:rFonts w:hint="eastAsia"/>
          <w:color w:val="auto"/>
          <w:szCs w:val="21"/>
          <w:lang w:val="en-US" w:eastAsia="zh-CN"/>
        </w:rPr>
        <w:t>非甲烷总烃、SO</w:t>
      </w:r>
      <w:r>
        <w:rPr>
          <w:rFonts w:hint="eastAsia"/>
          <w:color w:val="auto"/>
          <w:szCs w:val="21"/>
          <w:vertAlign w:val="subscript"/>
          <w:lang w:val="en-US" w:eastAsia="zh-CN"/>
        </w:rPr>
        <w:t>2</w:t>
      </w:r>
      <w:r>
        <w:rPr>
          <w:rFonts w:hint="eastAsia"/>
          <w:color w:val="auto"/>
          <w:szCs w:val="21"/>
          <w:lang w:val="en-US" w:eastAsia="zh-CN"/>
        </w:rPr>
        <w:t>、PM</w:t>
      </w:r>
      <w:r>
        <w:rPr>
          <w:rFonts w:hint="eastAsia"/>
          <w:color w:val="auto"/>
          <w:szCs w:val="21"/>
          <w:vertAlign w:val="subscript"/>
          <w:lang w:val="en-US" w:eastAsia="zh-CN"/>
        </w:rPr>
        <w:t>10</w:t>
      </w:r>
      <w:r>
        <w:rPr>
          <w:rFonts w:hint="eastAsia"/>
          <w:color w:val="auto"/>
          <w:szCs w:val="21"/>
          <w:lang w:val="en-US" w:eastAsia="zh-CN"/>
        </w:rPr>
        <w:t>、</w:t>
      </w:r>
      <w:r>
        <w:rPr>
          <w:color w:val="auto"/>
          <w:szCs w:val="21"/>
        </w:rPr>
        <w:t>NO</w:t>
      </w:r>
      <w:r>
        <w:rPr>
          <w:rFonts w:hint="eastAsia"/>
          <w:color w:val="auto"/>
          <w:szCs w:val="21"/>
          <w:vertAlign w:val="subscript"/>
          <w:lang w:val="en-US" w:eastAsia="zh-CN"/>
        </w:rPr>
        <w:t>x</w:t>
      </w:r>
      <w:r>
        <w:rPr>
          <w:rFonts w:hint="default" w:ascii="宋体" w:hAnsi="宋体" w:eastAsia="宋体"/>
          <w:color w:val="000000"/>
          <w:sz w:val="28"/>
        </w:rPr>
        <w:t>等。</w:t>
      </w:r>
    </w:p>
    <w:p>
      <w:pPr>
        <w:ind w:left="0" w:leftChars="0" w:firstLine="0" w:firstLineChars="0"/>
        <w:rPr>
          <w:rFonts w:hint="default"/>
          <w:lang w:val="en-US" w:eastAsia="zh-CN"/>
        </w:rPr>
      </w:pPr>
      <w:r>
        <w:rPr>
          <w:rFonts w:hint="default" w:ascii="宋体" w:hAnsi="宋体" w:eastAsia="宋体"/>
          <w:color w:val="000000"/>
          <w:sz w:val="28"/>
        </w:rPr>
        <w:t>同时测量风向、风速、气温、气压、湿度等气象参数。各监测点位及监测因子见表</w:t>
      </w:r>
      <w:r>
        <w:rPr>
          <w:rFonts w:hint="eastAsia"/>
          <w:color w:val="000000"/>
          <w:sz w:val="28"/>
          <w:lang w:val="en-US" w:eastAsia="zh-CN"/>
        </w:rPr>
        <w:t>4.3.1-2</w:t>
      </w:r>
      <w:r>
        <w:rPr>
          <w:rFonts w:hint="eastAsia" w:ascii="宋体" w:hAnsi="宋体"/>
          <w:color w:val="000000"/>
          <w:sz w:val="28"/>
          <w:lang w:eastAsia="zh-CN"/>
        </w:rPr>
        <w:t>和附图</w:t>
      </w:r>
      <w:r>
        <w:rPr>
          <w:rFonts w:hint="default" w:ascii="宋体" w:hAnsi="宋体" w:eastAsia="宋体"/>
          <w:color w:val="000000"/>
          <w:sz w:val="28"/>
        </w:rPr>
        <w:t>。</w:t>
      </w:r>
    </w:p>
    <w:p>
      <w:pPr>
        <w:pStyle w:val="27"/>
        <w:bidi w:val="0"/>
        <w:rPr>
          <w:rFonts w:hint="eastAsia" w:eastAsia="宋体"/>
          <w:lang w:eastAsia="zh-CN"/>
        </w:rPr>
      </w:pPr>
      <w:r>
        <w:rPr>
          <w:rFonts w:hint="default"/>
        </w:rPr>
        <w:t>表</w:t>
      </w:r>
      <w:r>
        <w:rPr>
          <w:rFonts w:hint="eastAsia"/>
          <w:lang w:val="en-US" w:eastAsia="zh-CN"/>
        </w:rPr>
        <w:t>4.3.1</w:t>
      </w:r>
      <w:r>
        <w:rPr>
          <w:rFonts w:hint="default"/>
        </w:rPr>
        <w:t>-</w:t>
      </w:r>
      <w:r>
        <w:rPr>
          <w:rFonts w:hint="eastAsia"/>
          <w:lang w:val="en-US" w:eastAsia="zh-CN"/>
        </w:rPr>
        <w:t>2</w:t>
      </w:r>
      <w:r>
        <w:rPr>
          <w:rFonts w:hint="default"/>
        </w:rPr>
        <w:t xml:space="preserve"> </w:t>
      </w:r>
      <w:r>
        <w:rPr>
          <w:rFonts w:hint="eastAsia"/>
          <w:lang w:eastAsia="zh-CN"/>
        </w:rPr>
        <w:t>其他污染物补充监测点位基本信息</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724"/>
        <w:gridCol w:w="726"/>
        <w:gridCol w:w="1966"/>
        <w:gridCol w:w="3444"/>
        <w:gridCol w:w="1007"/>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463"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监测点位</w:t>
            </w:r>
          </w:p>
        </w:tc>
        <w:tc>
          <w:tcPr>
            <w:tcW w:w="727" w:type="pct"/>
            <w:gridSpan w:val="2"/>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监测点坐标/m</w:t>
            </w:r>
          </w:p>
        </w:tc>
        <w:tc>
          <w:tcPr>
            <w:tcW w:w="986"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监测因子</w:t>
            </w:r>
          </w:p>
        </w:tc>
        <w:tc>
          <w:tcPr>
            <w:tcW w:w="1727"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监测时段</w:t>
            </w:r>
          </w:p>
        </w:tc>
        <w:tc>
          <w:tcPr>
            <w:tcW w:w="505"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相对厂址方位</w:t>
            </w:r>
          </w:p>
        </w:tc>
        <w:tc>
          <w:tcPr>
            <w:tcW w:w="588"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3"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x</w:t>
            </w:r>
          </w:p>
        </w:tc>
        <w:tc>
          <w:tcPr>
            <w:tcW w:w="3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y</w:t>
            </w:r>
          </w:p>
        </w:tc>
        <w:tc>
          <w:tcPr>
            <w:tcW w:w="98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1727"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0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88" w:type="pct"/>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厂址K1</w:t>
            </w:r>
          </w:p>
        </w:tc>
        <w:tc>
          <w:tcPr>
            <w:tcW w:w="3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w:t>
            </w:r>
          </w:p>
        </w:tc>
        <w:tc>
          <w:tcPr>
            <w:tcW w:w="3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w:t>
            </w:r>
          </w:p>
        </w:tc>
        <w:tc>
          <w:tcPr>
            <w:tcW w:w="986" w:type="pct"/>
            <w:vMerge w:val="restart"/>
            <w:vAlign w:val="center"/>
          </w:tcPr>
          <w:p>
            <w:pPr>
              <w:pStyle w:val="28"/>
              <w:suppressLineNumbers w:val="0"/>
              <w:bidi w:val="0"/>
              <w:spacing w:before="0" w:after="0"/>
              <w:ind w:left="0" w:right="0"/>
              <w:jc w:val="center"/>
              <w:rPr>
                <w:rFonts w:hint="default"/>
                <w:lang w:val="en-US" w:eastAsia="zh-CN"/>
              </w:rPr>
            </w:pPr>
            <w:r>
              <w:rPr>
                <w:rFonts w:hint="eastAsia"/>
                <w:color w:val="auto"/>
                <w:szCs w:val="21"/>
                <w:lang w:val="en-US" w:eastAsia="zh-CN"/>
              </w:rPr>
              <w:t>非甲烷总烃、SO</w:t>
            </w:r>
            <w:r>
              <w:rPr>
                <w:rFonts w:hint="eastAsia"/>
                <w:color w:val="auto"/>
                <w:szCs w:val="21"/>
                <w:vertAlign w:val="subscript"/>
                <w:lang w:val="en-US" w:eastAsia="zh-CN"/>
              </w:rPr>
              <w:t>2</w:t>
            </w:r>
            <w:r>
              <w:rPr>
                <w:rFonts w:hint="eastAsia"/>
                <w:color w:val="auto"/>
                <w:szCs w:val="21"/>
                <w:lang w:val="en-US" w:eastAsia="zh-CN"/>
              </w:rPr>
              <w:t>、PM</w:t>
            </w:r>
            <w:r>
              <w:rPr>
                <w:rFonts w:hint="eastAsia"/>
                <w:color w:val="auto"/>
                <w:szCs w:val="21"/>
                <w:vertAlign w:val="subscript"/>
                <w:lang w:val="en-US" w:eastAsia="zh-CN"/>
              </w:rPr>
              <w:t>10</w:t>
            </w:r>
            <w:r>
              <w:rPr>
                <w:rFonts w:hint="eastAsia"/>
                <w:color w:val="auto"/>
                <w:szCs w:val="21"/>
                <w:lang w:val="en-US" w:eastAsia="zh-CN"/>
              </w:rPr>
              <w:t>、</w:t>
            </w:r>
            <w:r>
              <w:rPr>
                <w:color w:val="auto"/>
                <w:szCs w:val="21"/>
              </w:rPr>
              <w:t>NO</w:t>
            </w:r>
            <w:r>
              <w:rPr>
                <w:rFonts w:hint="eastAsia"/>
                <w:color w:val="auto"/>
                <w:szCs w:val="21"/>
                <w:vertAlign w:val="subscript"/>
                <w:lang w:val="en-US" w:eastAsia="zh-CN"/>
              </w:rPr>
              <w:t>x</w:t>
            </w:r>
          </w:p>
        </w:tc>
        <w:tc>
          <w:tcPr>
            <w:tcW w:w="1727" w:type="pct"/>
            <w:vMerge w:val="restart"/>
            <w:vAlign w:val="center"/>
          </w:tcPr>
          <w:p>
            <w:pPr>
              <w:pStyle w:val="28"/>
              <w:suppressLineNumbers w:val="0"/>
              <w:bidi w:val="0"/>
              <w:spacing w:before="0" w:after="0"/>
              <w:ind w:left="0" w:right="0"/>
              <w:jc w:val="center"/>
              <w:outlineLvl w:val="9"/>
              <w:rPr>
                <w:rFonts w:hint="eastAsia" w:eastAsia="宋体"/>
                <w:lang w:val="en-US" w:eastAsia="zh-CN"/>
              </w:rPr>
            </w:pPr>
            <w:r>
              <w:rPr>
                <w:rFonts w:hint="eastAsia"/>
                <w:lang w:val="en-US" w:eastAsia="zh-CN"/>
              </w:rPr>
              <w:t>2020.03.21~2020.03.24、2020.03.26~2020.03.28</w:t>
            </w:r>
          </w:p>
        </w:tc>
        <w:tc>
          <w:tcPr>
            <w:tcW w:w="505"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w:t>
            </w:r>
          </w:p>
        </w:tc>
        <w:tc>
          <w:tcPr>
            <w:tcW w:w="588"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西丰墩村K2</w:t>
            </w:r>
          </w:p>
        </w:tc>
        <w:tc>
          <w:tcPr>
            <w:tcW w:w="363"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-1670</w:t>
            </w:r>
          </w:p>
        </w:tc>
        <w:tc>
          <w:tcPr>
            <w:tcW w:w="363"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-2340</w:t>
            </w:r>
          </w:p>
        </w:tc>
        <w:tc>
          <w:tcPr>
            <w:tcW w:w="98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1727"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05"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SW</w:t>
            </w:r>
          </w:p>
        </w:tc>
        <w:tc>
          <w:tcPr>
            <w:tcW w:w="588"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2070</w:t>
            </w:r>
          </w:p>
        </w:tc>
      </w:tr>
    </w:tbl>
    <w:p>
      <w:pPr>
        <w:spacing w:beforeLines="0" w:afterLines="0"/>
        <w:jc w:val="left"/>
        <w:rPr>
          <w:rFonts w:hint="default" w:ascii="宋体" w:hAnsi="宋体" w:eastAsia="宋体"/>
          <w:color w:val="000000"/>
          <w:sz w:val="28"/>
        </w:rPr>
      </w:pPr>
      <w:r>
        <w:rPr>
          <w:rFonts w:hint="default" w:ascii="宋体" w:hAnsi="宋体" w:eastAsia="宋体"/>
          <w:color w:val="000000"/>
          <w:sz w:val="28"/>
        </w:rPr>
        <w:t>⑵监测时间和频次</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小时值：</w:t>
      </w:r>
      <w:r>
        <w:rPr>
          <w:rFonts w:hint="eastAsia"/>
          <w:color w:val="auto"/>
          <w:szCs w:val="21"/>
          <w:lang w:val="en-US" w:eastAsia="zh-CN"/>
        </w:rPr>
        <w:t>非甲烷总烃、SO</w:t>
      </w:r>
      <w:r>
        <w:rPr>
          <w:rFonts w:hint="eastAsia"/>
          <w:color w:val="auto"/>
          <w:szCs w:val="21"/>
          <w:vertAlign w:val="subscript"/>
          <w:lang w:val="en-US" w:eastAsia="zh-CN"/>
        </w:rPr>
        <w:t>2</w:t>
      </w:r>
      <w:r>
        <w:rPr>
          <w:rFonts w:hint="eastAsia"/>
          <w:color w:val="auto"/>
          <w:szCs w:val="21"/>
          <w:lang w:val="en-US" w:eastAsia="zh-CN"/>
        </w:rPr>
        <w:t>、PM</w:t>
      </w:r>
      <w:r>
        <w:rPr>
          <w:rFonts w:hint="eastAsia"/>
          <w:color w:val="auto"/>
          <w:szCs w:val="21"/>
          <w:vertAlign w:val="subscript"/>
          <w:lang w:val="en-US" w:eastAsia="zh-CN"/>
        </w:rPr>
        <w:t>10</w:t>
      </w:r>
      <w:r>
        <w:rPr>
          <w:rFonts w:hint="eastAsia"/>
          <w:color w:val="auto"/>
          <w:szCs w:val="21"/>
          <w:lang w:val="en-US" w:eastAsia="zh-CN"/>
        </w:rPr>
        <w:t>、</w:t>
      </w:r>
      <w:r>
        <w:rPr>
          <w:color w:val="auto"/>
          <w:szCs w:val="21"/>
        </w:rPr>
        <w:t>NO</w:t>
      </w:r>
      <w:r>
        <w:rPr>
          <w:rFonts w:hint="eastAsia"/>
          <w:color w:val="auto"/>
          <w:szCs w:val="21"/>
          <w:vertAlign w:val="subscript"/>
          <w:lang w:val="en-US" w:eastAsia="zh-CN"/>
        </w:rPr>
        <w:t>x</w:t>
      </w:r>
      <w:r>
        <w:rPr>
          <w:rFonts w:hint="default" w:ascii="宋体" w:hAnsi="宋体" w:eastAsia="宋体"/>
          <w:color w:val="000000"/>
          <w:sz w:val="28"/>
        </w:rPr>
        <w:t>等因子，连续监测</w:t>
      </w:r>
      <w:r>
        <w:rPr>
          <w:rFonts w:hint="default" w:ascii="Times New Roman" w:hAnsi="Times New Roman" w:eastAsia="Times New Roman"/>
          <w:color w:val="000000"/>
          <w:sz w:val="28"/>
        </w:rPr>
        <w:t>7</w:t>
      </w:r>
      <w:r>
        <w:rPr>
          <w:rFonts w:hint="default" w:ascii="宋体" w:hAnsi="宋体" w:eastAsia="宋体"/>
          <w:color w:val="000000"/>
          <w:sz w:val="28"/>
        </w:rPr>
        <w:t>天，每天</w:t>
      </w:r>
      <w:r>
        <w:rPr>
          <w:rFonts w:hint="default" w:ascii="Times New Roman" w:hAnsi="Times New Roman" w:eastAsia="Times New Roman"/>
          <w:color w:val="000000"/>
          <w:sz w:val="28"/>
        </w:rPr>
        <w:t>4</w:t>
      </w:r>
      <w:r>
        <w:rPr>
          <w:rFonts w:hint="default" w:ascii="宋体" w:hAnsi="宋体" w:eastAsia="宋体"/>
          <w:color w:val="000000"/>
          <w:sz w:val="28"/>
        </w:rPr>
        <w:t>次。</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监测时间为</w:t>
      </w:r>
      <w:r>
        <w:rPr>
          <w:rFonts w:hint="default" w:ascii="Times New Roman" w:hAnsi="Times New Roman" w:eastAsia="Times New Roman"/>
          <w:color w:val="000000"/>
          <w:sz w:val="28"/>
        </w:rPr>
        <w:t>20</w:t>
      </w:r>
      <w:r>
        <w:rPr>
          <w:rFonts w:hint="eastAsia"/>
          <w:color w:val="000000"/>
          <w:sz w:val="28"/>
          <w:lang w:val="en-US" w:eastAsia="zh-CN"/>
        </w:rPr>
        <w:t>20</w:t>
      </w:r>
      <w:r>
        <w:rPr>
          <w:rFonts w:hint="default" w:ascii="宋体" w:hAnsi="宋体" w:eastAsia="宋体"/>
          <w:color w:val="000000"/>
          <w:sz w:val="28"/>
        </w:rPr>
        <w:t>年</w:t>
      </w:r>
      <w:r>
        <w:rPr>
          <w:rFonts w:hint="eastAsia"/>
          <w:color w:val="000000"/>
          <w:sz w:val="28"/>
          <w:lang w:val="en-US" w:eastAsia="zh-CN"/>
        </w:rPr>
        <w:t>3</w:t>
      </w:r>
      <w:r>
        <w:rPr>
          <w:rFonts w:hint="default" w:ascii="宋体" w:hAnsi="宋体" w:eastAsia="宋体"/>
          <w:color w:val="000000"/>
          <w:sz w:val="28"/>
        </w:rPr>
        <w:t>月</w:t>
      </w:r>
      <w:r>
        <w:rPr>
          <w:rFonts w:hint="eastAsia"/>
          <w:color w:val="000000"/>
          <w:sz w:val="28"/>
          <w:lang w:val="en-US" w:eastAsia="zh-CN"/>
        </w:rPr>
        <w:t>21</w:t>
      </w:r>
      <w:r>
        <w:rPr>
          <w:rFonts w:hint="default" w:ascii="宋体" w:hAnsi="宋体" w:eastAsia="宋体"/>
          <w:color w:val="000000"/>
          <w:sz w:val="28"/>
        </w:rPr>
        <w:t>日至</w:t>
      </w:r>
      <w:r>
        <w:rPr>
          <w:rFonts w:hint="default" w:ascii="Times New Roman" w:hAnsi="Times New Roman" w:eastAsia="Times New Roman"/>
          <w:color w:val="000000"/>
          <w:sz w:val="28"/>
        </w:rPr>
        <w:t>20</w:t>
      </w:r>
      <w:r>
        <w:rPr>
          <w:rFonts w:hint="eastAsia"/>
          <w:color w:val="000000"/>
          <w:sz w:val="28"/>
          <w:lang w:val="en-US" w:eastAsia="zh-CN"/>
        </w:rPr>
        <w:t>20</w:t>
      </w:r>
      <w:r>
        <w:rPr>
          <w:rFonts w:hint="default" w:ascii="宋体" w:hAnsi="宋体" w:eastAsia="宋体"/>
          <w:color w:val="000000"/>
          <w:sz w:val="28"/>
        </w:rPr>
        <w:t>年</w:t>
      </w:r>
      <w:r>
        <w:rPr>
          <w:rFonts w:hint="eastAsia"/>
          <w:color w:val="000000"/>
          <w:sz w:val="28"/>
          <w:lang w:val="en-US" w:eastAsia="zh-CN"/>
        </w:rPr>
        <w:t>3</w:t>
      </w:r>
      <w:r>
        <w:rPr>
          <w:rFonts w:hint="default" w:ascii="宋体" w:hAnsi="宋体" w:eastAsia="宋体"/>
          <w:color w:val="000000"/>
          <w:sz w:val="28"/>
        </w:rPr>
        <w:t>月</w:t>
      </w:r>
      <w:r>
        <w:rPr>
          <w:rFonts w:hint="eastAsia"/>
          <w:color w:val="000000"/>
          <w:sz w:val="28"/>
          <w:lang w:val="en-US" w:eastAsia="zh-CN"/>
        </w:rPr>
        <w:t>24</w:t>
      </w:r>
      <w:r>
        <w:rPr>
          <w:rFonts w:hint="default" w:ascii="宋体" w:hAnsi="宋体" w:eastAsia="宋体"/>
          <w:color w:val="000000"/>
          <w:sz w:val="28"/>
        </w:rPr>
        <w:t>日</w:t>
      </w:r>
      <w:r>
        <w:rPr>
          <w:rFonts w:hint="eastAsia" w:ascii="宋体" w:hAnsi="宋体"/>
          <w:color w:val="000000"/>
          <w:sz w:val="28"/>
          <w:lang w:eastAsia="zh-CN"/>
        </w:rPr>
        <w:t>、</w:t>
      </w:r>
      <w:r>
        <w:rPr>
          <w:rFonts w:hint="default" w:ascii="Times New Roman" w:hAnsi="Times New Roman" w:eastAsia="Times New Roman"/>
          <w:color w:val="000000"/>
          <w:sz w:val="28"/>
        </w:rPr>
        <w:t>20</w:t>
      </w:r>
      <w:r>
        <w:rPr>
          <w:rFonts w:hint="eastAsia"/>
          <w:color w:val="000000"/>
          <w:sz w:val="28"/>
          <w:lang w:val="en-US" w:eastAsia="zh-CN"/>
        </w:rPr>
        <w:t>20</w:t>
      </w:r>
      <w:r>
        <w:rPr>
          <w:rFonts w:hint="default" w:ascii="宋体" w:hAnsi="宋体" w:eastAsia="宋体"/>
          <w:color w:val="000000"/>
          <w:sz w:val="28"/>
        </w:rPr>
        <w:t>年</w:t>
      </w:r>
      <w:r>
        <w:rPr>
          <w:rFonts w:hint="eastAsia"/>
          <w:color w:val="000000"/>
          <w:sz w:val="28"/>
          <w:lang w:val="en-US" w:eastAsia="zh-CN"/>
        </w:rPr>
        <w:t>3</w:t>
      </w:r>
      <w:r>
        <w:rPr>
          <w:rFonts w:hint="default" w:ascii="宋体" w:hAnsi="宋体" w:eastAsia="宋体"/>
          <w:color w:val="000000"/>
          <w:sz w:val="28"/>
        </w:rPr>
        <w:t>月</w:t>
      </w:r>
      <w:r>
        <w:rPr>
          <w:rFonts w:hint="eastAsia"/>
          <w:color w:val="000000"/>
          <w:sz w:val="28"/>
          <w:lang w:val="en-US" w:eastAsia="zh-CN"/>
        </w:rPr>
        <w:t>26</w:t>
      </w:r>
      <w:r>
        <w:rPr>
          <w:rFonts w:hint="default" w:ascii="宋体" w:hAnsi="宋体" w:eastAsia="宋体"/>
          <w:color w:val="000000"/>
          <w:sz w:val="28"/>
        </w:rPr>
        <w:t>日至</w:t>
      </w:r>
      <w:r>
        <w:rPr>
          <w:rFonts w:hint="default" w:ascii="Times New Roman" w:hAnsi="Times New Roman" w:eastAsia="Times New Roman"/>
          <w:color w:val="000000"/>
          <w:sz w:val="28"/>
        </w:rPr>
        <w:t>20</w:t>
      </w:r>
      <w:r>
        <w:rPr>
          <w:rFonts w:hint="eastAsia"/>
          <w:color w:val="000000"/>
          <w:sz w:val="28"/>
          <w:lang w:val="en-US" w:eastAsia="zh-CN"/>
        </w:rPr>
        <w:t>20</w:t>
      </w:r>
      <w:r>
        <w:rPr>
          <w:rFonts w:hint="default" w:ascii="宋体" w:hAnsi="宋体" w:eastAsia="宋体"/>
          <w:color w:val="000000"/>
          <w:sz w:val="28"/>
        </w:rPr>
        <w:t>年</w:t>
      </w:r>
      <w:r>
        <w:rPr>
          <w:rFonts w:hint="eastAsia"/>
          <w:color w:val="000000"/>
          <w:sz w:val="28"/>
          <w:lang w:val="en-US" w:eastAsia="zh-CN"/>
        </w:rPr>
        <w:t>3</w:t>
      </w:r>
      <w:r>
        <w:rPr>
          <w:rFonts w:hint="default" w:ascii="宋体" w:hAnsi="宋体" w:eastAsia="宋体"/>
          <w:color w:val="000000"/>
          <w:sz w:val="28"/>
        </w:rPr>
        <w:t>月</w:t>
      </w:r>
      <w:r>
        <w:rPr>
          <w:rFonts w:hint="eastAsia"/>
          <w:color w:val="000000"/>
          <w:sz w:val="28"/>
          <w:lang w:val="en-US" w:eastAsia="zh-CN"/>
        </w:rPr>
        <w:t>28</w:t>
      </w:r>
      <w:r>
        <w:rPr>
          <w:rFonts w:hint="default" w:ascii="宋体" w:hAnsi="宋体" w:eastAsia="宋体"/>
          <w:color w:val="000000"/>
          <w:sz w:val="28"/>
        </w:rPr>
        <w:t>日。</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⑶采样分析方法</w:t>
      </w:r>
    </w:p>
    <w:p>
      <w:pPr>
        <w:rPr>
          <w:rFonts w:hint="default"/>
          <w:lang w:val="en-US" w:eastAsia="zh-CN"/>
        </w:rPr>
      </w:pPr>
      <w:r>
        <w:rPr>
          <w:rFonts w:hint="default" w:ascii="宋体" w:hAnsi="宋体" w:eastAsia="宋体"/>
          <w:color w:val="000000"/>
          <w:sz w:val="28"/>
        </w:rPr>
        <w:t>本次监测采样方法按照《环境空气质量手工监测技术规范》（</w:t>
      </w:r>
      <w:r>
        <w:rPr>
          <w:rFonts w:hint="default" w:ascii="Times New Roman" w:hAnsi="Times New Roman" w:eastAsia="Times New Roman"/>
          <w:color w:val="000000"/>
          <w:sz w:val="28"/>
        </w:rPr>
        <w:t>HJ/T 194-2005</w:t>
      </w:r>
      <w:r>
        <w:rPr>
          <w:rFonts w:hint="default" w:ascii="宋体" w:hAnsi="宋体" w:eastAsia="宋体"/>
          <w:color w:val="000000"/>
          <w:sz w:val="28"/>
        </w:rPr>
        <w:t>）规定的有关要求和规定进行。分析方法见表</w:t>
      </w:r>
      <w:r>
        <w:rPr>
          <w:rFonts w:hint="eastAsia" w:ascii="Times New Roman" w:hAnsi="Times New Roman"/>
          <w:color w:val="000000"/>
          <w:sz w:val="28"/>
          <w:lang w:val="en-US" w:eastAsia="zh-CN"/>
        </w:rPr>
        <w:t>4.3.1-3</w:t>
      </w:r>
      <w:r>
        <w:rPr>
          <w:rFonts w:hint="default" w:ascii="宋体" w:hAnsi="宋体" w:eastAsia="宋体"/>
          <w:color w:val="000000"/>
          <w:sz w:val="28"/>
        </w:rPr>
        <w:t>。</w:t>
      </w:r>
    </w:p>
    <w:p>
      <w:pPr>
        <w:pStyle w:val="27"/>
        <w:bidi w:val="0"/>
        <w:rPr>
          <w:rFonts w:hint="eastAsia"/>
          <w:lang w:eastAsia="zh-CN"/>
        </w:rPr>
      </w:pPr>
      <w:r>
        <w:rPr>
          <w:rFonts w:hint="default"/>
        </w:rPr>
        <w:t>表</w:t>
      </w:r>
      <w:r>
        <w:rPr>
          <w:rFonts w:hint="eastAsia"/>
          <w:lang w:val="en-US" w:eastAsia="zh-CN"/>
        </w:rPr>
        <w:t>4.3.1</w:t>
      </w:r>
      <w:r>
        <w:rPr>
          <w:rFonts w:hint="default"/>
        </w:rPr>
        <w:t>-</w:t>
      </w:r>
      <w:r>
        <w:rPr>
          <w:rFonts w:hint="eastAsia"/>
          <w:lang w:val="en-US" w:eastAsia="zh-CN"/>
        </w:rPr>
        <w:t>3</w:t>
      </w:r>
      <w:r>
        <w:rPr>
          <w:rFonts w:hint="default"/>
        </w:rPr>
        <w:t xml:space="preserve"> </w:t>
      </w:r>
      <w:r>
        <w:rPr>
          <w:rFonts w:hint="eastAsia"/>
          <w:lang w:eastAsia="zh-CN"/>
        </w:rPr>
        <w:t>监测分析方法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5166"/>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检测项目</w:t>
            </w:r>
          </w:p>
        </w:tc>
        <w:tc>
          <w:tcPr>
            <w:tcW w:w="5166"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方法依据</w:t>
            </w:r>
          </w:p>
        </w:tc>
        <w:tc>
          <w:tcPr>
            <w:tcW w:w="3321"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PM</w:t>
            </w:r>
            <w:r>
              <w:rPr>
                <w:rFonts w:hint="eastAsia"/>
                <w:vertAlign w:val="subscript"/>
                <w:lang w:val="en-US" w:eastAsia="zh-CN"/>
              </w:rPr>
              <w:t>10</w:t>
            </w:r>
          </w:p>
        </w:tc>
        <w:tc>
          <w:tcPr>
            <w:tcW w:w="516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环境空气 PM</w:t>
            </w:r>
            <w:r>
              <w:rPr>
                <w:rFonts w:hint="eastAsia"/>
                <w:vertAlign w:val="subscript"/>
                <w:lang w:val="en-US" w:eastAsia="zh-CN"/>
              </w:rPr>
              <w:t>10</w:t>
            </w:r>
            <w:r>
              <w:rPr>
                <w:rFonts w:hint="eastAsia"/>
                <w:lang w:val="en-US" w:eastAsia="zh-CN"/>
              </w:rPr>
              <w:t>和PM</w:t>
            </w:r>
            <w:r>
              <w:rPr>
                <w:rFonts w:hint="eastAsia"/>
                <w:vertAlign w:val="subscript"/>
                <w:lang w:val="en-US" w:eastAsia="zh-CN"/>
              </w:rPr>
              <w:t>2.5</w:t>
            </w:r>
            <w:r>
              <w:rPr>
                <w:rFonts w:hint="eastAsia"/>
                <w:lang w:val="en-US" w:eastAsia="zh-CN"/>
              </w:rPr>
              <w:t>的测定 重量法HJ618-2011</w:t>
            </w:r>
          </w:p>
        </w:tc>
        <w:tc>
          <w:tcPr>
            <w:tcW w:w="3321"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0.010mg/m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SO</w:t>
            </w:r>
            <w:r>
              <w:rPr>
                <w:rFonts w:hint="eastAsia"/>
                <w:vertAlign w:val="subscript"/>
                <w:lang w:val="en-US" w:eastAsia="zh-CN"/>
              </w:rPr>
              <w:t>2</w:t>
            </w:r>
          </w:p>
        </w:tc>
        <w:tc>
          <w:tcPr>
            <w:tcW w:w="516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环境空气二氧化硫的测定 甲醛吸收-副玫瑰苯胺分光光度法HJ482-2009</w:t>
            </w:r>
          </w:p>
        </w:tc>
        <w:tc>
          <w:tcPr>
            <w:tcW w:w="3321"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0.007mg/m</w:t>
            </w:r>
            <w:r>
              <w:rPr>
                <w:rFonts w:hint="eastAsia"/>
                <w:vertAlign w:val="superscript"/>
                <w:lang w:val="en-US" w:eastAsia="zh-CN"/>
              </w:rPr>
              <w:t>3</w:t>
            </w:r>
            <w:r>
              <w:rPr>
                <w:rFonts w:hint="eastAsia"/>
                <w:vertAlign w:val="baseline"/>
                <w:lang w:val="en-US" w:eastAsia="zh-CN"/>
              </w:rPr>
              <w:t>（采样体积30L）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NOx</w:t>
            </w:r>
          </w:p>
        </w:tc>
        <w:tc>
          <w:tcPr>
            <w:tcW w:w="516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环境空气氮氧化物（一氧化氮和二氧化氮）的测定 盐酸萘乙二胺分光光度法 HJ479-2009</w:t>
            </w:r>
          </w:p>
        </w:tc>
        <w:tc>
          <w:tcPr>
            <w:tcW w:w="3321"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0.005mg/m</w:t>
            </w:r>
            <w:r>
              <w:rPr>
                <w:rFonts w:hint="eastAsia"/>
                <w:vertAlign w:val="superscript"/>
                <w:lang w:val="en-US" w:eastAsia="zh-CN"/>
              </w:rPr>
              <w:t>3</w:t>
            </w:r>
            <w:r>
              <w:rPr>
                <w:rFonts w:hint="eastAsia"/>
                <w:vertAlign w:val="baseline"/>
                <w:lang w:val="en-US" w:eastAsia="zh-CN"/>
              </w:rPr>
              <w:t>（采样体积24L）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5"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非甲烷总烃</w:t>
            </w:r>
          </w:p>
        </w:tc>
        <w:tc>
          <w:tcPr>
            <w:tcW w:w="516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环境空气 总烃、甲烷和非甲烷总烃的测定 直接进样-气象色谱法 HJ604-2017</w:t>
            </w:r>
          </w:p>
        </w:tc>
        <w:tc>
          <w:tcPr>
            <w:tcW w:w="3321" w:type="dxa"/>
            <w:vAlign w:val="center"/>
          </w:tcPr>
          <w:p>
            <w:pPr>
              <w:pStyle w:val="28"/>
              <w:suppressLineNumbers w:val="0"/>
              <w:bidi w:val="0"/>
              <w:spacing w:before="0" w:after="0"/>
              <w:ind w:left="0" w:right="0"/>
              <w:jc w:val="center"/>
              <w:outlineLvl w:val="9"/>
              <w:rPr>
                <w:rFonts w:hint="eastAsia"/>
                <w:lang w:val="en-US" w:eastAsia="zh-CN"/>
              </w:rPr>
            </w:pPr>
            <w:r>
              <w:rPr>
                <w:rFonts w:hint="eastAsia"/>
                <w:lang w:val="en-US" w:eastAsia="zh-CN"/>
              </w:rPr>
              <w:t>0.07mg/m</w:t>
            </w:r>
            <w:r>
              <w:rPr>
                <w:rFonts w:hint="eastAsia"/>
                <w:vertAlign w:val="superscript"/>
                <w:lang w:val="en-US" w:eastAsia="zh-CN"/>
              </w:rPr>
              <w:t>3</w:t>
            </w:r>
            <w:r>
              <w:rPr>
                <w:rFonts w:hint="eastAsia"/>
                <w:vertAlign w:val="baseline"/>
                <w:lang w:val="en-US" w:eastAsia="zh-CN"/>
              </w:rPr>
              <w:t>（以碳计）</w:t>
            </w:r>
          </w:p>
        </w:tc>
      </w:tr>
    </w:tbl>
    <w:p>
      <w:pPr>
        <w:spacing w:beforeLines="0" w:afterLines="0"/>
        <w:jc w:val="left"/>
        <w:rPr>
          <w:rFonts w:hint="default" w:ascii="宋体" w:hAnsi="宋体" w:eastAsia="宋体"/>
          <w:color w:val="000000"/>
          <w:sz w:val="28"/>
        </w:rPr>
      </w:pPr>
      <w:r>
        <w:rPr>
          <w:rFonts w:hint="default" w:ascii="宋体" w:hAnsi="宋体" w:eastAsia="宋体"/>
          <w:color w:val="000000"/>
          <w:sz w:val="28"/>
        </w:rPr>
        <w:t>⑷监测分析方法</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按国家环保局编制的《空气和废气监测分析方法》执行。</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⑸监测结果及现状评价</w:t>
      </w:r>
    </w:p>
    <w:p>
      <w:pPr>
        <w:rPr>
          <w:rFonts w:hint="default" w:ascii="宋体" w:hAnsi="宋体" w:eastAsia="宋体"/>
          <w:color w:val="000000"/>
          <w:sz w:val="28"/>
        </w:rPr>
      </w:pPr>
      <w:r>
        <w:rPr>
          <w:rFonts w:hint="default" w:ascii="宋体" w:hAnsi="宋体" w:eastAsia="宋体"/>
          <w:color w:val="000000"/>
          <w:sz w:val="28"/>
        </w:rPr>
        <w:t>大气环境质量评价采用单因子指数评价法，其计算公式如下：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1438275" cy="628650"/>
            <wp:effectExtent l="0" t="0" r="9525" b="0"/>
            <wp:docPr id="9" name="图片 9" descr="158564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5649145(1)"/>
                    <pic:cNvPicPr>
                      <a:picLocks noChangeAspect="1"/>
                    </pic:cNvPicPr>
                  </pic:nvPicPr>
                  <pic:blipFill>
                    <a:blip r:embed="rId9"/>
                    <a:stretch>
                      <a:fillRect/>
                    </a:stretch>
                  </pic:blipFill>
                  <pic:spPr>
                    <a:xfrm>
                      <a:off x="0" y="0"/>
                      <a:ext cx="1438275" cy="628650"/>
                    </a:xfrm>
                    <a:prstGeom prst="rect">
                      <a:avLst/>
                    </a:prstGeom>
                  </pic:spPr>
                </pic:pic>
              </a:graphicData>
            </a:graphic>
          </wp:inline>
        </w:drawing>
      </w:r>
    </w:p>
    <w:p>
      <w:pPr>
        <w:bidi w:val="0"/>
        <w:rPr>
          <w:rFonts w:hint="default"/>
        </w:rPr>
      </w:pPr>
      <w:r>
        <w:rPr>
          <w:rFonts w:hint="default"/>
        </w:rPr>
        <w:t>式中：Pi—某污染因子i的评价指数</w:t>
      </w:r>
    </w:p>
    <w:p>
      <w:pPr>
        <w:bidi w:val="0"/>
        <w:rPr>
          <w:rFonts w:hint="default"/>
        </w:rPr>
      </w:pPr>
      <w:r>
        <w:rPr>
          <w:rFonts w:hint="default"/>
        </w:rPr>
        <w:t>Ci—某污染因子i的浓度值，mg/m</w:t>
      </w:r>
      <w:r>
        <w:rPr>
          <w:rFonts w:hint="default"/>
          <w:vertAlign w:val="superscript"/>
        </w:rPr>
        <w:t>3</w:t>
      </w:r>
    </w:p>
    <w:p>
      <w:pPr>
        <w:bidi w:val="0"/>
        <w:rPr>
          <w:rFonts w:hint="default"/>
        </w:rPr>
      </w:pPr>
      <w:r>
        <w:rPr>
          <w:rFonts w:hint="default"/>
        </w:rPr>
        <w:t>Si—某污染因子i的大气环境质量标准值，mg/m</w:t>
      </w:r>
      <w:r>
        <w:rPr>
          <w:rFonts w:hint="default"/>
          <w:vertAlign w:val="superscript"/>
        </w:rPr>
        <w:t>3</w:t>
      </w:r>
    </w:p>
    <w:p>
      <w:pPr>
        <w:bidi w:val="0"/>
        <w:rPr>
          <w:rFonts w:hint="default"/>
        </w:rPr>
      </w:pPr>
      <w:r>
        <w:rPr>
          <w:rFonts w:hint="default"/>
        </w:rPr>
        <w:t>各监测点各污染因子的评价指数分别见表</w:t>
      </w:r>
      <w:r>
        <w:rPr>
          <w:rFonts w:hint="eastAsia"/>
          <w:lang w:val="en-US" w:eastAsia="zh-CN"/>
        </w:rPr>
        <w:t>4.3.1</w:t>
      </w:r>
      <w:r>
        <w:rPr>
          <w:rFonts w:hint="default"/>
        </w:rPr>
        <w:t>-4。</w:t>
      </w:r>
    </w:p>
    <w:p>
      <w:pPr>
        <w:pStyle w:val="27"/>
        <w:bidi w:val="0"/>
        <w:rPr>
          <w:rFonts w:hint="default"/>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bidi w:val="0"/>
        <w:rPr>
          <w:rFonts w:hint="default"/>
          <w:lang w:val="en-US" w:eastAsia="zh-CN"/>
        </w:rPr>
      </w:pPr>
      <w:r>
        <w:rPr>
          <w:rFonts w:hint="default"/>
        </w:rPr>
        <w:t>表</w:t>
      </w:r>
      <w:r>
        <w:rPr>
          <w:rFonts w:hint="eastAsia"/>
          <w:lang w:val="en-US" w:eastAsia="zh-CN"/>
        </w:rPr>
        <w:t>4.3.1</w:t>
      </w:r>
      <w:r>
        <w:rPr>
          <w:rFonts w:hint="default"/>
        </w:rPr>
        <w:t>-4 项目所在区域其他污染物大气环境质量现状监测结果表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05"/>
        <w:gridCol w:w="1141"/>
        <w:gridCol w:w="1387"/>
        <w:gridCol w:w="1663"/>
        <w:gridCol w:w="1334"/>
        <w:gridCol w:w="2520"/>
        <w:gridCol w:w="1698"/>
        <w:gridCol w:w="899"/>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46"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监测点位</w:t>
            </w:r>
          </w:p>
        </w:tc>
        <w:tc>
          <w:tcPr>
            <w:tcW w:w="828" w:type="pct"/>
            <w:gridSpan w:val="2"/>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监测点坐标/m</w:t>
            </w:r>
          </w:p>
        </w:tc>
        <w:tc>
          <w:tcPr>
            <w:tcW w:w="489"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污染物</w:t>
            </w:r>
          </w:p>
        </w:tc>
        <w:tc>
          <w:tcPr>
            <w:tcW w:w="587"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平均时间</w:t>
            </w:r>
          </w:p>
        </w:tc>
        <w:tc>
          <w:tcPr>
            <w:tcW w:w="470"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评价标准（mg/m</w:t>
            </w:r>
            <w:r>
              <w:rPr>
                <w:rFonts w:hint="eastAsia"/>
                <w:vertAlign w:val="superscript"/>
                <w:lang w:val="en-US" w:eastAsia="zh-CN"/>
              </w:rPr>
              <w:t>3</w:t>
            </w:r>
            <w:r>
              <w:rPr>
                <w:rFonts w:hint="eastAsia"/>
                <w:lang w:val="en-US" w:eastAsia="zh-CN"/>
              </w:rPr>
              <w:t>）</w:t>
            </w:r>
          </w:p>
        </w:tc>
        <w:tc>
          <w:tcPr>
            <w:tcW w:w="889"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监测浓度范围（mg/m</w:t>
            </w:r>
            <w:r>
              <w:rPr>
                <w:rFonts w:hint="eastAsia"/>
                <w:vertAlign w:val="superscript"/>
                <w:lang w:val="en-US" w:eastAsia="zh-CN"/>
              </w:rPr>
              <w:t>3</w:t>
            </w:r>
            <w:r>
              <w:rPr>
                <w:rFonts w:hint="eastAsia"/>
                <w:lang w:val="en-US" w:eastAsia="zh-CN"/>
              </w:rPr>
              <w:t>）</w:t>
            </w:r>
          </w:p>
        </w:tc>
        <w:tc>
          <w:tcPr>
            <w:tcW w:w="599"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最大浓度占标率</w:t>
            </w:r>
          </w:p>
        </w:tc>
        <w:tc>
          <w:tcPr>
            <w:tcW w:w="317"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超标率</w:t>
            </w:r>
          </w:p>
        </w:tc>
        <w:tc>
          <w:tcPr>
            <w:tcW w:w="371"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46"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425"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经度</w:t>
            </w:r>
          </w:p>
        </w:tc>
        <w:tc>
          <w:tcPr>
            <w:tcW w:w="402"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纬度</w:t>
            </w:r>
          </w:p>
        </w:tc>
        <w:tc>
          <w:tcPr>
            <w:tcW w:w="489"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87"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70"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889"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99"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17"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71" w:type="pct"/>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46" w:type="pct"/>
            <w:vMerge w:val="restar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西丰墩村K2</w:t>
            </w:r>
          </w:p>
        </w:tc>
        <w:tc>
          <w:tcPr>
            <w:tcW w:w="425" w:type="pct"/>
            <w:vMerge w:val="restar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118.82015</w:t>
            </w:r>
          </w:p>
        </w:tc>
        <w:tc>
          <w:tcPr>
            <w:tcW w:w="402" w:type="pct"/>
            <w:vMerge w:val="restar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34.63799</w:t>
            </w:r>
          </w:p>
        </w:tc>
        <w:tc>
          <w:tcPr>
            <w:tcW w:w="4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PM</w:t>
            </w:r>
            <w:r>
              <w:rPr>
                <w:rFonts w:hint="eastAsia"/>
                <w:vertAlign w:val="subscript"/>
                <w:lang w:val="en-US" w:eastAsia="zh-CN"/>
              </w:rPr>
              <w:t>10</w:t>
            </w:r>
          </w:p>
        </w:tc>
        <w:tc>
          <w:tcPr>
            <w:tcW w:w="58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日平均</w:t>
            </w:r>
          </w:p>
        </w:tc>
        <w:tc>
          <w:tcPr>
            <w:tcW w:w="470"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0.15</w:t>
            </w:r>
          </w:p>
        </w:tc>
        <w:tc>
          <w:tcPr>
            <w:tcW w:w="889" w:type="pct"/>
            <w:vAlign w:val="center"/>
          </w:tcPr>
          <w:p>
            <w:pPr>
              <w:pStyle w:val="28"/>
              <w:suppressLineNumbers w:val="0"/>
              <w:bidi w:val="0"/>
              <w:spacing w:before="0" w:after="0"/>
              <w:ind w:left="0" w:right="0"/>
              <w:jc w:val="center"/>
              <w:outlineLvl w:val="9"/>
              <w:rPr>
                <w:rFonts w:hint="default"/>
                <w:b w:val="0"/>
                <w:bCs w:val="0"/>
                <w:lang w:val="en-US" w:eastAsia="zh-CN"/>
              </w:rPr>
            </w:pPr>
            <w:r>
              <w:rPr>
                <w:rFonts w:hint="eastAsia"/>
                <w:b w:val="0"/>
                <w:bCs w:val="0"/>
                <w:lang w:val="en-US" w:eastAsia="zh-CN"/>
              </w:rPr>
              <w:t>0.08~0.145</w:t>
            </w:r>
          </w:p>
        </w:tc>
        <w:tc>
          <w:tcPr>
            <w:tcW w:w="599" w:type="pct"/>
            <w:vAlign w:val="bottom"/>
          </w:tcPr>
          <w:p>
            <w:pPr>
              <w:pStyle w:val="28"/>
              <w:suppressLineNumbers w:val="0"/>
              <w:bidi w:val="0"/>
              <w:spacing w:before="0" w:after="0"/>
              <w:ind w:left="0" w:right="0"/>
              <w:rPr>
                <w:rFonts w:hint="default"/>
                <w:b w:val="0"/>
                <w:bCs w:val="0"/>
                <w:lang w:val="en-US" w:eastAsia="zh-CN"/>
              </w:rPr>
            </w:pPr>
            <w:r>
              <w:rPr>
                <w:rFonts w:hint="eastAsia"/>
                <w:b w:val="0"/>
                <w:bCs w:val="0"/>
                <w:lang w:val="en-US" w:eastAsia="zh-CN"/>
              </w:rPr>
              <w:t>97.67</w:t>
            </w:r>
            <w:r>
              <w:rPr>
                <w:rFonts w:hint="default"/>
                <w:b w:val="0"/>
                <w:bCs w:val="0"/>
                <w:lang w:val="en-US" w:eastAsia="zh-CN"/>
              </w:rPr>
              <w:t>%</w:t>
            </w:r>
          </w:p>
        </w:tc>
        <w:tc>
          <w:tcPr>
            <w:tcW w:w="317"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0</w:t>
            </w:r>
          </w:p>
        </w:tc>
        <w:tc>
          <w:tcPr>
            <w:tcW w:w="371"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SO</w:t>
            </w:r>
            <w:r>
              <w:rPr>
                <w:rFonts w:hint="eastAsia"/>
                <w:vertAlign w:val="subscript"/>
                <w:lang w:val="en-US" w:eastAsia="zh-CN"/>
              </w:rPr>
              <w:t>2</w:t>
            </w:r>
          </w:p>
        </w:tc>
        <w:tc>
          <w:tcPr>
            <w:tcW w:w="58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小时平均</w:t>
            </w:r>
          </w:p>
        </w:tc>
        <w:tc>
          <w:tcPr>
            <w:tcW w:w="470"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0.5</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0.018~0.031</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6.20%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NOx</w:t>
            </w:r>
          </w:p>
        </w:tc>
        <w:tc>
          <w:tcPr>
            <w:tcW w:w="58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小时平均</w:t>
            </w:r>
          </w:p>
        </w:tc>
        <w:tc>
          <w:tcPr>
            <w:tcW w:w="470"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0.25</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0.027~0.052</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20.80%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非甲烷总烃</w:t>
            </w:r>
          </w:p>
        </w:tc>
        <w:tc>
          <w:tcPr>
            <w:tcW w:w="58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小时平均</w:t>
            </w:r>
          </w:p>
        </w:tc>
        <w:tc>
          <w:tcPr>
            <w:tcW w:w="470"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0.002</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0.00039~0.00148</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74.00%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restar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厂址K1</w:t>
            </w:r>
          </w:p>
        </w:tc>
        <w:tc>
          <w:tcPr>
            <w:tcW w:w="425" w:type="pct"/>
            <w:vMerge w:val="restart"/>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118.841929</w:t>
            </w:r>
          </w:p>
        </w:tc>
        <w:tc>
          <w:tcPr>
            <w:tcW w:w="402" w:type="pct"/>
            <w:vMerge w:val="restart"/>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34.658374</w:t>
            </w:r>
          </w:p>
        </w:tc>
        <w:tc>
          <w:tcPr>
            <w:tcW w:w="489"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PM</w:t>
            </w:r>
            <w:r>
              <w:rPr>
                <w:rFonts w:hint="eastAsia"/>
                <w:vertAlign w:val="subscript"/>
                <w:lang w:val="en-US" w:eastAsia="zh-CN"/>
              </w:rPr>
              <w:t>10</w:t>
            </w:r>
          </w:p>
        </w:tc>
        <w:tc>
          <w:tcPr>
            <w:tcW w:w="587"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日平均</w:t>
            </w:r>
          </w:p>
        </w:tc>
        <w:tc>
          <w:tcPr>
            <w:tcW w:w="47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0.15</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0.047~0.113</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75.33%</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587"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小时平均</w:t>
            </w:r>
          </w:p>
        </w:tc>
        <w:tc>
          <w:tcPr>
            <w:tcW w:w="47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0.5</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0.008~0.014</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2.80%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NOx</w:t>
            </w:r>
          </w:p>
        </w:tc>
        <w:tc>
          <w:tcPr>
            <w:tcW w:w="587"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小时平均</w:t>
            </w:r>
          </w:p>
        </w:tc>
        <w:tc>
          <w:tcPr>
            <w:tcW w:w="47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0.25</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0.028~0.054</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21.60%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2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0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9"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非甲烷总烃</w:t>
            </w:r>
          </w:p>
        </w:tc>
        <w:tc>
          <w:tcPr>
            <w:tcW w:w="587"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小时平均</w:t>
            </w:r>
          </w:p>
        </w:tc>
        <w:tc>
          <w:tcPr>
            <w:tcW w:w="47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eastAsia"/>
                <w:lang w:val="en-US" w:eastAsia="zh-CN"/>
              </w:rPr>
              <w:t>0.002</w:t>
            </w:r>
          </w:p>
        </w:tc>
        <w:tc>
          <w:tcPr>
            <w:tcW w:w="88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0.00035~0.0015</w:t>
            </w:r>
          </w:p>
        </w:tc>
        <w:tc>
          <w:tcPr>
            <w:tcW w:w="599" w:type="pct"/>
            <w:vAlign w:val="bottom"/>
          </w:tcPr>
          <w:p>
            <w:pPr>
              <w:pStyle w:val="28"/>
              <w:suppressLineNumbers w:val="0"/>
              <w:bidi w:val="0"/>
              <w:spacing w:before="0" w:after="0"/>
              <w:ind w:left="0" w:right="0"/>
              <w:rPr>
                <w:rFonts w:hint="default"/>
                <w:lang w:val="en-US" w:eastAsia="zh-CN"/>
              </w:rPr>
            </w:pPr>
            <w:r>
              <w:rPr>
                <w:rFonts w:hint="default"/>
                <w:lang w:val="en-US" w:eastAsia="zh-CN"/>
              </w:rPr>
              <w:t>75.00%</w:t>
            </w:r>
          </w:p>
        </w:tc>
        <w:tc>
          <w:tcPr>
            <w:tcW w:w="317"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w:t>
            </w:r>
          </w:p>
        </w:tc>
        <w:tc>
          <w:tcPr>
            <w:tcW w:w="371"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达标</w:t>
            </w:r>
          </w:p>
        </w:tc>
      </w:tr>
    </w:tbl>
    <w:p>
      <w:pPr>
        <w:bidi w:val="0"/>
        <w:rPr>
          <w:rFonts w:hint="default"/>
          <w:lang w:val="en-US" w:eastAsia="zh-CN"/>
        </w:rPr>
      </w:pPr>
      <w:r>
        <w:rPr>
          <w:rFonts w:hint="default"/>
        </w:rPr>
        <w:t>由上表可知，</w:t>
      </w:r>
      <w:r>
        <w:rPr>
          <w:rFonts w:hint="eastAsia"/>
          <w:lang w:eastAsia="zh-CN"/>
        </w:rPr>
        <w:t>厂址和西丰墩村</w:t>
      </w:r>
      <w:r>
        <w:rPr>
          <w:rFonts w:hint="default"/>
        </w:rPr>
        <w:t>各特征污染因子均满足相应的质量标准。</w:t>
      </w:r>
    </w:p>
    <w:p>
      <w:pPr>
        <w:pStyle w:val="5"/>
        <w:bidi w:val="0"/>
        <w:rPr>
          <w:rFonts w:hint="eastAsia"/>
          <w:lang w:val="en-US" w:eastAsia="zh-CN"/>
        </w:rPr>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rPr>
          <w:rFonts w:hint="eastAsia"/>
          <w:lang w:val="en-US" w:eastAsia="zh-CN"/>
        </w:rPr>
      </w:pPr>
      <w:r>
        <w:rPr>
          <w:rFonts w:hint="eastAsia"/>
          <w:lang w:val="en-US" w:eastAsia="zh-CN"/>
        </w:rPr>
        <w:t>4.3.2 水环境质量现状调查与评价</w:t>
      </w:r>
    </w:p>
    <w:p>
      <w:pPr>
        <w:pStyle w:val="6"/>
        <w:bidi w:val="0"/>
        <w:rPr>
          <w:rFonts w:hint="default"/>
          <w:lang w:val="en-US" w:eastAsia="zh-CN"/>
        </w:rPr>
      </w:pPr>
      <w:r>
        <w:rPr>
          <w:rFonts w:hint="eastAsia"/>
          <w:lang w:val="en-US" w:eastAsia="zh-CN"/>
        </w:rPr>
        <w:t>4.3.2.1 环保部分发布数据情况</w:t>
      </w:r>
    </w:p>
    <w:p>
      <w:pPr>
        <w:bidi w:val="0"/>
        <w:rPr>
          <w:rFonts w:hint="eastAsia"/>
          <w:lang w:val="en-US" w:eastAsia="zh-CN"/>
        </w:rPr>
      </w:pPr>
      <w:r>
        <w:rPr>
          <w:rFonts w:hint="eastAsia"/>
          <w:lang w:val="en-US" w:eastAsia="zh-CN"/>
        </w:rPr>
        <w:t>根据连云港市生态环境局发布的2020年第一季度水环境质量状况，石安河浦西桥监测断面1~3月平均水质为</w:t>
      </w:r>
      <w:r>
        <w:rPr>
          <w:rFonts w:hint="eastAsia"/>
          <w:lang w:val="en-US" w:eastAsia="zh-CN"/>
        </w:rPr>
        <w:fldChar w:fldCharType="begin"/>
      </w:r>
      <w:r>
        <w:rPr>
          <w:rFonts w:hint="eastAsia"/>
          <w:lang w:val="en-US" w:eastAsia="zh-CN"/>
        </w:rPr>
        <w:instrText xml:space="preserve"> = 4 \* ROMAN \* MERGEFORMAT </w:instrText>
      </w:r>
      <w:r>
        <w:rPr>
          <w:rFonts w:hint="eastAsia"/>
          <w:lang w:val="en-US" w:eastAsia="zh-CN"/>
        </w:rPr>
        <w:fldChar w:fldCharType="separate"/>
      </w:r>
      <w:r>
        <w:t>IV</w:t>
      </w:r>
      <w:r>
        <w:rPr>
          <w:rFonts w:hint="eastAsia"/>
          <w:lang w:val="en-US" w:eastAsia="zh-CN"/>
        </w:rPr>
        <w:fldChar w:fldCharType="end"/>
      </w:r>
      <w:r>
        <w:rPr>
          <w:rFonts w:hint="eastAsia"/>
          <w:lang w:val="en-US" w:eastAsia="zh-CN"/>
        </w:rPr>
        <w:t>类，不能达到《地表水环境质量标准》（</w:t>
      </w:r>
      <w:r>
        <w:rPr>
          <w:rFonts w:hint="default"/>
          <w:lang w:val="en-US" w:eastAsia="zh-CN"/>
        </w:rPr>
        <w:t>GB3838-2002</w:t>
      </w:r>
      <w:r>
        <w:rPr>
          <w:rFonts w:hint="eastAsia"/>
          <w:lang w:val="en-US" w:eastAsia="zh-CN"/>
        </w:rPr>
        <w:t>）</w:t>
      </w:r>
      <w:r>
        <w:rPr>
          <w:rFonts w:hint="default"/>
          <w:lang w:val="en-US" w:eastAsia="zh-CN"/>
        </w:rPr>
        <w:t>III</w:t>
      </w:r>
      <w:r>
        <w:rPr>
          <w:rFonts w:hint="eastAsia"/>
          <w:lang w:val="en-US" w:eastAsia="zh-CN"/>
        </w:rPr>
        <w:t>类水的标准。</w:t>
      </w:r>
    </w:p>
    <w:p>
      <w:pPr>
        <w:pStyle w:val="6"/>
        <w:bidi w:val="0"/>
        <w:rPr>
          <w:rFonts w:hint="default"/>
          <w:lang w:val="en-US" w:eastAsia="zh-CN"/>
        </w:rPr>
      </w:pPr>
      <w:r>
        <w:rPr>
          <w:rFonts w:hint="eastAsia"/>
          <w:lang w:val="en-US" w:eastAsia="zh-CN"/>
        </w:rPr>
        <w:t>4.3.2.2 地表水环境质量现状评价</w:t>
      </w:r>
    </w:p>
    <w:p>
      <w:pPr>
        <w:bidi w:val="0"/>
        <w:rPr>
          <w:rFonts w:hint="default"/>
          <w:lang w:val="en-US" w:eastAsia="zh-CN"/>
        </w:rPr>
      </w:pPr>
      <w:r>
        <w:rPr>
          <w:rFonts w:hint="default"/>
        </w:rPr>
        <w:t>根据项目附近的水文特征以及项目废水排放的特点等因素，</w:t>
      </w:r>
      <w:r>
        <w:rPr>
          <w:rFonts w:hint="eastAsia"/>
          <w:lang w:eastAsia="zh-CN"/>
        </w:rPr>
        <w:t>在石安河</w:t>
      </w:r>
      <w:r>
        <w:rPr>
          <w:rFonts w:hint="default"/>
        </w:rPr>
        <w:t>设置一个监测断面，监测断面见表表</w:t>
      </w:r>
      <w:r>
        <w:rPr>
          <w:rFonts w:hint="eastAsia"/>
          <w:lang w:val="en-US" w:eastAsia="zh-CN"/>
        </w:rPr>
        <w:t>4.3.2-2</w:t>
      </w:r>
      <w:r>
        <w:rPr>
          <w:rFonts w:hint="default"/>
        </w:rPr>
        <w:t>及</w:t>
      </w:r>
      <w:r>
        <w:rPr>
          <w:rFonts w:hint="eastAsia"/>
          <w:lang w:eastAsia="zh-CN"/>
        </w:rPr>
        <w:t>附图</w:t>
      </w:r>
      <w:r>
        <w:rPr>
          <w:rFonts w:hint="default"/>
        </w:rPr>
        <w:t>。</w:t>
      </w:r>
    </w:p>
    <w:p>
      <w:pPr>
        <w:pStyle w:val="27"/>
        <w:bidi w:val="0"/>
        <w:rPr>
          <w:rFonts w:hint="default"/>
          <w:lang w:val="en-US" w:eastAsia="zh-CN"/>
        </w:rPr>
      </w:pPr>
      <w:r>
        <w:rPr>
          <w:rFonts w:hint="eastAsia"/>
          <w:lang w:val="en-US" w:eastAsia="zh-CN"/>
        </w:rPr>
        <w:t>表4.3.2-2 地表水环境监测概况</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704"/>
        <w:gridCol w:w="3975"/>
        <w:gridCol w:w="23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pStyle w:val="28"/>
              <w:suppressLineNumbers w:val="0"/>
              <w:bidi w:val="0"/>
              <w:spacing w:before="0" w:after="0"/>
              <w:ind w:left="0" w:right="0"/>
              <w:rPr>
                <w:rFonts w:hint="default"/>
                <w:lang w:val="en-US" w:eastAsia="zh-CN"/>
              </w:rPr>
            </w:pPr>
            <w:r>
              <w:rPr>
                <w:rFonts w:hint="eastAsia"/>
                <w:lang w:val="en-US" w:eastAsia="zh-CN"/>
              </w:rPr>
              <w:t>断面编号</w:t>
            </w:r>
          </w:p>
        </w:tc>
        <w:tc>
          <w:tcPr>
            <w:tcW w:w="704" w:type="dxa"/>
          </w:tcPr>
          <w:p>
            <w:pPr>
              <w:pStyle w:val="28"/>
              <w:suppressLineNumbers w:val="0"/>
              <w:bidi w:val="0"/>
              <w:spacing w:before="0" w:after="0"/>
              <w:ind w:left="0" w:right="0"/>
              <w:rPr>
                <w:rFonts w:hint="default"/>
                <w:lang w:val="en-US" w:eastAsia="zh-CN"/>
              </w:rPr>
            </w:pPr>
            <w:r>
              <w:rPr>
                <w:rFonts w:hint="eastAsia"/>
                <w:lang w:val="en-US" w:eastAsia="zh-CN"/>
              </w:rPr>
              <w:t>河流</w:t>
            </w:r>
          </w:p>
        </w:tc>
        <w:tc>
          <w:tcPr>
            <w:tcW w:w="3975" w:type="dxa"/>
          </w:tcPr>
          <w:p>
            <w:pPr>
              <w:pStyle w:val="28"/>
              <w:suppressLineNumbers w:val="0"/>
              <w:bidi w:val="0"/>
              <w:spacing w:before="0" w:after="0"/>
              <w:ind w:left="0" w:right="0"/>
              <w:rPr>
                <w:rFonts w:hint="default"/>
                <w:lang w:val="en-US" w:eastAsia="zh-CN"/>
              </w:rPr>
            </w:pPr>
            <w:r>
              <w:rPr>
                <w:rFonts w:hint="eastAsia"/>
                <w:lang w:val="en-US" w:eastAsia="zh-CN"/>
              </w:rPr>
              <w:t>监测断面布设位置</w:t>
            </w:r>
          </w:p>
        </w:tc>
        <w:tc>
          <w:tcPr>
            <w:tcW w:w="2343" w:type="dxa"/>
          </w:tcPr>
          <w:p>
            <w:pPr>
              <w:pStyle w:val="28"/>
              <w:suppressLineNumbers w:val="0"/>
              <w:bidi w:val="0"/>
              <w:spacing w:before="0" w:after="0"/>
              <w:ind w:left="0" w:right="0"/>
              <w:rPr>
                <w:rFonts w:hint="default"/>
                <w:lang w:val="en-US" w:eastAsia="zh-CN"/>
              </w:rPr>
            </w:pPr>
            <w:r>
              <w:rPr>
                <w:rFonts w:hint="eastAsia"/>
                <w:lang w:val="en-US" w:eastAsia="zh-CN"/>
              </w:rPr>
              <w:t>监测项目</w:t>
            </w:r>
          </w:p>
        </w:tc>
        <w:tc>
          <w:tcPr>
            <w:tcW w:w="1842" w:type="dxa"/>
          </w:tcPr>
          <w:p>
            <w:pPr>
              <w:pStyle w:val="28"/>
              <w:suppressLineNumbers w:val="0"/>
              <w:bidi w:val="0"/>
              <w:spacing w:before="0" w:after="0"/>
              <w:ind w:left="0" w:right="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pStyle w:val="28"/>
              <w:suppressLineNumbers w:val="0"/>
              <w:bidi w:val="0"/>
              <w:spacing w:before="0" w:after="0"/>
              <w:ind w:left="0" w:right="0"/>
              <w:rPr>
                <w:rFonts w:hint="default"/>
                <w:lang w:val="en-US" w:eastAsia="zh-CN"/>
              </w:rPr>
            </w:pPr>
            <w:r>
              <w:rPr>
                <w:rFonts w:hint="eastAsia"/>
                <w:lang w:val="en-US" w:eastAsia="zh-CN"/>
              </w:rPr>
              <w:t>W1</w:t>
            </w:r>
          </w:p>
        </w:tc>
        <w:tc>
          <w:tcPr>
            <w:tcW w:w="704" w:type="dxa"/>
            <w:vMerge w:val="restart"/>
          </w:tcPr>
          <w:p>
            <w:pPr>
              <w:pStyle w:val="28"/>
              <w:suppressLineNumbers w:val="0"/>
              <w:bidi w:val="0"/>
              <w:spacing w:before="0" w:after="0"/>
              <w:ind w:left="0" w:right="0"/>
              <w:rPr>
                <w:rFonts w:hint="default"/>
                <w:lang w:val="en-US" w:eastAsia="zh-CN"/>
              </w:rPr>
            </w:pPr>
            <w:r>
              <w:rPr>
                <w:rFonts w:hint="eastAsia"/>
                <w:lang w:val="en-US" w:eastAsia="zh-CN"/>
              </w:rPr>
              <w:t>石安河</w:t>
            </w:r>
          </w:p>
        </w:tc>
        <w:tc>
          <w:tcPr>
            <w:tcW w:w="3975" w:type="dxa"/>
            <w:vAlign w:val="center"/>
          </w:tcPr>
          <w:p>
            <w:pPr>
              <w:pStyle w:val="28"/>
              <w:suppressLineNumbers w:val="0"/>
              <w:bidi w:val="0"/>
              <w:spacing w:before="0" w:after="0"/>
              <w:ind w:left="0" w:right="0"/>
              <w:rPr>
                <w:rFonts w:hint="default"/>
                <w:lang w:val="en-US" w:eastAsia="zh-CN"/>
              </w:rPr>
            </w:pPr>
            <w:r>
              <w:rPr>
                <w:rFonts w:hint="eastAsia"/>
                <w:lang w:val="en-US" w:eastAsia="zh-CN"/>
              </w:rPr>
              <w:t>G310与石安河交界处</w:t>
            </w:r>
          </w:p>
        </w:tc>
        <w:tc>
          <w:tcPr>
            <w:tcW w:w="2343" w:type="dxa"/>
            <w:vMerge w:val="restart"/>
          </w:tcPr>
          <w:p>
            <w:pPr>
              <w:pStyle w:val="28"/>
              <w:suppressLineNumbers w:val="0"/>
              <w:bidi w:val="0"/>
              <w:spacing w:before="0" w:after="0"/>
              <w:ind w:left="0" w:right="0"/>
              <w:rPr>
                <w:rFonts w:hint="default"/>
                <w:lang w:val="en-US" w:eastAsia="zh-CN"/>
              </w:rPr>
            </w:pPr>
            <w:r>
              <w:t>pH、</w:t>
            </w:r>
            <w:r>
              <w:rPr>
                <w:rFonts w:hint="eastAsia"/>
                <w:lang w:val="en-US" w:eastAsia="zh-CN"/>
              </w:rPr>
              <w:t>COD、SS、</w:t>
            </w:r>
            <w:r>
              <w:t>石油类</w:t>
            </w:r>
            <w:r>
              <w:rPr>
                <w:rFonts w:hint="eastAsia"/>
                <w:lang w:eastAsia="zh-CN"/>
              </w:rPr>
              <w:t>、</w:t>
            </w:r>
            <w:r>
              <w:t>氨氮、总磷、总氮</w:t>
            </w:r>
          </w:p>
        </w:tc>
        <w:tc>
          <w:tcPr>
            <w:tcW w:w="1842" w:type="dxa"/>
            <w:vMerge w:val="restart"/>
          </w:tcPr>
          <w:p>
            <w:pPr>
              <w:pStyle w:val="28"/>
              <w:suppressLineNumbers w:val="0"/>
              <w:bidi w:val="0"/>
              <w:spacing w:before="0" w:after="0"/>
              <w:ind w:left="0" w:right="0"/>
              <w:rPr>
                <w:rFonts w:hint="default"/>
                <w:lang w:val="en-US" w:eastAsia="zh-CN"/>
              </w:rPr>
            </w:pPr>
            <w:r>
              <w:rPr>
                <w:rFonts w:hint="eastAsia" w:ascii="Times New Roman" w:hAnsi="Times New Roman" w:eastAsia="宋体"/>
                <w:b w:val="0"/>
                <w:sz w:val="21"/>
                <w:szCs w:val="21"/>
              </w:rPr>
              <w:t>连续监测3天，每天采样2次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pStyle w:val="28"/>
              <w:suppressLineNumbers w:val="0"/>
              <w:bidi w:val="0"/>
              <w:spacing w:before="0" w:after="0"/>
              <w:ind w:left="0" w:right="0"/>
              <w:rPr>
                <w:rFonts w:hint="default"/>
                <w:lang w:val="en-US" w:eastAsia="zh-CN"/>
              </w:rPr>
            </w:pPr>
            <w:r>
              <w:rPr>
                <w:rFonts w:hint="eastAsia"/>
                <w:lang w:val="en-US" w:eastAsia="zh-CN"/>
              </w:rPr>
              <w:t>W2</w:t>
            </w:r>
          </w:p>
        </w:tc>
        <w:tc>
          <w:tcPr>
            <w:tcW w:w="704" w:type="dxa"/>
            <w:vMerge w:val="continue"/>
          </w:tcPr>
          <w:p>
            <w:pPr>
              <w:pStyle w:val="28"/>
              <w:suppressLineNumbers w:val="0"/>
              <w:bidi w:val="0"/>
              <w:spacing w:before="0" w:after="0"/>
              <w:ind w:left="0" w:right="0"/>
              <w:outlineLvl w:val="9"/>
              <w:rPr>
                <w:rFonts w:hint="default"/>
                <w:lang w:val="en-US" w:eastAsia="zh-CN"/>
              </w:rPr>
            </w:pPr>
          </w:p>
        </w:tc>
        <w:tc>
          <w:tcPr>
            <w:tcW w:w="3975" w:type="dxa"/>
            <w:vAlign w:val="center"/>
          </w:tcPr>
          <w:p>
            <w:pPr>
              <w:pStyle w:val="28"/>
              <w:suppressLineNumbers w:val="0"/>
              <w:bidi w:val="0"/>
              <w:spacing w:before="0" w:after="0"/>
              <w:ind w:left="0" w:right="0"/>
              <w:rPr>
                <w:rFonts w:hint="default"/>
                <w:lang w:val="en-US" w:eastAsia="zh-CN"/>
              </w:rPr>
            </w:pPr>
            <w:r>
              <w:rPr>
                <w:rFonts w:hint="eastAsia"/>
                <w:lang w:val="en-US" w:eastAsia="zh-CN"/>
              </w:rPr>
              <w:t>东海县尚有农业开发有限公司附近断面</w:t>
            </w:r>
          </w:p>
        </w:tc>
        <w:tc>
          <w:tcPr>
            <w:tcW w:w="2343" w:type="dxa"/>
            <w:vMerge w:val="continue"/>
          </w:tcPr>
          <w:p>
            <w:pPr>
              <w:pStyle w:val="28"/>
              <w:suppressLineNumbers w:val="0"/>
              <w:bidi w:val="0"/>
              <w:spacing w:before="0" w:after="0"/>
              <w:ind w:left="0" w:right="0"/>
              <w:outlineLvl w:val="9"/>
              <w:rPr>
                <w:rFonts w:hint="default"/>
                <w:lang w:val="en-US" w:eastAsia="zh-CN"/>
              </w:rPr>
            </w:pPr>
          </w:p>
        </w:tc>
        <w:tc>
          <w:tcPr>
            <w:tcW w:w="1842" w:type="dxa"/>
            <w:vMerge w:val="continue"/>
          </w:tcPr>
          <w:p>
            <w:pPr>
              <w:pStyle w:val="28"/>
              <w:suppressLineNumbers w:val="0"/>
              <w:bidi w:val="0"/>
              <w:spacing w:before="0" w:after="0"/>
              <w:ind w:left="0" w:right="0"/>
              <w:outlineLvl w:val="9"/>
              <w:rPr>
                <w:rFonts w:hint="default"/>
                <w:lang w:val="en-US" w:eastAsia="zh-CN"/>
              </w:rPr>
            </w:pPr>
          </w:p>
        </w:tc>
      </w:tr>
    </w:tbl>
    <w:p>
      <w:pPr>
        <w:pStyle w:val="6"/>
        <w:bidi w:val="0"/>
        <w:rPr>
          <w:rFonts w:hint="default"/>
        </w:rPr>
      </w:pPr>
      <w:r>
        <w:rPr>
          <w:rFonts w:hint="eastAsia"/>
          <w:lang w:val="en-US" w:eastAsia="zh-CN"/>
        </w:rPr>
        <w:t>4</w:t>
      </w:r>
      <w:r>
        <w:rPr>
          <w:rFonts w:hint="default"/>
        </w:rPr>
        <w:t>.</w:t>
      </w:r>
      <w:r>
        <w:rPr>
          <w:rFonts w:hint="eastAsia"/>
          <w:lang w:val="en-US" w:eastAsia="zh-CN"/>
        </w:rPr>
        <w:t>3.2</w:t>
      </w:r>
      <w:r>
        <w:rPr>
          <w:rFonts w:hint="default"/>
        </w:rPr>
        <w:t>.3 监测项目、采样及分析方法</w:t>
      </w:r>
    </w:p>
    <w:p>
      <w:pPr>
        <w:pStyle w:val="27"/>
        <w:bidi w:val="0"/>
        <w:rPr>
          <w:rFonts w:hint="eastAsia"/>
          <w:lang w:eastAsia="zh-CN"/>
        </w:rPr>
      </w:pPr>
      <w:r>
        <w:rPr>
          <w:rFonts w:hint="default"/>
        </w:rPr>
        <w:t>表</w:t>
      </w:r>
      <w:r>
        <w:rPr>
          <w:rFonts w:hint="eastAsia"/>
          <w:lang w:val="en-US" w:eastAsia="zh-CN"/>
        </w:rPr>
        <w:t>4.3.2</w:t>
      </w:r>
      <w:r>
        <w:rPr>
          <w:rFonts w:hint="default"/>
        </w:rPr>
        <w:t>-</w:t>
      </w:r>
      <w:r>
        <w:rPr>
          <w:rFonts w:hint="eastAsia"/>
          <w:lang w:val="en-US" w:eastAsia="zh-CN"/>
        </w:rPr>
        <w:t>3</w:t>
      </w:r>
      <w:r>
        <w:rPr>
          <w:rFonts w:hint="default"/>
        </w:rPr>
        <w:t xml:space="preserve"> </w:t>
      </w:r>
      <w:r>
        <w:rPr>
          <w:rFonts w:hint="eastAsia"/>
          <w:lang w:eastAsia="zh-CN"/>
        </w:rPr>
        <w:t>监测分析方法</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749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00" w:type="pc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检测项目</w:t>
            </w:r>
          </w:p>
        </w:tc>
        <w:tc>
          <w:tcPr>
            <w:tcW w:w="3759" w:type="pc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方法依据</w:t>
            </w:r>
          </w:p>
        </w:tc>
        <w:tc>
          <w:tcPr>
            <w:tcW w:w="739" w:type="pc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t>pH</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便携式pH计法《水和废水监测分析方法》（第四版增补版）国家环保总局（2002）3.1.6.2</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COD</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化学需氧量的测定 重铬酸盐法GB828-2017</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SS</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悬浮物的测定 重量法GB11901-1989</w:t>
            </w:r>
          </w:p>
        </w:tc>
        <w:tc>
          <w:tcPr>
            <w:tcW w:w="739" w:type="pct"/>
            <w:vAlign w:val="center"/>
          </w:tcPr>
          <w:p>
            <w:pPr>
              <w:pStyle w:val="28"/>
              <w:suppressLineNumbers w:val="0"/>
              <w:bidi w:val="0"/>
              <w:spacing w:before="0" w:after="0"/>
              <w:ind w:left="0" w:right="0"/>
              <w:jc w:val="center"/>
              <w:outlineLvl w:val="9"/>
              <w:rPr>
                <w:rFonts w:hint="eastAsia"/>
                <w:lang w:val="en-US" w:eastAsia="zh-CN"/>
              </w:rPr>
            </w:pPr>
            <w:r>
              <w:rPr>
                <w:rFonts w:hint="eastAsia"/>
                <w:lang w:val="en-US" w:eastAsia="zh-CN"/>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t>石油类</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石油类的测定 紫外分光光度法HJ907-2018</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t>氨氮</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氨氮的测定 纳氏试剂分光光度法HJ535-2009</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rPr>
                <w:rFonts w:hint="eastAsia"/>
                <w:lang w:val="en-US" w:eastAsia="zh-CN"/>
              </w:rPr>
            </w:pPr>
            <w:r>
              <w:t>总磷</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总磷的测定 钼酸铵分光光度法GB11893-1989</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pct"/>
            <w:vAlign w:val="center"/>
          </w:tcPr>
          <w:p>
            <w:pPr>
              <w:pStyle w:val="28"/>
              <w:suppressLineNumbers w:val="0"/>
              <w:bidi w:val="0"/>
              <w:spacing w:before="0" w:after="0"/>
              <w:ind w:left="0" w:right="0"/>
              <w:jc w:val="center"/>
            </w:pPr>
            <w:r>
              <w:t>总氮</w:t>
            </w:r>
          </w:p>
        </w:tc>
        <w:tc>
          <w:tcPr>
            <w:tcW w:w="375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水质 总氮的测定 碱性过硫酸钾消解紫外分光光度法HJ636-2012</w:t>
            </w:r>
          </w:p>
        </w:tc>
        <w:tc>
          <w:tcPr>
            <w:tcW w:w="739" w:type="pct"/>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0.05mg/L</w:t>
            </w:r>
          </w:p>
        </w:tc>
      </w:tr>
    </w:tbl>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.2.4现状监测结果</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监测结果统计见表</w:t>
      </w:r>
      <w:r>
        <w:rPr>
          <w:rFonts w:hint="eastAsia" w:ascii="Times New Roman" w:hAnsi="Times New Roman"/>
          <w:color w:val="000000"/>
          <w:sz w:val="28"/>
          <w:lang w:val="en-US" w:eastAsia="zh-CN"/>
        </w:rPr>
        <w:t>4.3.2-4</w:t>
      </w:r>
      <w:r>
        <w:rPr>
          <w:rFonts w:hint="default" w:ascii="宋体" w:hAnsi="宋体" w:eastAsia="宋体"/>
          <w:color w:val="000000"/>
          <w:sz w:val="28"/>
        </w:rPr>
        <w:t>。</w:t>
      </w:r>
    </w:p>
    <w:p>
      <w:pPr>
        <w:pStyle w:val="27"/>
        <w:bidi w:val="0"/>
        <w:rPr>
          <w:rFonts w:hint="default"/>
          <w:lang w:val="en-US" w:eastAsia="zh-CN"/>
        </w:rPr>
      </w:pPr>
      <w:r>
        <w:rPr>
          <w:rFonts w:hint="default"/>
        </w:rPr>
        <w:t>表</w:t>
      </w:r>
      <w:r>
        <w:rPr>
          <w:rFonts w:hint="eastAsia"/>
          <w:lang w:val="en-US" w:eastAsia="zh-CN"/>
        </w:rPr>
        <w:t xml:space="preserve">4.3.2.-4 </w:t>
      </w:r>
      <w:r>
        <w:rPr>
          <w:rFonts w:hint="default"/>
        </w:rPr>
        <w:t>地表水现状监测结果表（除pH无量纲外，其余均为mg/L）</w:t>
      </w:r>
    </w:p>
    <w:tbl>
      <w:tblPr>
        <w:tblStyle w:val="2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126"/>
        <w:gridCol w:w="838"/>
        <w:gridCol w:w="1170"/>
        <w:gridCol w:w="798"/>
        <w:gridCol w:w="1500"/>
        <w:gridCol w:w="1126"/>
        <w:gridCol w:w="1126"/>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断面</w:t>
            </w: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数据</w:t>
            </w:r>
          </w:p>
        </w:tc>
        <w:tc>
          <w:tcPr>
            <w:tcW w:w="421" w:type="pct"/>
            <w:vAlign w:val="center"/>
          </w:tcPr>
          <w:p>
            <w:pPr>
              <w:pStyle w:val="28"/>
              <w:suppressLineNumbers w:val="0"/>
              <w:bidi w:val="0"/>
              <w:spacing w:before="0" w:after="0"/>
              <w:ind w:left="0" w:right="0"/>
              <w:rPr>
                <w:rFonts w:hint="default"/>
                <w:lang w:val="en-US" w:eastAsia="zh-CN"/>
              </w:rPr>
            </w:pPr>
            <w:r>
              <w:rPr>
                <w:rFonts w:hint="eastAsia"/>
                <w:lang w:val="en-US" w:eastAsia="zh-CN"/>
              </w:rPr>
              <w:t>pH</w:t>
            </w:r>
          </w:p>
        </w:tc>
        <w:tc>
          <w:tcPr>
            <w:tcW w:w="588" w:type="pct"/>
            <w:vAlign w:val="center"/>
          </w:tcPr>
          <w:p>
            <w:pPr>
              <w:pStyle w:val="28"/>
              <w:suppressLineNumbers w:val="0"/>
              <w:bidi w:val="0"/>
              <w:spacing w:before="0" w:after="0"/>
              <w:ind w:left="0" w:right="0"/>
              <w:rPr>
                <w:rFonts w:hint="default"/>
                <w:lang w:val="en-US" w:eastAsia="zh-CN"/>
              </w:rPr>
            </w:pPr>
            <w:r>
              <w:rPr>
                <w:rFonts w:hint="eastAsia"/>
                <w:lang w:val="en-US" w:eastAsia="zh-CN"/>
              </w:rPr>
              <w:t>COD</w:t>
            </w:r>
          </w:p>
        </w:tc>
        <w:tc>
          <w:tcPr>
            <w:tcW w:w="401" w:type="pct"/>
            <w:vAlign w:val="center"/>
          </w:tcPr>
          <w:p>
            <w:pPr>
              <w:pStyle w:val="28"/>
              <w:suppressLineNumbers w:val="0"/>
              <w:bidi w:val="0"/>
              <w:spacing w:before="0" w:after="0"/>
              <w:ind w:left="0" w:right="0"/>
              <w:rPr>
                <w:rFonts w:hint="default"/>
                <w:lang w:val="en-US" w:eastAsia="zh-CN"/>
              </w:rPr>
            </w:pPr>
            <w:r>
              <w:rPr>
                <w:rFonts w:hint="eastAsia"/>
                <w:lang w:val="en-US" w:eastAsia="zh-CN"/>
              </w:rPr>
              <w:t>SS</w:t>
            </w:r>
          </w:p>
        </w:tc>
        <w:tc>
          <w:tcPr>
            <w:tcW w:w="754" w:type="pct"/>
            <w:vAlign w:val="center"/>
          </w:tcPr>
          <w:p>
            <w:pPr>
              <w:pStyle w:val="28"/>
              <w:suppressLineNumbers w:val="0"/>
              <w:bidi w:val="0"/>
              <w:spacing w:before="0" w:after="0"/>
              <w:ind w:left="0" w:right="0"/>
              <w:rPr>
                <w:rFonts w:hint="default"/>
                <w:lang w:val="en-US" w:eastAsia="zh-CN"/>
              </w:rPr>
            </w:pPr>
            <w:r>
              <w:t>石油类</w:t>
            </w:r>
          </w:p>
        </w:tc>
        <w:tc>
          <w:tcPr>
            <w:tcW w:w="566" w:type="pct"/>
            <w:vAlign w:val="center"/>
          </w:tcPr>
          <w:p>
            <w:pPr>
              <w:pStyle w:val="28"/>
              <w:suppressLineNumbers w:val="0"/>
              <w:bidi w:val="0"/>
              <w:spacing w:before="0" w:after="0"/>
              <w:ind w:left="0" w:right="0"/>
              <w:rPr>
                <w:rFonts w:hint="default"/>
                <w:lang w:val="en-US" w:eastAsia="zh-CN"/>
              </w:rPr>
            </w:pPr>
            <w:r>
              <w:t>氨氮</w:t>
            </w:r>
          </w:p>
        </w:tc>
        <w:tc>
          <w:tcPr>
            <w:tcW w:w="566" w:type="pct"/>
            <w:vAlign w:val="center"/>
          </w:tcPr>
          <w:p>
            <w:pPr>
              <w:pStyle w:val="28"/>
              <w:suppressLineNumbers w:val="0"/>
              <w:bidi w:val="0"/>
              <w:spacing w:before="0" w:after="0"/>
              <w:ind w:left="0" w:right="0"/>
              <w:rPr>
                <w:rFonts w:hint="default"/>
                <w:lang w:val="en-US" w:eastAsia="zh-CN"/>
              </w:rPr>
            </w:pPr>
            <w:r>
              <w:t>总磷</w:t>
            </w:r>
          </w:p>
        </w:tc>
        <w:tc>
          <w:tcPr>
            <w:tcW w:w="568" w:type="pct"/>
            <w:vAlign w:val="center"/>
          </w:tcPr>
          <w:p>
            <w:pPr>
              <w:pStyle w:val="28"/>
              <w:suppressLineNumbers w:val="0"/>
              <w:bidi w:val="0"/>
              <w:spacing w:before="0" w:after="0"/>
              <w:ind w:left="0" w:right="0"/>
              <w:rPr>
                <w:rFonts w:hint="default"/>
                <w:lang w:val="en-US" w:eastAsia="zh-CN"/>
              </w:rPr>
            </w:pPr>
            <w: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W1</w:t>
            </w: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最大值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8.78</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21</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6</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0.18</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0.391</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0.1</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最小值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8.57</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20</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4</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0.1</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0.149</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0.08</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平均值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8.68 </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20.63 </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4.67 </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0.14 </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0.25 </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0.09 </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标准值</w:t>
            </w:r>
          </w:p>
        </w:tc>
        <w:tc>
          <w:tcPr>
            <w:tcW w:w="421" w:type="pct"/>
            <w:vAlign w:val="center"/>
          </w:tcPr>
          <w:p>
            <w:pPr>
              <w:pStyle w:val="28"/>
              <w:suppressLineNumbers w:val="0"/>
              <w:bidi w:val="0"/>
              <w:spacing w:before="0" w:after="0"/>
              <w:ind w:left="0" w:right="0"/>
              <w:rPr>
                <w:rFonts w:hint="default"/>
                <w:color w:val="0000FF"/>
                <w:lang w:val="en-US" w:eastAsia="zh-CN"/>
              </w:rPr>
            </w:pPr>
            <w:r>
              <w:rPr>
                <w:color w:val="0000FF"/>
              </w:rPr>
              <w:t>6～9</w:t>
            </w:r>
          </w:p>
        </w:tc>
        <w:tc>
          <w:tcPr>
            <w:tcW w:w="588"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20</w:t>
            </w:r>
          </w:p>
        </w:tc>
        <w:tc>
          <w:tcPr>
            <w:tcW w:w="401"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30</w:t>
            </w:r>
          </w:p>
        </w:tc>
        <w:tc>
          <w:tcPr>
            <w:tcW w:w="754"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0.05</w:t>
            </w: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1</w:t>
            </w: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0.2</w:t>
            </w:r>
          </w:p>
        </w:tc>
        <w:tc>
          <w:tcPr>
            <w:tcW w:w="568"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restart"/>
            <w:vAlign w:val="center"/>
          </w:tcPr>
          <w:p>
            <w:pPr>
              <w:pStyle w:val="28"/>
              <w:suppressLineNumbers w:val="0"/>
              <w:bidi w:val="0"/>
              <w:spacing w:before="0" w:after="0"/>
              <w:ind w:left="0" w:right="0"/>
              <w:rPr>
                <w:rFonts w:hint="default"/>
                <w:lang w:val="en-US" w:eastAsia="zh-CN"/>
              </w:rPr>
            </w:pPr>
            <w:r>
              <w:rPr>
                <w:rFonts w:hint="eastAsia"/>
                <w:lang w:val="en-US" w:eastAsia="zh-CN"/>
              </w:rPr>
              <w:t>W2</w:t>
            </w: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最大值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8.81</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22</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9</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0.19</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0.388</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0.09</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最小值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8.54</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21</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4</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0.11</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0.163</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0.07</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lang w:val="en-US" w:eastAsia="zh-CN"/>
              </w:rPr>
            </w:pPr>
            <w:r>
              <w:rPr>
                <w:rFonts w:hint="eastAsia"/>
                <w:lang w:val="en-US" w:eastAsia="zh-CN"/>
              </w:rPr>
              <w:t>平均值</w:t>
            </w:r>
          </w:p>
        </w:tc>
        <w:tc>
          <w:tcPr>
            <w:tcW w:w="421" w:type="pct"/>
            <w:vAlign w:val="center"/>
          </w:tcPr>
          <w:p>
            <w:pPr>
              <w:pStyle w:val="28"/>
              <w:suppressLineNumbers w:val="0"/>
              <w:bidi w:val="0"/>
              <w:spacing w:before="0" w:after="0"/>
              <w:ind w:left="0" w:right="0"/>
              <w:rPr>
                <w:rFonts w:hint="default"/>
                <w:lang w:val="en-US" w:eastAsia="zh-CN"/>
              </w:rPr>
            </w:pPr>
            <w:r>
              <w:rPr>
                <w:rFonts w:hint="default"/>
                <w:lang w:val="en-US" w:eastAsia="zh-CN"/>
              </w:rPr>
              <w:t xml:space="preserve">8.68 </w:t>
            </w:r>
          </w:p>
        </w:tc>
        <w:tc>
          <w:tcPr>
            <w:tcW w:w="588" w:type="pct"/>
            <w:vAlign w:val="center"/>
          </w:tcPr>
          <w:p>
            <w:pPr>
              <w:pStyle w:val="28"/>
              <w:suppressLineNumbers w:val="0"/>
              <w:bidi w:val="0"/>
              <w:spacing w:before="0" w:after="0"/>
              <w:ind w:left="0" w:right="0"/>
              <w:rPr>
                <w:rFonts w:hint="default"/>
                <w:lang w:val="en-US" w:eastAsia="zh-CN"/>
              </w:rPr>
            </w:pPr>
            <w:r>
              <w:rPr>
                <w:rFonts w:hint="default"/>
                <w:lang w:val="en-US" w:eastAsia="zh-CN"/>
              </w:rPr>
              <w:t>21.3</w:t>
            </w:r>
            <w:r>
              <w:rPr>
                <w:rFonts w:hint="eastAsia"/>
                <w:lang w:val="en-US" w:eastAsia="zh-CN"/>
              </w:rPr>
              <w:t>8</w:t>
            </w:r>
          </w:p>
        </w:tc>
        <w:tc>
          <w:tcPr>
            <w:tcW w:w="401" w:type="pct"/>
            <w:vAlign w:val="center"/>
          </w:tcPr>
          <w:p>
            <w:pPr>
              <w:pStyle w:val="28"/>
              <w:suppressLineNumbers w:val="0"/>
              <w:bidi w:val="0"/>
              <w:spacing w:before="0" w:after="0"/>
              <w:ind w:left="0" w:right="0"/>
              <w:rPr>
                <w:rFonts w:hint="default"/>
                <w:lang w:val="en-US" w:eastAsia="zh-CN"/>
              </w:rPr>
            </w:pPr>
            <w:r>
              <w:rPr>
                <w:rFonts w:hint="default"/>
                <w:lang w:val="en-US" w:eastAsia="zh-CN"/>
              </w:rPr>
              <w:t>6.25</w:t>
            </w:r>
          </w:p>
        </w:tc>
        <w:tc>
          <w:tcPr>
            <w:tcW w:w="754" w:type="pct"/>
            <w:vAlign w:val="center"/>
          </w:tcPr>
          <w:p>
            <w:pPr>
              <w:pStyle w:val="28"/>
              <w:suppressLineNumbers w:val="0"/>
              <w:bidi w:val="0"/>
              <w:spacing w:before="0" w:after="0"/>
              <w:ind w:left="0" w:right="0"/>
              <w:rPr>
                <w:rFonts w:hint="default"/>
                <w:lang w:val="en-US" w:eastAsia="zh-CN"/>
              </w:rPr>
            </w:pPr>
            <w:r>
              <w:rPr>
                <w:rFonts w:hint="default"/>
                <w:lang w:val="en-US" w:eastAsia="zh-CN"/>
              </w:rPr>
              <w:t>0.15</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0.25</w:t>
            </w:r>
          </w:p>
        </w:tc>
        <w:tc>
          <w:tcPr>
            <w:tcW w:w="566" w:type="pct"/>
            <w:vAlign w:val="center"/>
          </w:tcPr>
          <w:p>
            <w:pPr>
              <w:pStyle w:val="28"/>
              <w:suppressLineNumbers w:val="0"/>
              <w:bidi w:val="0"/>
              <w:spacing w:before="0" w:after="0"/>
              <w:ind w:left="0" w:right="0"/>
              <w:rPr>
                <w:rFonts w:hint="default"/>
                <w:lang w:val="en-US" w:eastAsia="zh-CN"/>
              </w:rPr>
            </w:pPr>
            <w:r>
              <w:rPr>
                <w:rFonts w:hint="default"/>
                <w:lang w:val="en-US" w:eastAsia="zh-CN"/>
              </w:rPr>
              <w:t>0.0</w:t>
            </w:r>
            <w:r>
              <w:rPr>
                <w:rFonts w:hint="eastAsia"/>
                <w:lang w:val="en-US" w:eastAsia="zh-CN"/>
              </w:rPr>
              <w:t>8</w:t>
            </w:r>
          </w:p>
        </w:tc>
        <w:tc>
          <w:tcPr>
            <w:tcW w:w="568" w:type="pct"/>
            <w:vAlign w:val="center"/>
          </w:tcPr>
          <w:p>
            <w:pPr>
              <w:pStyle w:val="28"/>
              <w:suppressLineNumbers w:val="0"/>
              <w:bidi w:val="0"/>
              <w:spacing w:before="0" w:after="0"/>
              <w:ind w:left="0" w:right="0"/>
              <w:rPr>
                <w:rFonts w:hint="default"/>
                <w:lang w:val="en-US" w:eastAsia="zh-CN"/>
              </w:rPr>
            </w:pPr>
            <w:r>
              <w:rPr>
                <w:rFonts w:hint="default"/>
                <w:lang w:val="en-US" w:eastAsia="zh-CN"/>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pct"/>
            <w:vMerge w:val="continue"/>
            <w:vAlign w:val="center"/>
          </w:tcPr>
          <w:p>
            <w:pPr>
              <w:pStyle w:val="28"/>
              <w:suppressLineNumbers w:val="0"/>
              <w:bidi w:val="0"/>
              <w:spacing w:before="0" w:after="0"/>
              <w:ind w:left="0" w:right="0"/>
              <w:rPr>
                <w:rFonts w:hint="default"/>
                <w:lang w:val="en-US" w:eastAsia="zh-CN"/>
              </w:rPr>
            </w:pP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标准值</w:t>
            </w:r>
          </w:p>
        </w:tc>
        <w:tc>
          <w:tcPr>
            <w:tcW w:w="421" w:type="pct"/>
            <w:vAlign w:val="center"/>
          </w:tcPr>
          <w:p>
            <w:pPr>
              <w:pStyle w:val="28"/>
              <w:suppressLineNumbers w:val="0"/>
              <w:bidi w:val="0"/>
              <w:spacing w:before="0" w:after="0"/>
              <w:ind w:left="0" w:right="0"/>
              <w:rPr>
                <w:rFonts w:hint="default"/>
                <w:color w:val="0000FF"/>
                <w:lang w:val="en-US" w:eastAsia="zh-CN"/>
              </w:rPr>
            </w:pPr>
            <w:r>
              <w:rPr>
                <w:color w:val="0000FF"/>
              </w:rPr>
              <w:t>6～9</w:t>
            </w:r>
          </w:p>
        </w:tc>
        <w:tc>
          <w:tcPr>
            <w:tcW w:w="588"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20</w:t>
            </w:r>
          </w:p>
        </w:tc>
        <w:tc>
          <w:tcPr>
            <w:tcW w:w="401"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30</w:t>
            </w:r>
          </w:p>
        </w:tc>
        <w:tc>
          <w:tcPr>
            <w:tcW w:w="754"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0.05</w:t>
            </w: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1</w:t>
            </w:r>
          </w:p>
        </w:tc>
        <w:tc>
          <w:tcPr>
            <w:tcW w:w="566" w:type="pct"/>
            <w:vAlign w:val="center"/>
          </w:tcPr>
          <w:p>
            <w:pPr>
              <w:pStyle w:val="28"/>
              <w:suppressLineNumbers w:val="0"/>
              <w:bidi w:val="0"/>
              <w:spacing w:before="0" w:after="0"/>
              <w:ind w:left="0" w:right="0"/>
              <w:rPr>
                <w:rFonts w:hint="default"/>
                <w:color w:val="0000FF"/>
                <w:lang w:val="en-US" w:eastAsia="zh-CN"/>
              </w:rPr>
            </w:pPr>
            <w:r>
              <w:rPr>
                <w:rFonts w:hint="eastAsia"/>
                <w:color w:val="0000FF"/>
              </w:rPr>
              <w:t>0.2</w:t>
            </w:r>
          </w:p>
        </w:tc>
        <w:tc>
          <w:tcPr>
            <w:tcW w:w="568" w:type="pct"/>
            <w:vAlign w:val="center"/>
          </w:tcPr>
          <w:p>
            <w:pPr>
              <w:pStyle w:val="28"/>
              <w:suppressLineNumbers w:val="0"/>
              <w:bidi w:val="0"/>
              <w:spacing w:before="0" w:after="0"/>
              <w:ind w:left="0" w:right="0"/>
              <w:rPr>
                <w:rFonts w:hint="default"/>
                <w:color w:val="0000FF"/>
                <w:lang w:val="en-US" w:eastAsia="zh-CN"/>
              </w:rPr>
            </w:pPr>
            <w:r>
              <w:rPr>
                <w:rFonts w:hint="eastAsia"/>
                <w:color w:val="0000FF"/>
                <w:lang w:val="en-US" w:eastAsia="zh-CN"/>
              </w:rPr>
              <w:t>1.0</w:t>
            </w:r>
          </w:p>
        </w:tc>
      </w:tr>
    </w:tbl>
    <w:p>
      <w:pPr>
        <w:pStyle w:val="6"/>
        <w:bidi w:val="0"/>
        <w:rPr>
          <w:rFonts w:hint="default"/>
          <w:lang w:val="en-US" w:eastAsia="zh-CN"/>
        </w:rPr>
      </w:pPr>
      <w:r>
        <w:rPr>
          <w:rFonts w:hint="eastAsia"/>
          <w:lang w:val="en-US" w:eastAsia="zh-CN"/>
        </w:rPr>
        <w:t>4.3.2.5 水环境现状评价</w:t>
      </w:r>
    </w:p>
    <w:p>
      <w:pPr>
        <w:rPr>
          <w:rFonts w:hint="default"/>
          <w:lang w:val="en-US" w:eastAsia="zh-CN"/>
        </w:rPr>
      </w:pPr>
      <w:r>
        <w:rPr>
          <w:rFonts w:hint="eastAsia"/>
          <w:lang w:val="en-US" w:eastAsia="zh-CN"/>
        </w:rPr>
        <w:t>（1）评价方法</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采用超标法和单因子标准指数法评价，在各项数值参数评价中，对某一水质参数的现状浓度采用多次监测的平均浓度值。单因子标准指数计算公式：</w:t>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Times New Roman" w:hAnsi="Times New Roman" w:eastAsia="Times New Roman"/>
          <w:color w:val="000000"/>
          <w:sz w:val="28"/>
        </w:rPr>
      </w:pPr>
      <w:r>
        <w:rPr>
          <w:rFonts w:hint="default" w:ascii="Times New Roman" w:hAnsi="Times New Roman" w:eastAsia="Times New Roman"/>
          <w:color w:val="000000"/>
          <w:sz w:val="28"/>
        </w:rPr>
        <w:t>S</w:t>
      </w:r>
      <w:r>
        <w:rPr>
          <w:rFonts w:hint="eastAsia" w:ascii="Times New Roman" w:hAnsi="Times New Roman"/>
          <w:color w:val="000000"/>
          <w:sz w:val="28"/>
          <w:lang w:val="en-US" w:eastAsia="zh-CN"/>
        </w:rPr>
        <w:t>i</w:t>
      </w:r>
      <w:r>
        <w:rPr>
          <w:rFonts w:hint="eastAsia"/>
          <w:color w:val="000000"/>
          <w:sz w:val="28"/>
          <w:lang w:val="en-US" w:eastAsia="zh-CN"/>
        </w:rPr>
        <w:t>,</w:t>
      </w:r>
      <w:r>
        <w:rPr>
          <w:rFonts w:hint="eastAsia" w:ascii="Times New Roman" w:hAnsi="Times New Roman"/>
          <w:color w:val="000000"/>
          <w:sz w:val="28"/>
          <w:lang w:val="en-US" w:eastAsia="zh-CN"/>
        </w:rPr>
        <w:t>j</w:t>
      </w:r>
      <w:r>
        <w:rPr>
          <w:rFonts w:hint="default" w:ascii="Times New Roman" w:hAnsi="Times New Roman" w:eastAsia="Times New Roman"/>
          <w:color w:val="000000"/>
          <w:sz w:val="28"/>
        </w:rPr>
        <w:t>=Ci</w:t>
      </w:r>
      <w:r>
        <w:rPr>
          <w:rFonts w:hint="eastAsia" w:ascii="宋体" w:hAnsi="宋体"/>
          <w:color w:val="000000"/>
          <w:sz w:val="28"/>
          <w:lang w:val="en-US" w:eastAsia="zh-CN"/>
        </w:rPr>
        <w:t>,</w:t>
      </w:r>
      <w:r>
        <w:rPr>
          <w:rFonts w:hint="default" w:ascii="Times New Roman" w:hAnsi="Times New Roman" w:eastAsia="Times New Roman"/>
          <w:color w:val="000000"/>
          <w:sz w:val="28"/>
        </w:rPr>
        <w:t>j/Csi</w:t>
      </w:r>
    </w:p>
    <w:p>
      <w:pPr>
        <w:bidi w:val="0"/>
        <w:rPr>
          <w:rFonts w:hint="default"/>
        </w:rPr>
      </w:pPr>
      <w:r>
        <w:rPr>
          <w:rFonts w:hint="default"/>
        </w:rPr>
        <w:t>式中：Si</w:t>
      </w:r>
      <w:r>
        <w:rPr>
          <w:rFonts w:hint="eastAsia"/>
          <w:lang w:val="en-US" w:eastAsia="zh-CN"/>
        </w:rPr>
        <w:t>,</w:t>
      </w:r>
      <w:r>
        <w:rPr>
          <w:rFonts w:hint="default"/>
        </w:rPr>
        <w:t>j:单项水质参数i在第j点的标准指数；</w:t>
      </w:r>
    </w:p>
    <w:p>
      <w:pPr>
        <w:bidi w:val="0"/>
        <w:rPr>
          <w:rFonts w:hint="default"/>
        </w:rPr>
      </w:pPr>
      <w:r>
        <w:rPr>
          <w:rFonts w:hint="default"/>
        </w:rPr>
        <w:t>Ci</w:t>
      </w:r>
      <w:r>
        <w:rPr>
          <w:rFonts w:hint="eastAsia"/>
          <w:lang w:val="en-US" w:eastAsia="zh-CN"/>
        </w:rPr>
        <w:t>,</w:t>
      </w:r>
      <w:r>
        <w:rPr>
          <w:rFonts w:hint="default"/>
        </w:rPr>
        <w:t>j: 水质参数i在监测点j的监测平均浓度值，mg/L；</w:t>
      </w:r>
    </w:p>
    <w:p>
      <w:pPr>
        <w:bidi w:val="0"/>
        <w:rPr>
          <w:rFonts w:hint="default"/>
        </w:rPr>
      </w:pPr>
      <w:r>
        <w:rPr>
          <w:rFonts w:hint="default"/>
        </w:rPr>
        <w:t>Csi:水质参数i的地面水水质标准；</w:t>
      </w:r>
    </w:p>
    <w:p>
      <w:pPr>
        <w:spacing w:beforeLines="0" w:afterLines="0"/>
        <w:jc w:val="left"/>
        <w:rPr>
          <w:rFonts w:hint="default" w:ascii="宋体" w:hAnsi="宋体" w:eastAsia="宋体"/>
          <w:color w:val="000000"/>
          <w:sz w:val="28"/>
        </w:rPr>
      </w:pPr>
      <w:r>
        <w:rPr>
          <w:rFonts w:hint="default" w:ascii="Times New Roman" w:hAnsi="Times New Roman" w:eastAsia="Times New Roman"/>
          <w:color w:val="000000"/>
          <w:sz w:val="28"/>
        </w:rPr>
        <w:t>pH</w:t>
      </w:r>
      <w:r>
        <w:rPr>
          <w:rFonts w:hint="default" w:ascii="宋体" w:hAnsi="宋体" w:eastAsia="宋体"/>
          <w:color w:val="000000"/>
          <w:sz w:val="28"/>
        </w:rPr>
        <w:t>的标准指数为：</w:t>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宋体" w:hAnsi="宋体" w:eastAsia="宋体"/>
          <w:color w:val="000000"/>
          <w:sz w:val="28"/>
        </w:rPr>
      </w:pPr>
      <w:r>
        <w:rPr>
          <w:rFonts w:hint="default" w:ascii="Times New Roman" w:hAnsi="Times New Roman" w:eastAsia="Times New Roman"/>
          <w:color w:val="000000"/>
          <w:sz w:val="28"/>
        </w:rPr>
        <w:t>S</w:t>
      </w:r>
      <w:r>
        <w:rPr>
          <w:rFonts w:hint="default" w:ascii="Times New Roman" w:hAnsi="Times New Roman" w:eastAsia="Times New Roman"/>
          <w:color w:val="000000"/>
          <w:sz w:val="18"/>
        </w:rPr>
        <w:t>pH</w:t>
      </w:r>
      <w:r>
        <w:rPr>
          <w:rFonts w:hint="default" w:ascii="宋体" w:hAnsi="宋体" w:eastAsia="宋体"/>
          <w:color w:val="000000"/>
          <w:sz w:val="14"/>
        </w:rPr>
        <w:t>，</w:t>
      </w:r>
      <w:r>
        <w:rPr>
          <w:rFonts w:hint="default" w:ascii="Times New Roman" w:hAnsi="Times New Roman" w:eastAsia="Times New Roman"/>
          <w:color w:val="000000"/>
          <w:sz w:val="18"/>
        </w:rPr>
        <w:t>j</w:t>
      </w:r>
      <w:r>
        <w:rPr>
          <w:rFonts w:hint="default" w:ascii="宋体" w:hAnsi="宋体" w:eastAsia="宋体"/>
          <w:color w:val="000000"/>
          <w:sz w:val="28"/>
        </w:rPr>
        <w:t>＝（</w:t>
      </w:r>
      <w:r>
        <w:rPr>
          <w:rFonts w:hint="default" w:ascii="Times New Roman" w:hAnsi="Times New Roman" w:eastAsia="Times New Roman"/>
          <w:color w:val="000000"/>
          <w:sz w:val="28"/>
        </w:rPr>
        <w:t>7.0</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j</w:t>
      </w:r>
      <w:r>
        <w:rPr>
          <w:rFonts w:hint="default" w:ascii="宋体" w:hAnsi="宋体" w:eastAsia="宋体"/>
          <w:color w:val="000000"/>
          <w:sz w:val="28"/>
        </w:rPr>
        <w:t>）</w:t>
      </w:r>
      <w:r>
        <w:rPr>
          <w:rFonts w:hint="default" w:ascii="Times New Roman" w:hAnsi="Times New Roman" w:eastAsia="Times New Roman"/>
          <w:color w:val="000000"/>
          <w:sz w:val="28"/>
        </w:rPr>
        <w:t>/</w:t>
      </w:r>
      <w:r>
        <w:rPr>
          <w:rFonts w:hint="default" w:ascii="宋体" w:hAnsi="宋体" w:eastAsia="宋体"/>
          <w:color w:val="000000"/>
          <w:sz w:val="28"/>
        </w:rPr>
        <w:t>（</w:t>
      </w:r>
      <w:r>
        <w:rPr>
          <w:rFonts w:hint="default" w:ascii="Times New Roman" w:hAnsi="Times New Roman" w:eastAsia="Times New Roman"/>
          <w:color w:val="000000"/>
          <w:sz w:val="28"/>
        </w:rPr>
        <w:t>7.0</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sd</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j</w:t>
      </w:r>
      <w:r>
        <w:rPr>
          <w:rFonts w:hint="default" w:ascii="Times New Roman" w:hAnsi="Times New Roman" w:eastAsia="Times New Roman"/>
          <w:color w:val="000000"/>
          <w:sz w:val="28"/>
        </w:rPr>
        <w:t>≤7.0</w:t>
      </w:r>
      <w:r>
        <w:rPr>
          <w:rFonts w:hint="default" w:ascii="宋体" w:hAnsi="宋体" w:eastAsia="宋体"/>
          <w:color w:val="000000"/>
          <w:sz w:val="28"/>
        </w:rPr>
        <w:t>时）</w:t>
      </w:r>
    </w:p>
    <w:p>
      <w:pPr>
        <w:keepNext w:val="0"/>
        <w:keepLines w:val="0"/>
        <w:pageBreakBefore w:val="0"/>
        <w:widowControl w:val="0"/>
        <w:kinsoku/>
        <w:wordWrap/>
        <w:overflowPunct/>
        <w:topLinePunct w:val="0"/>
        <w:autoSpaceDE/>
        <w:autoSpaceDN/>
        <w:bidi w:val="0"/>
        <w:adjustRightInd/>
        <w:snapToGrid/>
        <w:spacing w:beforeLines="0" w:afterLines="0"/>
        <w:ind w:firstLine="0" w:firstLineChars="0"/>
        <w:jc w:val="center"/>
        <w:textAlignment w:val="auto"/>
        <w:rPr>
          <w:rFonts w:hint="default" w:ascii="宋体" w:hAnsi="宋体" w:eastAsia="宋体"/>
          <w:color w:val="000000"/>
          <w:sz w:val="28"/>
        </w:rPr>
      </w:pPr>
      <w:r>
        <w:rPr>
          <w:rFonts w:hint="default" w:ascii="Times New Roman" w:hAnsi="Times New Roman" w:eastAsia="Times New Roman"/>
          <w:color w:val="000000"/>
          <w:sz w:val="28"/>
        </w:rPr>
        <w:t>S</w:t>
      </w:r>
      <w:r>
        <w:rPr>
          <w:rFonts w:hint="default" w:ascii="Times New Roman" w:hAnsi="Times New Roman" w:eastAsia="Times New Roman"/>
          <w:color w:val="000000"/>
          <w:sz w:val="18"/>
        </w:rPr>
        <w:t>pH</w:t>
      </w:r>
      <w:r>
        <w:rPr>
          <w:rFonts w:hint="default" w:ascii="宋体" w:hAnsi="宋体" w:eastAsia="宋体"/>
          <w:color w:val="000000"/>
          <w:sz w:val="14"/>
        </w:rPr>
        <w:t>，</w:t>
      </w:r>
      <w:r>
        <w:rPr>
          <w:rFonts w:hint="default" w:ascii="Times New Roman" w:hAnsi="Times New Roman" w:eastAsia="Times New Roman"/>
          <w:color w:val="000000"/>
          <w:sz w:val="18"/>
        </w:rPr>
        <w:t>j</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j</w:t>
      </w:r>
      <w:r>
        <w:rPr>
          <w:rFonts w:hint="default" w:ascii="宋体" w:hAnsi="宋体" w:eastAsia="宋体"/>
          <w:color w:val="000000"/>
          <w:sz w:val="28"/>
        </w:rPr>
        <w:t>－</w:t>
      </w:r>
      <w:r>
        <w:rPr>
          <w:rFonts w:hint="default" w:ascii="Times New Roman" w:hAnsi="Times New Roman" w:eastAsia="Times New Roman"/>
          <w:color w:val="000000"/>
          <w:sz w:val="28"/>
        </w:rPr>
        <w:t>7.0</w:t>
      </w:r>
      <w:r>
        <w:rPr>
          <w:rFonts w:hint="default" w:ascii="宋体" w:hAnsi="宋体" w:eastAsia="宋体"/>
          <w:color w:val="000000"/>
          <w:sz w:val="28"/>
        </w:rPr>
        <w:t>）</w:t>
      </w:r>
      <w:r>
        <w:rPr>
          <w:rFonts w:hint="default" w:ascii="Times New Roman" w:hAnsi="Times New Roman" w:eastAsia="Times New Roman"/>
          <w:color w:val="000000"/>
          <w:sz w:val="28"/>
        </w:rPr>
        <w:t>/</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su</w:t>
      </w:r>
      <w:r>
        <w:rPr>
          <w:rFonts w:hint="default" w:ascii="宋体" w:hAnsi="宋体" w:eastAsia="宋体"/>
          <w:color w:val="000000"/>
          <w:sz w:val="28"/>
        </w:rPr>
        <w:t>－</w:t>
      </w:r>
      <w:r>
        <w:rPr>
          <w:rFonts w:hint="default" w:ascii="Times New Roman" w:hAnsi="Times New Roman" w:eastAsia="Times New Roman"/>
          <w:color w:val="000000"/>
          <w:sz w:val="28"/>
        </w:rPr>
        <w:t>7.0</w:t>
      </w:r>
      <w:r>
        <w:rPr>
          <w:rFonts w:hint="default" w:ascii="宋体" w:hAnsi="宋体" w:eastAsia="宋体"/>
          <w:color w:val="000000"/>
          <w:sz w:val="28"/>
        </w:rPr>
        <w:t>）（</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j</w:t>
      </w:r>
      <w:r>
        <w:rPr>
          <w:rFonts w:hint="default" w:ascii="宋体" w:hAnsi="宋体" w:eastAsia="宋体"/>
          <w:color w:val="000000"/>
          <w:sz w:val="28"/>
        </w:rPr>
        <w:t>＞</w:t>
      </w:r>
      <w:r>
        <w:rPr>
          <w:rFonts w:hint="default" w:ascii="Times New Roman" w:hAnsi="Times New Roman" w:eastAsia="Times New Roman"/>
          <w:color w:val="000000"/>
          <w:sz w:val="28"/>
        </w:rPr>
        <w:t>7.0</w:t>
      </w:r>
      <w:r>
        <w:rPr>
          <w:rFonts w:hint="default" w:ascii="宋体" w:hAnsi="宋体" w:eastAsia="宋体"/>
          <w:color w:val="000000"/>
          <w:sz w:val="28"/>
        </w:rPr>
        <w:t>时）</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式中：</w:t>
      </w:r>
      <w:r>
        <w:rPr>
          <w:rFonts w:hint="default" w:ascii="Times New Roman" w:hAnsi="Times New Roman" w:eastAsia="Times New Roman"/>
          <w:color w:val="000000"/>
          <w:sz w:val="28"/>
        </w:rPr>
        <w:t>S</w:t>
      </w:r>
      <w:r>
        <w:rPr>
          <w:rFonts w:hint="default" w:ascii="Times New Roman" w:hAnsi="Times New Roman" w:eastAsia="Times New Roman"/>
          <w:color w:val="000000"/>
          <w:sz w:val="18"/>
        </w:rPr>
        <w:t>pH</w:t>
      </w:r>
      <w:r>
        <w:rPr>
          <w:rFonts w:hint="default" w:ascii="宋体" w:hAnsi="宋体" w:eastAsia="宋体"/>
          <w:color w:val="000000"/>
          <w:sz w:val="14"/>
        </w:rPr>
        <w:t>，</w:t>
      </w:r>
      <w:r>
        <w:rPr>
          <w:rFonts w:hint="default" w:ascii="Times New Roman" w:hAnsi="Times New Roman" w:eastAsia="Times New Roman"/>
          <w:color w:val="000000"/>
          <w:sz w:val="18"/>
        </w:rPr>
        <w:t>j</w:t>
      </w:r>
      <w:r>
        <w:rPr>
          <w:rFonts w:hint="default" w:ascii="宋体" w:hAnsi="宋体" w:eastAsia="宋体"/>
          <w:color w:val="000000"/>
          <w:sz w:val="28"/>
        </w:rPr>
        <w:t>为水质参数</w:t>
      </w:r>
      <w:r>
        <w:rPr>
          <w:rFonts w:hint="default" w:ascii="Times New Roman" w:hAnsi="Times New Roman" w:eastAsia="Times New Roman"/>
          <w:color w:val="000000"/>
          <w:sz w:val="28"/>
        </w:rPr>
        <w:t>pH</w:t>
      </w:r>
      <w:r>
        <w:rPr>
          <w:rFonts w:hint="default" w:ascii="宋体" w:hAnsi="宋体" w:eastAsia="宋体"/>
          <w:color w:val="000000"/>
          <w:sz w:val="28"/>
        </w:rPr>
        <w:t>在</w:t>
      </w:r>
      <w:r>
        <w:rPr>
          <w:rFonts w:hint="default" w:ascii="Times New Roman" w:hAnsi="Times New Roman" w:eastAsia="Times New Roman"/>
          <w:color w:val="000000"/>
          <w:sz w:val="28"/>
        </w:rPr>
        <w:t xml:space="preserve">j </w:t>
      </w:r>
      <w:r>
        <w:rPr>
          <w:rFonts w:hint="default" w:ascii="宋体" w:hAnsi="宋体" w:eastAsia="宋体"/>
          <w:color w:val="000000"/>
          <w:sz w:val="28"/>
        </w:rPr>
        <w:t>断面的标准指数；</w:t>
      </w:r>
    </w:p>
    <w:p>
      <w:pPr>
        <w:spacing w:beforeLines="0" w:afterLines="0"/>
        <w:jc w:val="left"/>
        <w:rPr>
          <w:rFonts w:hint="default" w:ascii="宋体" w:hAnsi="宋体" w:eastAsia="宋体"/>
          <w:color w:val="000000"/>
          <w:sz w:val="28"/>
        </w:rPr>
      </w:pPr>
      <w:r>
        <w:rPr>
          <w:rFonts w:hint="default" w:ascii="Times New Roman" w:hAnsi="Times New Roman" w:eastAsia="Times New Roman"/>
          <w:color w:val="000000"/>
          <w:sz w:val="28"/>
        </w:rPr>
        <w:t>pH</w:t>
      </w:r>
      <w:r>
        <w:rPr>
          <w:rFonts w:hint="default" w:ascii="Times New Roman" w:hAnsi="Times New Roman" w:eastAsia="Times New Roman"/>
          <w:color w:val="000000"/>
          <w:sz w:val="18"/>
        </w:rPr>
        <w:t>j</w:t>
      </w:r>
      <w:r>
        <w:rPr>
          <w:rFonts w:hint="default" w:ascii="宋体" w:hAnsi="宋体" w:eastAsia="宋体"/>
          <w:color w:val="000000"/>
          <w:sz w:val="28"/>
        </w:rPr>
        <w:t>为</w:t>
      </w:r>
      <w:r>
        <w:rPr>
          <w:rFonts w:hint="default" w:ascii="Times New Roman" w:hAnsi="Times New Roman" w:eastAsia="Times New Roman"/>
          <w:color w:val="000000"/>
          <w:sz w:val="28"/>
        </w:rPr>
        <w:t>pH</w:t>
      </w:r>
      <w:r>
        <w:rPr>
          <w:rFonts w:hint="default" w:ascii="宋体" w:hAnsi="宋体" w:eastAsia="宋体"/>
          <w:color w:val="000000"/>
          <w:sz w:val="28"/>
        </w:rPr>
        <w:t>在</w:t>
      </w:r>
      <w:r>
        <w:rPr>
          <w:rFonts w:hint="default" w:ascii="Times New Roman" w:hAnsi="Times New Roman" w:eastAsia="Times New Roman"/>
          <w:color w:val="000000"/>
          <w:sz w:val="28"/>
        </w:rPr>
        <w:t xml:space="preserve">j </w:t>
      </w:r>
      <w:r>
        <w:rPr>
          <w:rFonts w:hint="default" w:ascii="宋体" w:hAnsi="宋体" w:eastAsia="宋体"/>
          <w:color w:val="000000"/>
          <w:sz w:val="28"/>
        </w:rPr>
        <w:t>断面的</w:t>
      </w:r>
      <w:r>
        <w:rPr>
          <w:rFonts w:hint="default" w:ascii="Times New Roman" w:hAnsi="Times New Roman" w:eastAsia="Times New Roman"/>
          <w:color w:val="000000"/>
          <w:sz w:val="28"/>
        </w:rPr>
        <w:t>pH</w:t>
      </w:r>
      <w:r>
        <w:rPr>
          <w:rFonts w:hint="default" w:ascii="宋体" w:hAnsi="宋体" w:eastAsia="宋体"/>
          <w:color w:val="000000"/>
          <w:sz w:val="28"/>
        </w:rPr>
        <w:t>值；</w:t>
      </w:r>
      <w:r>
        <w:rPr>
          <w:rFonts w:hint="default" w:ascii="Times New Roman" w:hAnsi="Times New Roman" w:eastAsia="Times New Roman"/>
          <w:color w:val="000000"/>
          <w:sz w:val="28"/>
        </w:rPr>
        <w:t>pH</w:t>
      </w:r>
      <w:r>
        <w:rPr>
          <w:rFonts w:hint="default" w:ascii="Times New Roman" w:hAnsi="Times New Roman" w:eastAsia="Times New Roman"/>
          <w:color w:val="000000"/>
          <w:sz w:val="18"/>
        </w:rPr>
        <w:t>sd</w:t>
      </w:r>
      <w:r>
        <w:rPr>
          <w:rFonts w:hint="default" w:ascii="宋体" w:hAnsi="宋体" w:eastAsia="宋体"/>
          <w:color w:val="000000"/>
          <w:sz w:val="28"/>
        </w:rPr>
        <w:t>为地面水水质标准中规定的</w:t>
      </w:r>
      <w:r>
        <w:rPr>
          <w:rFonts w:hint="default" w:ascii="Times New Roman" w:hAnsi="Times New Roman" w:eastAsia="Times New Roman"/>
          <w:color w:val="000000"/>
          <w:sz w:val="28"/>
        </w:rPr>
        <w:t>pH</w:t>
      </w:r>
      <w:r>
        <w:rPr>
          <w:rFonts w:hint="default" w:ascii="宋体" w:hAnsi="宋体" w:eastAsia="宋体"/>
          <w:color w:val="000000"/>
          <w:sz w:val="28"/>
        </w:rPr>
        <w:t>值下限；</w:t>
      </w:r>
    </w:p>
    <w:p>
      <w:pPr>
        <w:spacing w:beforeLines="0" w:afterLines="0"/>
        <w:jc w:val="left"/>
        <w:rPr>
          <w:rFonts w:hint="default" w:ascii="宋体" w:hAnsi="宋体" w:eastAsia="宋体"/>
          <w:color w:val="000000"/>
          <w:sz w:val="28"/>
        </w:rPr>
      </w:pPr>
      <w:r>
        <w:rPr>
          <w:rFonts w:hint="default" w:ascii="Times New Roman" w:hAnsi="Times New Roman" w:eastAsia="Times New Roman"/>
          <w:color w:val="000000"/>
          <w:sz w:val="28"/>
        </w:rPr>
        <w:t>pH</w:t>
      </w:r>
      <w:r>
        <w:rPr>
          <w:rFonts w:hint="default" w:ascii="Times New Roman" w:hAnsi="Times New Roman" w:eastAsia="Times New Roman"/>
          <w:color w:val="000000"/>
          <w:sz w:val="18"/>
        </w:rPr>
        <w:t>su</w:t>
      </w:r>
      <w:r>
        <w:rPr>
          <w:rFonts w:hint="default" w:ascii="宋体" w:hAnsi="宋体" w:eastAsia="宋体"/>
          <w:color w:val="000000"/>
          <w:sz w:val="28"/>
        </w:rPr>
        <w:t>为地面水水质标准中规定的</w:t>
      </w:r>
      <w:r>
        <w:rPr>
          <w:rFonts w:hint="default" w:ascii="Times New Roman" w:hAnsi="Times New Roman" w:eastAsia="Times New Roman"/>
          <w:color w:val="000000"/>
          <w:sz w:val="28"/>
        </w:rPr>
        <w:t>pH</w:t>
      </w:r>
      <w:r>
        <w:rPr>
          <w:rFonts w:hint="default" w:ascii="宋体" w:hAnsi="宋体" w:eastAsia="宋体"/>
          <w:color w:val="000000"/>
          <w:sz w:val="28"/>
        </w:rPr>
        <w:t>值上限。</w:t>
      </w:r>
    </w:p>
    <w:p>
      <w:pPr>
        <w:pStyle w:val="27"/>
        <w:bidi w:val="0"/>
        <w:rPr>
          <w:rFonts w:hint="default"/>
          <w:lang w:val="en-US" w:eastAsia="zh-CN"/>
        </w:rPr>
      </w:pPr>
      <w:r>
        <w:rPr>
          <w:rFonts w:hint="default"/>
        </w:rPr>
        <w:t>表</w:t>
      </w:r>
      <w:r>
        <w:rPr>
          <w:rFonts w:hint="eastAsia"/>
          <w:lang w:val="en-US" w:eastAsia="zh-CN"/>
        </w:rPr>
        <w:t xml:space="preserve">4.3.2-5 </w:t>
      </w:r>
      <w:r>
        <w:rPr>
          <w:rFonts w:hint="default"/>
        </w:rPr>
        <w:t>水环境现状单因子指数表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946"/>
        <w:gridCol w:w="1321"/>
        <w:gridCol w:w="901"/>
        <w:gridCol w:w="1694"/>
        <w:gridCol w:w="1273"/>
        <w:gridCol w:w="1273"/>
        <w:gridCol w:w="1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pPr>
              <w:pStyle w:val="28"/>
              <w:suppressLineNumbers w:val="0"/>
              <w:bidi w:val="0"/>
              <w:spacing w:before="0" w:after="0"/>
              <w:ind w:left="0" w:right="0"/>
              <w:rPr>
                <w:rFonts w:hint="default"/>
                <w:lang w:val="en-US" w:eastAsia="zh-CN"/>
              </w:rPr>
            </w:pPr>
            <w:r>
              <w:rPr>
                <w:rFonts w:hint="eastAsia"/>
                <w:lang w:val="en-US" w:eastAsia="zh-CN"/>
              </w:rPr>
              <w:t>断面</w:t>
            </w:r>
          </w:p>
        </w:tc>
        <w:tc>
          <w:tcPr>
            <w:tcW w:w="475"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pH</w:t>
            </w:r>
          </w:p>
        </w:tc>
        <w:tc>
          <w:tcPr>
            <w:tcW w:w="663"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COD</w:t>
            </w:r>
          </w:p>
        </w:tc>
        <w:tc>
          <w:tcPr>
            <w:tcW w:w="452"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SS</w:t>
            </w:r>
          </w:p>
        </w:tc>
        <w:tc>
          <w:tcPr>
            <w:tcW w:w="850"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t>石油类</w:t>
            </w:r>
          </w:p>
        </w:tc>
        <w:tc>
          <w:tcPr>
            <w:tcW w:w="639"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t>氨氮</w:t>
            </w:r>
          </w:p>
        </w:tc>
        <w:tc>
          <w:tcPr>
            <w:tcW w:w="639"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t>总磷</w:t>
            </w:r>
          </w:p>
        </w:tc>
        <w:tc>
          <w:tcPr>
            <w:tcW w:w="639" w:type="pct"/>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pPr>
              <w:pStyle w:val="28"/>
              <w:suppressLineNumbers w:val="0"/>
              <w:bidi w:val="0"/>
              <w:spacing w:before="0" w:after="0"/>
              <w:ind w:left="0" w:right="0"/>
              <w:rPr>
                <w:rFonts w:hint="default"/>
                <w:lang w:val="en-US" w:eastAsia="zh-CN"/>
              </w:rPr>
            </w:pPr>
            <w:r>
              <w:rPr>
                <w:rFonts w:hint="eastAsia"/>
                <w:lang w:val="en-US" w:eastAsia="zh-CN"/>
              </w:rPr>
              <w:t>W1</w:t>
            </w:r>
          </w:p>
        </w:tc>
        <w:tc>
          <w:tcPr>
            <w:tcW w:w="947"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0.93 </w:t>
            </w:r>
          </w:p>
        </w:tc>
        <w:tc>
          <w:tcPr>
            <w:tcW w:w="1321"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1.05 </w:t>
            </w:r>
          </w:p>
        </w:tc>
        <w:tc>
          <w:tcPr>
            <w:tcW w:w="901"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0.20 </w:t>
            </w:r>
          </w:p>
        </w:tc>
        <w:tc>
          <w:tcPr>
            <w:tcW w:w="1694"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3.60 </w:t>
            </w:r>
          </w:p>
        </w:tc>
        <w:tc>
          <w:tcPr>
            <w:tcW w:w="1273"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0.39 </w:t>
            </w:r>
          </w:p>
        </w:tc>
        <w:tc>
          <w:tcPr>
            <w:tcW w:w="1273"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0.50 </w:t>
            </w:r>
          </w:p>
        </w:tc>
        <w:tc>
          <w:tcPr>
            <w:tcW w:w="1274"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2.18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pPr>
              <w:pStyle w:val="28"/>
              <w:suppressLineNumbers w:val="0"/>
              <w:bidi w:val="0"/>
              <w:spacing w:before="0" w:after="0"/>
              <w:ind w:left="0" w:right="0"/>
              <w:rPr>
                <w:rFonts w:hint="default"/>
                <w:lang w:val="en-US" w:eastAsia="zh-CN"/>
              </w:rPr>
            </w:pPr>
            <w:r>
              <w:rPr>
                <w:rFonts w:hint="eastAsia"/>
                <w:lang w:val="en-US" w:eastAsia="zh-CN"/>
              </w:rPr>
              <w:t>W2</w:t>
            </w:r>
          </w:p>
        </w:tc>
        <w:tc>
          <w:tcPr>
            <w:tcW w:w="947"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0.94 </w:t>
            </w:r>
          </w:p>
        </w:tc>
        <w:tc>
          <w:tcPr>
            <w:tcW w:w="1321"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1.10 </w:t>
            </w:r>
          </w:p>
        </w:tc>
        <w:tc>
          <w:tcPr>
            <w:tcW w:w="901"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0.30 </w:t>
            </w:r>
          </w:p>
        </w:tc>
        <w:tc>
          <w:tcPr>
            <w:tcW w:w="1694"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3.80 </w:t>
            </w:r>
          </w:p>
        </w:tc>
        <w:tc>
          <w:tcPr>
            <w:tcW w:w="1273"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0.39 </w:t>
            </w:r>
          </w:p>
        </w:tc>
        <w:tc>
          <w:tcPr>
            <w:tcW w:w="1273"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0.45 </w:t>
            </w:r>
          </w:p>
        </w:tc>
        <w:tc>
          <w:tcPr>
            <w:tcW w:w="1274" w:type="dxa"/>
            <w:vAlign w:val="bottom"/>
          </w:tcPr>
          <w:p>
            <w:pPr>
              <w:pStyle w:val="28"/>
              <w:suppressLineNumbers w:val="0"/>
              <w:bidi w:val="0"/>
              <w:spacing w:before="0" w:after="0"/>
              <w:ind w:left="0" w:right="0"/>
              <w:rPr>
                <w:rFonts w:hint="default"/>
                <w:lang w:val="en-US" w:eastAsia="zh-CN"/>
              </w:rPr>
            </w:pPr>
            <w:r>
              <w:rPr>
                <w:rFonts w:hint="default"/>
                <w:lang w:val="en-US" w:eastAsia="zh-CN"/>
              </w:rPr>
              <w:t xml:space="preserve">2.01 </w:t>
            </w:r>
          </w:p>
        </w:tc>
      </w:tr>
    </w:tbl>
    <w:p>
      <w:pPr>
        <w:adjustRightInd w:val="0"/>
        <w:snapToGrid w:val="0"/>
        <w:spacing w:line="500" w:lineRule="exact"/>
        <w:ind w:firstLine="560" w:firstLineChars="200"/>
        <w:rPr>
          <w:rFonts w:hint="eastAsia" w:ascii="Times New Roman" w:hAnsi="Times New Roman" w:eastAsia="宋体"/>
          <w:sz w:val="28"/>
          <w:szCs w:val="28"/>
          <w:lang w:eastAsia="zh-CN"/>
        </w:rPr>
      </w:pPr>
      <w:r>
        <w:rPr>
          <w:rFonts w:hint="eastAsia"/>
        </w:rPr>
        <w:t>根据监测结果，</w:t>
      </w:r>
      <w:r>
        <w:rPr>
          <w:rFonts w:hint="eastAsia"/>
          <w:lang w:eastAsia="zh-CN"/>
        </w:rPr>
        <w:t>石安</w:t>
      </w:r>
      <w:r>
        <w:rPr>
          <w:rFonts w:hint="eastAsia"/>
        </w:rPr>
        <w:t>河</w:t>
      </w:r>
      <w:r>
        <w:rPr>
          <w:rFonts w:hint="eastAsia"/>
          <w:lang w:val="en-US" w:eastAsia="zh-CN"/>
        </w:rPr>
        <w:t>COD、石油类、总氮不</w:t>
      </w:r>
      <w:r>
        <w:rPr>
          <w:rFonts w:hint="eastAsia"/>
        </w:rPr>
        <w:t>能满足《地表水环境质量标准》</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类水相应要求</w:t>
      </w:r>
      <w:r>
        <w:rPr>
          <w:rFonts w:hint="eastAsia"/>
          <w:lang w:eastAsia="zh-CN"/>
        </w:rPr>
        <w:t>，</w:t>
      </w:r>
      <w:r>
        <w:rPr>
          <w:rFonts w:hint="eastAsia" w:ascii="Times New Roman" w:hAnsi="Times New Roman"/>
          <w:sz w:val="28"/>
          <w:szCs w:val="28"/>
          <w:lang w:eastAsia="zh-CN"/>
        </w:rPr>
        <w:t>主要是因为</w:t>
      </w:r>
      <w:r>
        <w:rPr>
          <w:rFonts w:hint="eastAsia" w:ascii="Times New Roman" w:hAnsi="Times New Roman"/>
          <w:sz w:val="28"/>
          <w:szCs w:val="28"/>
        </w:rPr>
        <w:t>居民和商户随意在水体倾倒生活垃圾、排放生活污水，导致河流污染较为严重。</w:t>
      </w:r>
      <w:r>
        <w:rPr>
          <w:rFonts w:hint="eastAsia" w:ascii="Times New Roman" w:hAnsi="Times New Roman"/>
          <w:sz w:val="28"/>
          <w:szCs w:val="28"/>
          <w:lang w:eastAsia="zh-CN"/>
        </w:rPr>
        <w:t>在该区域完善污水管网敷设和收集、处理，石安河水质将得到改善。</w:t>
      </w:r>
    </w:p>
    <w:p>
      <w:pPr>
        <w:bidi w:val="0"/>
        <w:rPr>
          <w:rFonts w:hint="eastAsia" w:eastAsia="宋体"/>
          <w:lang w:val="en-US" w:eastAsia="zh-CN"/>
        </w:rPr>
      </w:pPr>
    </w:p>
    <w:p>
      <w:pPr>
        <w:pStyle w:val="5"/>
        <w:bidi w:val="0"/>
        <w:rPr>
          <w:rFonts w:hint="default"/>
          <w:lang w:val="en-US" w:eastAsia="zh-CN"/>
        </w:rPr>
      </w:pPr>
      <w:r>
        <w:rPr>
          <w:rFonts w:hint="eastAsia"/>
          <w:lang w:val="en-US" w:eastAsia="zh-CN"/>
        </w:rPr>
        <w:t>4.3.3 声环境质量现状评价</w:t>
      </w:r>
    </w:p>
    <w:p>
      <w:pPr>
        <w:bidi w:val="0"/>
        <w:rPr>
          <w:rFonts w:hint="default"/>
        </w:rPr>
      </w:pPr>
      <w:r>
        <w:rPr>
          <w:rFonts w:hint="default"/>
        </w:rPr>
        <w:t>本次环评期间对项目区域环境噪声进行了现状监测，并利用监测结果对区域声环境质量进行现状评价。</w:t>
      </w:r>
    </w:p>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.3.1监测点位</w:t>
      </w:r>
    </w:p>
    <w:p>
      <w:pPr>
        <w:bidi w:val="0"/>
        <w:rPr>
          <w:rFonts w:hint="default"/>
        </w:rPr>
      </w:pPr>
      <w:r>
        <w:rPr>
          <w:rFonts w:hint="default"/>
        </w:rPr>
        <w:t>根据厂区布置及周围环境状况，本次评价拟在厂界布设4个噪声测点，具体位置见</w:t>
      </w:r>
      <w:r>
        <w:rPr>
          <w:rFonts w:hint="eastAsia"/>
          <w:lang w:eastAsia="zh-CN"/>
        </w:rPr>
        <w:t>附图</w:t>
      </w:r>
      <w:r>
        <w:rPr>
          <w:rFonts w:hint="default"/>
        </w:rPr>
        <w:t>。</w:t>
      </w:r>
    </w:p>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.3.2监测时间及频次</w:t>
      </w:r>
    </w:p>
    <w:p>
      <w:pPr>
        <w:bidi w:val="0"/>
        <w:rPr>
          <w:rFonts w:hint="default"/>
        </w:rPr>
      </w:pPr>
      <w:r>
        <w:rPr>
          <w:rFonts w:hint="default"/>
        </w:rPr>
        <w:t>监测时间：20</w:t>
      </w:r>
      <w:r>
        <w:rPr>
          <w:rFonts w:hint="eastAsia"/>
          <w:lang w:val="en-US" w:eastAsia="zh-CN"/>
        </w:rPr>
        <w:t>20</w:t>
      </w:r>
      <w:r>
        <w:rPr>
          <w:rFonts w:hint="default"/>
        </w:rPr>
        <w:t>年</w:t>
      </w:r>
      <w:r>
        <w:rPr>
          <w:rFonts w:hint="eastAsia"/>
          <w:lang w:val="en-US" w:eastAsia="zh-CN"/>
        </w:rPr>
        <w:t>3</w:t>
      </w:r>
      <w:r>
        <w:rPr>
          <w:rFonts w:hint="default"/>
        </w:rPr>
        <w:t>月</w:t>
      </w:r>
      <w:r>
        <w:rPr>
          <w:rFonts w:hint="eastAsia"/>
          <w:lang w:val="en-US" w:eastAsia="zh-CN"/>
        </w:rPr>
        <w:t>23</w:t>
      </w:r>
      <w:r>
        <w:rPr>
          <w:rFonts w:hint="default"/>
        </w:rPr>
        <w:t>日、</w:t>
      </w:r>
      <w:r>
        <w:rPr>
          <w:rFonts w:hint="eastAsia"/>
          <w:lang w:val="en-US" w:eastAsia="zh-CN"/>
        </w:rPr>
        <w:t>24</w:t>
      </w:r>
      <w:r>
        <w:rPr>
          <w:rFonts w:hint="default"/>
        </w:rPr>
        <w:t>日，连续监测2天。</w:t>
      </w:r>
    </w:p>
    <w:p>
      <w:pPr>
        <w:bidi w:val="0"/>
        <w:rPr>
          <w:rFonts w:hint="default"/>
        </w:rPr>
      </w:pPr>
      <w:r>
        <w:rPr>
          <w:rFonts w:hint="default"/>
        </w:rPr>
        <w:t>监测频次：连续监测2天，昼夜各监测1次。</w:t>
      </w:r>
    </w:p>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.3.3监测方法</w:t>
      </w:r>
    </w:p>
    <w:p>
      <w:pPr>
        <w:bidi w:val="0"/>
        <w:rPr>
          <w:rFonts w:hint="default"/>
        </w:rPr>
      </w:pPr>
      <w:r>
        <w:rPr>
          <w:rFonts w:hint="default"/>
        </w:rPr>
        <w:t>按《声环境质量标准》</w:t>
      </w:r>
      <w:r>
        <w:rPr>
          <w:rFonts w:hint="eastAsia"/>
          <w:lang w:eastAsia="zh-CN"/>
        </w:rPr>
        <w:t>（</w:t>
      </w:r>
      <w:r>
        <w:rPr>
          <w:rFonts w:hint="eastAsia"/>
          <w:lang w:val="en-US" w:eastAsia="zh-CN"/>
        </w:rPr>
        <w:t>GB 3095-2012</w:t>
      </w:r>
      <w:r>
        <w:rPr>
          <w:rFonts w:hint="eastAsia"/>
          <w:lang w:eastAsia="zh-CN"/>
        </w:rPr>
        <w:t>）</w:t>
      </w:r>
      <w:r>
        <w:rPr>
          <w:rFonts w:hint="default"/>
        </w:rPr>
        <w:t>中规定的监测方法。</w:t>
      </w:r>
    </w:p>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.3.4监测结果</w:t>
      </w:r>
    </w:p>
    <w:p>
      <w:pPr>
        <w:bidi w:val="0"/>
        <w:rPr>
          <w:rFonts w:hint="default"/>
        </w:rPr>
      </w:pPr>
      <w:r>
        <w:rPr>
          <w:rFonts w:hint="default"/>
        </w:rPr>
        <w:t>噪声监测结果见表</w:t>
      </w:r>
      <w:r>
        <w:rPr>
          <w:rFonts w:hint="eastAsia"/>
          <w:lang w:val="en-US" w:eastAsia="zh-CN"/>
        </w:rPr>
        <w:t>4.3.3-1</w:t>
      </w:r>
      <w:r>
        <w:rPr>
          <w:rFonts w:hint="default"/>
        </w:rPr>
        <w:t>。</w:t>
      </w:r>
    </w:p>
    <w:p>
      <w:pPr>
        <w:pStyle w:val="27"/>
        <w:bidi w:val="0"/>
        <w:rPr>
          <w:rFonts w:hint="default"/>
        </w:rPr>
      </w:pPr>
      <w:r>
        <w:rPr>
          <w:rFonts w:hint="default"/>
        </w:rPr>
        <w:t>表</w:t>
      </w:r>
      <w:r>
        <w:rPr>
          <w:rFonts w:hint="eastAsia"/>
          <w:lang w:val="en-US" w:eastAsia="zh-CN"/>
        </w:rPr>
        <w:t>4.3.3-1</w:t>
      </w:r>
      <w:r>
        <w:rPr>
          <w:rFonts w:hint="default"/>
        </w:rPr>
        <w:t xml:space="preserve"> 厂区噪声环境质量监测结果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422"/>
        <w:gridCol w:w="1422"/>
        <w:gridCol w:w="1422"/>
        <w:gridCol w:w="1423"/>
        <w:gridCol w:w="1423"/>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监测日期</w:t>
            </w:r>
          </w:p>
        </w:tc>
        <w:tc>
          <w:tcPr>
            <w:tcW w:w="1422"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监测点位</w:t>
            </w:r>
          </w:p>
        </w:tc>
        <w:tc>
          <w:tcPr>
            <w:tcW w:w="1422"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监测时段</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eastAsia="zh-CN"/>
              </w:rPr>
              <w:t>等效连续</w:t>
            </w:r>
            <w:r>
              <w:rPr>
                <w:rFonts w:hint="eastAsia"/>
                <w:lang w:val="en-US" w:eastAsia="zh-CN"/>
              </w:rPr>
              <w:t>A声级dB（A）</w:t>
            </w:r>
          </w:p>
        </w:tc>
        <w:tc>
          <w:tcPr>
            <w:tcW w:w="1423"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评价标准值</w:t>
            </w:r>
            <w:r>
              <w:rPr>
                <w:rFonts w:hint="eastAsia"/>
                <w:lang w:val="en-US" w:eastAsia="zh-CN"/>
              </w:rPr>
              <w:t>dB（A）</w:t>
            </w:r>
          </w:p>
        </w:tc>
        <w:tc>
          <w:tcPr>
            <w:tcW w:w="1423" w:type="dxa"/>
            <w:vAlign w:val="center"/>
          </w:tcPr>
          <w:p>
            <w:pPr>
              <w:pStyle w:val="28"/>
              <w:suppressLineNumbers w:val="0"/>
              <w:bidi w:val="0"/>
              <w:spacing w:before="0" w:after="0"/>
              <w:ind w:left="0" w:right="0"/>
              <w:jc w:val="center"/>
              <w:rPr>
                <w:rFonts w:hint="eastAsia"/>
                <w:lang w:eastAsia="zh-CN"/>
              </w:rPr>
            </w:pPr>
            <w:r>
              <w:rPr>
                <w:rFonts w:hint="eastAsia"/>
                <w:lang w:eastAsia="zh-CN"/>
              </w:rPr>
              <w:t>评价标准来源</w:t>
            </w:r>
          </w:p>
        </w:tc>
        <w:tc>
          <w:tcPr>
            <w:tcW w:w="1423" w:type="dxa"/>
            <w:vAlign w:val="center"/>
          </w:tcPr>
          <w:p>
            <w:pPr>
              <w:pStyle w:val="28"/>
              <w:suppressLineNumbers w:val="0"/>
              <w:bidi w:val="0"/>
              <w:spacing w:before="0" w:after="0"/>
              <w:ind w:left="0" w:right="0"/>
              <w:jc w:val="center"/>
              <w:rPr>
                <w:rFonts w:hint="default"/>
              </w:rPr>
            </w:pPr>
            <w:r>
              <w:rPr>
                <w:rFonts w:hint="eastAsia"/>
                <w:lang w:val="en-US" w:eastAsia="zh-CN"/>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restar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2020-03-23</w:t>
            </w:r>
          </w:p>
        </w:tc>
        <w:tc>
          <w:tcPr>
            <w:tcW w:w="1422" w:type="dxa"/>
            <w:vMerge w:val="restar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Z1（厂界北）</w:t>
            </w: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43.1</w:t>
            </w:r>
          </w:p>
        </w:tc>
        <w:tc>
          <w:tcPr>
            <w:tcW w:w="1423"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65</w:t>
            </w:r>
          </w:p>
        </w:tc>
        <w:tc>
          <w:tcPr>
            <w:tcW w:w="1423" w:type="dxa"/>
            <w:vMerge w:val="restart"/>
            <w:vAlign w:val="center"/>
          </w:tcPr>
          <w:p>
            <w:pPr>
              <w:pStyle w:val="28"/>
              <w:suppressLineNumbers w:val="0"/>
              <w:bidi w:val="0"/>
              <w:spacing w:before="0" w:after="0"/>
              <w:ind w:left="0" w:right="0"/>
              <w:jc w:val="center"/>
              <w:rPr>
                <w:rFonts w:hint="default"/>
              </w:rPr>
            </w:pPr>
            <w:r>
              <w:rPr>
                <w:rFonts w:hint="default"/>
              </w:rPr>
              <w:t>《声环境质量标准》</w:t>
            </w:r>
            <w:r>
              <w:rPr>
                <w:rFonts w:hint="eastAsia"/>
                <w:lang w:eastAsia="zh-CN"/>
              </w:rPr>
              <w:t>（</w:t>
            </w:r>
            <w:r>
              <w:rPr>
                <w:rFonts w:hint="eastAsia"/>
                <w:lang w:val="en-US" w:eastAsia="zh-CN"/>
              </w:rPr>
              <w:t>GB 3095-2012</w:t>
            </w:r>
            <w:r>
              <w:rPr>
                <w:rFonts w:hint="eastAsia"/>
                <w:lang w:eastAsia="zh-CN"/>
              </w:rPr>
              <w:t>）</w:t>
            </w:r>
          </w:p>
        </w:tc>
        <w:tc>
          <w:tcPr>
            <w:tcW w:w="1423"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43.1</w:t>
            </w:r>
          </w:p>
        </w:tc>
        <w:tc>
          <w:tcPr>
            <w:tcW w:w="1423"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jc w:val="center"/>
              <w:rPr>
                <w:rFonts w:hint="default"/>
              </w:rPr>
            </w:pPr>
            <w:r>
              <w:rPr>
                <w:rFonts w:hint="eastAsia"/>
                <w:lang w:val="en-US" w:eastAsia="zh-CN"/>
              </w:rPr>
              <w:t>Z2（厂界东）</w:t>
            </w: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43.2</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43.3</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jc w:val="center"/>
              <w:rPr>
                <w:rFonts w:hint="default"/>
              </w:rPr>
            </w:pPr>
            <w:r>
              <w:rPr>
                <w:rFonts w:hint="eastAsia"/>
                <w:lang w:val="en-US" w:eastAsia="zh-CN"/>
              </w:rPr>
              <w:t>Z3（厂界南）</w:t>
            </w: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44.0</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43.0</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jc w:val="center"/>
              <w:rPr>
                <w:rFonts w:hint="default"/>
              </w:rPr>
            </w:pPr>
            <w:r>
              <w:rPr>
                <w:rFonts w:hint="eastAsia"/>
                <w:lang w:val="en-US" w:eastAsia="zh-CN"/>
              </w:rPr>
              <w:t>Z4（厂界西）</w:t>
            </w: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45.1</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43.7</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restar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2020-03-24</w:t>
            </w:r>
          </w:p>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Z1（厂界北）</w:t>
            </w:r>
          </w:p>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43.7</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43.1</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Z2（厂界东）</w:t>
            </w:r>
          </w:p>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44.7</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43.2</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Z3（厂界南）</w:t>
            </w:r>
          </w:p>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44.1</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continue"/>
            <w:vAlign w:val="center"/>
          </w:tcPr>
          <w:p>
            <w:pPr>
              <w:pStyle w:val="28"/>
              <w:suppressLineNumbers w:val="0"/>
              <w:bidi w:val="0"/>
              <w:spacing w:before="0" w:after="0"/>
              <w:ind w:left="0" w:right="0"/>
              <w:jc w:val="center"/>
              <w:rPr>
                <w:rFonts w:hint="default"/>
              </w:rPr>
            </w:pP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43.0</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vAlign w:val="center"/>
          </w:tcPr>
          <w:p>
            <w:pPr>
              <w:pStyle w:val="28"/>
              <w:suppressLineNumbers w:val="0"/>
              <w:bidi w:val="0"/>
              <w:spacing w:before="0" w:after="0"/>
              <w:ind w:left="0" w:right="0"/>
              <w:jc w:val="center"/>
              <w:rPr>
                <w:rFonts w:hint="default"/>
              </w:rPr>
            </w:pPr>
          </w:p>
        </w:tc>
        <w:tc>
          <w:tcPr>
            <w:tcW w:w="1422" w:type="dxa"/>
            <w:vMerge w:val="restar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Z4（厂界西）</w:t>
            </w:r>
          </w:p>
        </w:tc>
        <w:tc>
          <w:tcPr>
            <w:tcW w:w="142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昼间</w:t>
            </w:r>
          </w:p>
        </w:tc>
        <w:tc>
          <w:tcPr>
            <w:tcW w:w="142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45.2</w:t>
            </w:r>
          </w:p>
        </w:tc>
        <w:tc>
          <w:tcPr>
            <w:tcW w:w="142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65</w:t>
            </w:r>
          </w:p>
        </w:tc>
        <w:tc>
          <w:tcPr>
            <w:tcW w:w="1423" w:type="dxa"/>
            <w:vMerge w:val="continue"/>
            <w:vAlign w:val="center"/>
          </w:tcPr>
          <w:p>
            <w:pPr>
              <w:pStyle w:val="28"/>
              <w:suppressLineNumbers w:val="0"/>
              <w:bidi w:val="0"/>
              <w:spacing w:before="0" w:after="0"/>
              <w:ind w:left="0" w:right="0"/>
              <w:jc w:val="center"/>
              <w:rPr>
                <w:rFonts w:hint="default"/>
              </w:rPr>
            </w:pPr>
          </w:p>
        </w:tc>
        <w:tc>
          <w:tcPr>
            <w:tcW w:w="1423" w:type="dxa"/>
            <w:vAlign w:val="center"/>
          </w:tcPr>
          <w:p>
            <w:pPr>
              <w:pStyle w:val="28"/>
              <w:suppressLineNumbers w:val="0"/>
              <w:bidi w:val="0"/>
              <w:spacing w:before="0" w:after="0"/>
              <w:ind w:left="0" w:right="0"/>
              <w:rPr>
                <w:rFonts w:hint="default"/>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dxa"/>
            <w:vMerge w:val="continue"/>
          </w:tcPr>
          <w:p>
            <w:pPr>
              <w:pStyle w:val="28"/>
              <w:suppressLineNumbers w:val="0"/>
              <w:bidi w:val="0"/>
              <w:spacing w:before="0" w:after="0"/>
              <w:ind w:left="0" w:right="0"/>
              <w:jc w:val="center"/>
              <w:rPr>
                <w:rFonts w:hint="default"/>
              </w:rPr>
            </w:pPr>
          </w:p>
        </w:tc>
        <w:tc>
          <w:tcPr>
            <w:tcW w:w="1422" w:type="dxa"/>
            <w:vMerge w:val="continue"/>
          </w:tcPr>
          <w:p>
            <w:pPr>
              <w:pStyle w:val="28"/>
              <w:suppressLineNumbers w:val="0"/>
              <w:bidi w:val="0"/>
              <w:spacing w:before="0" w:after="0"/>
              <w:ind w:left="0" w:right="0"/>
              <w:jc w:val="center"/>
              <w:rPr>
                <w:rFonts w:hint="default"/>
              </w:rPr>
            </w:pP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夜间</w:t>
            </w:r>
          </w:p>
        </w:tc>
        <w:tc>
          <w:tcPr>
            <w:tcW w:w="0" w:type="auto"/>
          </w:tcPr>
          <w:p>
            <w:pPr>
              <w:pStyle w:val="28"/>
              <w:suppressLineNumbers w:val="0"/>
              <w:bidi w:val="0"/>
              <w:spacing w:before="0" w:after="0"/>
              <w:ind w:left="0" w:right="0"/>
              <w:jc w:val="center"/>
              <w:rPr>
                <w:rFonts w:hint="default" w:eastAsia="宋体"/>
                <w:lang w:val="en-US" w:eastAsia="zh-CN"/>
              </w:rPr>
            </w:pPr>
            <w:r>
              <w:rPr>
                <w:rFonts w:hint="eastAsia"/>
                <w:lang w:val="en-US" w:eastAsia="zh-CN"/>
              </w:rPr>
              <w:t>43.2</w:t>
            </w:r>
          </w:p>
        </w:tc>
        <w:tc>
          <w:tcPr>
            <w:tcW w:w="0" w:type="auto"/>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55</w:t>
            </w:r>
          </w:p>
        </w:tc>
        <w:tc>
          <w:tcPr>
            <w:tcW w:w="1423" w:type="dxa"/>
            <w:vMerge w:val="continue"/>
          </w:tcPr>
          <w:p>
            <w:pPr>
              <w:pStyle w:val="28"/>
              <w:suppressLineNumbers w:val="0"/>
              <w:bidi w:val="0"/>
              <w:spacing w:before="0" w:after="0"/>
              <w:ind w:left="0" w:right="0"/>
              <w:jc w:val="center"/>
              <w:rPr>
                <w:rFonts w:hint="default"/>
              </w:rPr>
            </w:pPr>
          </w:p>
        </w:tc>
        <w:tc>
          <w:tcPr>
            <w:tcW w:w="0" w:type="auto"/>
          </w:tcPr>
          <w:p>
            <w:pPr>
              <w:pStyle w:val="28"/>
              <w:suppressLineNumbers w:val="0"/>
              <w:bidi w:val="0"/>
              <w:spacing w:before="0" w:after="0"/>
              <w:ind w:left="0" w:right="0"/>
              <w:rPr>
                <w:rFonts w:hint="default"/>
              </w:rPr>
            </w:pPr>
            <w:r>
              <w:rPr>
                <w:rFonts w:hint="eastAsia"/>
                <w:lang w:eastAsia="zh-CN"/>
              </w:rPr>
              <w:t>达标</w:t>
            </w:r>
          </w:p>
        </w:tc>
      </w:tr>
    </w:tbl>
    <w:p>
      <w:pPr>
        <w:pStyle w:val="6"/>
        <w:bidi w:val="0"/>
        <w:rPr>
          <w:rFonts w:hint="default"/>
        </w:rPr>
      </w:pPr>
      <w:r>
        <w:rPr>
          <w:rFonts w:hint="eastAsia"/>
          <w:lang w:val="en-US" w:eastAsia="zh-CN"/>
        </w:rPr>
        <w:t>4</w:t>
      </w:r>
      <w:r>
        <w:rPr>
          <w:rFonts w:hint="default"/>
        </w:rPr>
        <w:t>.</w:t>
      </w:r>
      <w:r>
        <w:rPr>
          <w:rFonts w:hint="eastAsia"/>
          <w:lang w:val="en-US" w:eastAsia="zh-CN"/>
        </w:rPr>
        <w:t>3</w:t>
      </w:r>
      <w:r>
        <w:rPr>
          <w:rFonts w:hint="default"/>
        </w:rPr>
        <w:t>.3.5现状评价</w:t>
      </w:r>
    </w:p>
    <w:p>
      <w:pPr>
        <w:bidi w:val="0"/>
        <w:rPr>
          <w:rFonts w:hint="default"/>
        </w:rPr>
      </w:pPr>
      <w:r>
        <w:rPr>
          <w:rFonts w:hint="default"/>
        </w:rPr>
        <w:t>用监测结果与评价标准对比，对区域声环境质量进行评价。项目所在地属于工业园区，评价标准执行《声环境质量标准》（GB3096-2008）中的3类区标准。</w:t>
      </w:r>
    </w:p>
    <w:p>
      <w:pPr>
        <w:bidi w:val="0"/>
        <w:rPr>
          <w:rFonts w:hint="default"/>
          <w:lang w:val="en-US" w:eastAsia="zh-CN"/>
        </w:rPr>
      </w:pPr>
      <w:r>
        <w:rPr>
          <w:rFonts w:hint="default"/>
        </w:rPr>
        <w:t>由表</w:t>
      </w:r>
      <w:r>
        <w:rPr>
          <w:rFonts w:hint="eastAsia"/>
          <w:lang w:val="en-US" w:eastAsia="zh-CN"/>
        </w:rPr>
        <w:t>4.2.3-1</w:t>
      </w:r>
      <w:r>
        <w:rPr>
          <w:rFonts w:hint="default"/>
        </w:rPr>
        <w:t>可以看出，4个测点的昼、夜噪声值均满足《声环境质量标准》中的3类区标准要求。</w:t>
      </w:r>
    </w:p>
    <w:p>
      <w:pPr>
        <w:pStyle w:val="5"/>
        <w:bidi w:val="0"/>
        <w:rPr>
          <w:rFonts w:hint="default"/>
          <w:lang w:val="en-US" w:eastAsia="zh-CN"/>
        </w:rPr>
      </w:pPr>
      <w:r>
        <w:rPr>
          <w:rFonts w:hint="eastAsia"/>
          <w:lang w:val="en-US" w:eastAsia="zh-CN"/>
        </w:rPr>
        <w:t>4.3.4 土壤环境质量现状评价</w:t>
      </w:r>
    </w:p>
    <w:p>
      <w:pPr>
        <w:pStyle w:val="6"/>
        <w:bidi w:val="0"/>
        <w:rPr>
          <w:rFonts w:hint="default"/>
          <w:lang w:val="en-US" w:eastAsia="zh-CN"/>
        </w:rPr>
      </w:pPr>
      <w:r>
        <w:rPr>
          <w:rFonts w:hint="eastAsia"/>
          <w:lang w:val="en-US" w:eastAsia="zh-CN"/>
        </w:rPr>
        <w:t xml:space="preserve">4.3.4.1 </w:t>
      </w:r>
      <w:r>
        <w:rPr>
          <w:rFonts w:hint="default"/>
        </w:rPr>
        <w:t>土壤监测布点及监测时间</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⑴布设监测点</w:t>
      </w:r>
      <w:r>
        <w:rPr>
          <w:rFonts w:hint="default" w:ascii="Times New Roman" w:hAnsi="Times New Roman" w:eastAsia="Times New Roman"/>
          <w:color w:val="000000"/>
          <w:sz w:val="28"/>
        </w:rPr>
        <w:t>6</w:t>
      </w:r>
      <w:r>
        <w:rPr>
          <w:rFonts w:hint="default" w:ascii="宋体" w:hAnsi="宋体" w:eastAsia="宋体"/>
          <w:color w:val="000000"/>
          <w:sz w:val="28"/>
        </w:rPr>
        <w:t>个，厂区内设置</w:t>
      </w:r>
      <w:r>
        <w:rPr>
          <w:rFonts w:hint="default" w:ascii="Times New Roman" w:hAnsi="Times New Roman" w:eastAsia="Times New Roman"/>
          <w:color w:val="000000"/>
          <w:sz w:val="28"/>
        </w:rPr>
        <w:t>3</w:t>
      </w:r>
      <w:r>
        <w:rPr>
          <w:rFonts w:hint="default" w:ascii="宋体" w:hAnsi="宋体" w:eastAsia="宋体"/>
          <w:color w:val="000000"/>
          <w:sz w:val="28"/>
        </w:rPr>
        <w:t>个柱状样，</w:t>
      </w:r>
      <w:r>
        <w:rPr>
          <w:rFonts w:hint="default" w:ascii="Times New Roman" w:hAnsi="Times New Roman" w:eastAsia="Times New Roman"/>
          <w:color w:val="000000"/>
          <w:sz w:val="28"/>
        </w:rPr>
        <w:t>1</w:t>
      </w:r>
      <w:r>
        <w:rPr>
          <w:rFonts w:hint="default" w:ascii="宋体" w:hAnsi="宋体" w:eastAsia="宋体"/>
          <w:color w:val="000000"/>
          <w:sz w:val="28"/>
        </w:rPr>
        <w:t>个表层样；占地范围外设置</w:t>
      </w:r>
      <w:r>
        <w:rPr>
          <w:rFonts w:hint="default" w:ascii="Times New Roman" w:hAnsi="Times New Roman" w:eastAsia="Times New Roman"/>
          <w:color w:val="000000"/>
          <w:sz w:val="28"/>
        </w:rPr>
        <w:t>2</w:t>
      </w:r>
      <w:r>
        <w:rPr>
          <w:rFonts w:hint="default" w:ascii="宋体" w:hAnsi="宋体" w:eastAsia="宋体"/>
          <w:color w:val="000000"/>
          <w:sz w:val="28"/>
        </w:rPr>
        <w:t>个表层样</w:t>
      </w:r>
      <w:r>
        <w:rPr>
          <w:rFonts w:hint="default" w:ascii="宋体" w:hAnsi="宋体" w:eastAsia="宋体"/>
          <w:color w:val="auto"/>
          <w:sz w:val="28"/>
        </w:rPr>
        <w:t>。实测柱状样取样深度为</w:t>
      </w:r>
      <w:r>
        <w:rPr>
          <w:rFonts w:hint="default" w:ascii="Times New Roman" w:hAnsi="Times New Roman" w:eastAsia="Times New Roman"/>
          <w:color w:val="auto"/>
          <w:sz w:val="28"/>
        </w:rPr>
        <w:t>0.5m、</w:t>
      </w:r>
      <w:r>
        <w:rPr>
          <w:rFonts w:hint="eastAsia" w:ascii="Times New Roman" w:hAnsi="Times New Roman" w:eastAsia="Times New Roman"/>
          <w:color w:val="auto"/>
          <w:sz w:val="28"/>
          <w:lang w:val="en-US" w:eastAsia="zh-CN"/>
        </w:rPr>
        <w:t>0.5-</w:t>
      </w:r>
      <w:r>
        <w:rPr>
          <w:rFonts w:hint="default" w:ascii="Times New Roman" w:hAnsi="Times New Roman" w:eastAsia="Times New Roman"/>
          <w:color w:val="auto"/>
          <w:sz w:val="28"/>
        </w:rPr>
        <w:t>1</w:t>
      </w:r>
      <w:r>
        <w:rPr>
          <w:rFonts w:hint="eastAsia" w:ascii="Times New Roman" w:hAnsi="Times New Roman" w:eastAsia="Times New Roman"/>
          <w:color w:val="auto"/>
          <w:sz w:val="28"/>
          <w:lang w:val="en-US" w:eastAsia="zh-CN"/>
        </w:rPr>
        <w:t>.5</w:t>
      </w:r>
      <w:r>
        <w:rPr>
          <w:rFonts w:hint="default" w:ascii="Times New Roman" w:hAnsi="Times New Roman" w:eastAsia="Times New Roman"/>
          <w:color w:val="auto"/>
          <w:sz w:val="28"/>
        </w:rPr>
        <w:t>m、1.5</w:t>
      </w:r>
      <w:r>
        <w:rPr>
          <w:rFonts w:hint="eastAsia"/>
          <w:color w:val="auto"/>
          <w:sz w:val="28"/>
          <w:lang w:val="en-US" w:eastAsia="zh-CN"/>
        </w:rPr>
        <w:t>-3.0</w:t>
      </w:r>
      <w:r>
        <w:rPr>
          <w:rFonts w:hint="default" w:ascii="Times New Roman" w:hAnsi="Times New Roman" w:eastAsia="Times New Roman"/>
          <w:color w:val="auto"/>
          <w:sz w:val="28"/>
        </w:rPr>
        <w:t>m</w:t>
      </w:r>
      <w:r>
        <w:rPr>
          <w:rFonts w:hint="default" w:ascii="宋体" w:hAnsi="宋体" w:eastAsia="宋体"/>
          <w:color w:val="auto"/>
          <w:sz w:val="28"/>
        </w:rPr>
        <w:t>，表层样取样深</w:t>
      </w:r>
      <w:r>
        <w:rPr>
          <w:rFonts w:hint="default" w:ascii="宋体" w:hAnsi="宋体" w:eastAsia="宋体"/>
          <w:color w:val="000000"/>
          <w:sz w:val="28"/>
        </w:rPr>
        <w:t>度为</w:t>
      </w:r>
      <w:r>
        <w:rPr>
          <w:rFonts w:hint="default" w:ascii="Times New Roman" w:hAnsi="Times New Roman" w:eastAsia="Times New Roman"/>
          <w:color w:val="000000"/>
          <w:sz w:val="28"/>
        </w:rPr>
        <w:t>0.2m</w:t>
      </w:r>
      <w:r>
        <w:rPr>
          <w:rFonts w:hint="default" w:ascii="宋体" w:hAnsi="宋体" w:eastAsia="宋体"/>
          <w:color w:val="000000"/>
          <w:sz w:val="28"/>
        </w:rPr>
        <w:t>。</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点位详见监测点位</w:t>
      </w:r>
      <w:r>
        <w:rPr>
          <w:rFonts w:hint="eastAsia" w:ascii="宋体" w:hAnsi="宋体"/>
          <w:color w:val="000000"/>
          <w:sz w:val="28"/>
          <w:lang w:eastAsia="zh-CN"/>
        </w:rPr>
        <w:t>间附图</w:t>
      </w:r>
      <w:r>
        <w:rPr>
          <w:rFonts w:hint="default" w:ascii="宋体" w:hAnsi="宋体" w:eastAsia="宋体"/>
          <w:color w:val="000000"/>
          <w:sz w:val="28"/>
        </w:rPr>
        <w:t>。监测时间为</w:t>
      </w:r>
      <w:r>
        <w:rPr>
          <w:rFonts w:hint="default" w:ascii="Times New Roman" w:hAnsi="Times New Roman" w:eastAsia="Times New Roman"/>
          <w:color w:val="000000"/>
          <w:sz w:val="28"/>
        </w:rPr>
        <w:t>20</w:t>
      </w:r>
      <w:r>
        <w:rPr>
          <w:rFonts w:hint="eastAsia"/>
          <w:color w:val="000000"/>
          <w:sz w:val="28"/>
          <w:lang w:val="en-US" w:eastAsia="zh-CN"/>
        </w:rPr>
        <w:t>20</w:t>
      </w:r>
      <w:r>
        <w:rPr>
          <w:rFonts w:hint="default" w:ascii="宋体" w:hAnsi="宋体" w:eastAsia="宋体"/>
          <w:color w:val="000000"/>
          <w:sz w:val="28"/>
        </w:rPr>
        <w:t>年</w:t>
      </w:r>
      <w:r>
        <w:rPr>
          <w:rFonts w:hint="eastAsia"/>
          <w:color w:val="000000"/>
          <w:sz w:val="28"/>
          <w:lang w:val="en-US" w:eastAsia="zh-CN"/>
        </w:rPr>
        <w:t>3</w:t>
      </w:r>
      <w:r>
        <w:rPr>
          <w:rFonts w:hint="default" w:ascii="宋体" w:hAnsi="宋体" w:eastAsia="宋体"/>
          <w:color w:val="000000"/>
          <w:sz w:val="28"/>
        </w:rPr>
        <w:t>月</w:t>
      </w:r>
      <w:r>
        <w:rPr>
          <w:rFonts w:hint="eastAsia"/>
          <w:color w:val="000000"/>
          <w:sz w:val="28"/>
          <w:lang w:val="en-US" w:eastAsia="zh-CN"/>
        </w:rPr>
        <w:t>27</w:t>
      </w:r>
      <w:r>
        <w:rPr>
          <w:rFonts w:hint="default" w:ascii="宋体" w:hAnsi="宋体" w:eastAsia="宋体"/>
          <w:color w:val="000000"/>
          <w:sz w:val="28"/>
        </w:rPr>
        <w:t>日。</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土壤监测因子和监测点位见表</w:t>
      </w:r>
      <w:r>
        <w:rPr>
          <w:rFonts w:hint="eastAsia" w:ascii="Times New Roman" w:hAnsi="Times New Roman"/>
          <w:color w:val="000000"/>
          <w:sz w:val="28"/>
          <w:lang w:val="en-US" w:eastAsia="zh-CN"/>
        </w:rPr>
        <w:t>4.3.</w:t>
      </w:r>
      <w:r>
        <w:rPr>
          <w:rFonts w:hint="eastAsia"/>
          <w:color w:val="000000"/>
          <w:sz w:val="28"/>
          <w:lang w:val="en-US" w:eastAsia="zh-CN"/>
        </w:rPr>
        <w:t>4</w:t>
      </w:r>
      <w:r>
        <w:rPr>
          <w:rFonts w:hint="eastAsia" w:ascii="Times New Roman" w:hAnsi="Times New Roman"/>
          <w:color w:val="000000"/>
          <w:sz w:val="28"/>
          <w:lang w:val="en-US" w:eastAsia="zh-CN"/>
        </w:rPr>
        <w:t>-1</w:t>
      </w:r>
      <w:r>
        <w:rPr>
          <w:rFonts w:hint="default" w:ascii="宋体" w:hAnsi="宋体" w:eastAsia="宋体"/>
          <w:color w:val="000000"/>
          <w:sz w:val="28"/>
        </w:rPr>
        <w:t>。</w:t>
      </w:r>
    </w:p>
    <w:p>
      <w:pPr>
        <w:pStyle w:val="27"/>
        <w:bidi w:val="0"/>
        <w:rPr>
          <w:rFonts w:hint="default"/>
          <w:lang w:val="en-US" w:eastAsia="zh-CN"/>
        </w:rPr>
      </w:pPr>
      <w:r>
        <w:rPr>
          <w:rFonts w:hint="default"/>
        </w:rPr>
        <w:t>表</w:t>
      </w:r>
      <w:r>
        <w:rPr>
          <w:rFonts w:hint="eastAsia"/>
          <w:lang w:val="en-US" w:eastAsia="zh-CN"/>
        </w:rPr>
        <w:t>4.3.4-1</w:t>
      </w:r>
      <w:r>
        <w:rPr>
          <w:rFonts w:hint="default"/>
        </w:rPr>
        <w:t xml:space="preserve"> 土壤监测因子及点位表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3313"/>
        <w:gridCol w:w="1295"/>
        <w:gridCol w:w="4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点位名称</w:t>
            </w:r>
          </w:p>
        </w:tc>
        <w:tc>
          <w:tcPr>
            <w:tcW w:w="1663"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位置</w:t>
            </w:r>
          </w:p>
        </w:tc>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样品类型</w:t>
            </w:r>
          </w:p>
        </w:tc>
        <w:tc>
          <w:tcPr>
            <w:tcW w:w="2036"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T1</w:t>
            </w:r>
          </w:p>
        </w:tc>
        <w:tc>
          <w:tcPr>
            <w:tcW w:w="1663"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厂区内（厂区西北部）</w:t>
            </w:r>
          </w:p>
        </w:tc>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柱状样</w:t>
            </w:r>
          </w:p>
        </w:tc>
        <w:tc>
          <w:tcPr>
            <w:tcW w:w="2036"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T2</w:t>
            </w:r>
          </w:p>
        </w:tc>
        <w:tc>
          <w:tcPr>
            <w:tcW w:w="1663"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厂区内（厂区东北部）</w:t>
            </w:r>
          </w:p>
        </w:tc>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柱状样</w:t>
            </w:r>
          </w:p>
        </w:tc>
        <w:tc>
          <w:tcPr>
            <w:tcW w:w="2036"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T3</w:t>
            </w:r>
          </w:p>
        </w:tc>
        <w:tc>
          <w:tcPr>
            <w:tcW w:w="1663"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厂区内（厂区南部）</w:t>
            </w:r>
          </w:p>
        </w:tc>
        <w:tc>
          <w:tcPr>
            <w:tcW w:w="650"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柱状样</w:t>
            </w:r>
          </w:p>
        </w:tc>
        <w:tc>
          <w:tcPr>
            <w:tcW w:w="2036"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1663"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650"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c>
          <w:tcPr>
            <w:tcW w:w="2036"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T4</w:t>
            </w:r>
          </w:p>
        </w:tc>
        <w:tc>
          <w:tcPr>
            <w:tcW w:w="1663"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厂区内（厂区中部）</w:t>
            </w:r>
          </w:p>
        </w:tc>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表层样</w:t>
            </w:r>
          </w:p>
        </w:tc>
        <w:tc>
          <w:tcPr>
            <w:tcW w:w="2036"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T5</w:t>
            </w:r>
          </w:p>
        </w:tc>
        <w:tc>
          <w:tcPr>
            <w:tcW w:w="1663"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厂区东北部农田（&lt;200m）</w:t>
            </w:r>
          </w:p>
        </w:tc>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表层样</w:t>
            </w:r>
          </w:p>
        </w:tc>
        <w:tc>
          <w:tcPr>
            <w:tcW w:w="2036"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T6</w:t>
            </w:r>
          </w:p>
        </w:tc>
        <w:tc>
          <w:tcPr>
            <w:tcW w:w="1663"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厂区西南部土壤（&lt;200m）</w:t>
            </w:r>
          </w:p>
        </w:tc>
        <w:tc>
          <w:tcPr>
            <w:tcW w:w="65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表层样</w:t>
            </w:r>
          </w:p>
        </w:tc>
        <w:tc>
          <w:tcPr>
            <w:tcW w:w="2036"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t>GB36600-2018</w:t>
            </w:r>
            <w:r>
              <w:rPr>
                <w:rFonts w:hint="eastAsia"/>
                <w:lang w:eastAsia="zh-CN"/>
              </w:rPr>
              <w:t>表</w:t>
            </w:r>
            <w:r>
              <w:rPr>
                <w:rFonts w:hint="eastAsia"/>
                <w:lang w:val="en-US" w:eastAsia="zh-CN"/>
              </w:rPr>
              <w:t>1 45项基本项目</w:t>
            </w:r>
          </w:p>
        </w:tc>
      </w:tr>
    </w:tbl>
    <w:p>
      <w:pPr>
        <w:bidi w:val="0"/>
        <w:rPr>
          <w:rFonts w:hint="default"/>
        </w:rPr>
      </w:pPr>
      <w:r>
        <w:rPr>
          <w:rFonts w:hint="default"/>
        </w:rPr>
        <w:t>⑵监测项目及方法</w:t>
      </w:r>
    </w:p>
    <w:p>
      <w:pPr>
        <w:bidi w:val="0"/>
        <w:rPr>
          <w:rFonts w:hint="default"/>
        </w:rPr>
      </w:pPr>
      <w:r>
        <w:rPr>
          <w:rFonts w:hint="default"/>
        </w:rPr>
        <w:t>监测项目为：GB36600-2018中基本项目表1中的45项基本因子。</w:t>
      </w:r>
    </w:p>
    <w:p>
      <w:pPr>
        <w:bidi w:val="0"/>
        <w:rPr>
          <w:rFonts w:hint="default"/>
        </w:rPr>
      </w:pPr>
      <w:r>
        <w:rPr>
          <w:rFonts w:hint="default"/>
        </w:rPr>
        <w:t>⑶采样分析方法</w:t>
      </w:r>
    </w:p>
    <w:p>
      <w:pPr>
        <w:bidi w:val="0"/>
        <w:rPr>
          <w:rFonts w:hint="default"/>
        </w:rPr>
      </w:pPr>
      <w:r>
        <w:rPr>
          <w:rFonts w:hint="default"/>
        </w:rPr>
        <w:t>按照GB36600-2018表3规定的分析方法。</w:t>
      </w:r>
    </w:p>
    <w:p>
      <w:pPr>
        <w:pStyle w:val="6"/>
        <w:bidi w:val="0"/>
        <w:rPr>
          <w:rFonts w:hint="default"/>
        </w:rPr>
      </w:pPr>
      <w:r>
        <w:rPr>
          <w:rFonts w:hint="eastAsia"/>
          <w:lang w:val="en-US" w:eastAsia="zh-CN"/>
        </w:rPr>
        <w:t>4.3</w:t>
      </w:r>
      <w:r>
        <w:rPr>
          <w:rFonts w:hint="default"/>
        </w:rPr>
        <w:t>.4.2 现状监测结果与评价</w:t>
      </w:r>
    </w:p>
    <w:p>
      <w:pPr>
        <w:rPr>
          <w:rFonts w:hint="default"/>
          <w:lang w:val="en-US" w:eastAsia="zh-CN"/>
        </w:rPr>
      </w:pPr>
      <w:r>
        <w:rPr>
          <w:rFonts w:hint="default" w:ascii="宋体" w:hAnsi="宋体" w:eastAsia="宋体"/>
          <w:color w:val="000000"/>
          <w:sz w:val="28"/>
        </w:rPr>
        <w:t>各监测点监测结果及其污染指数具体结果见表</w:t>
      </w:r>
      <w:r>
        <w:rPr>
          <w:rFonts w:hint="eastAsia" w:ascii="Times New Roman" w:hAnsi="Times New Roman"/>
          <w:color w:val="000000"/>
          <w:sz w:val="28"/>
          <w:lang w:val="en-US" w:eastAsia="zh-CN"/>
        </w:rPr>
        <w:t>4.3.4-</w:t>
      </w:r>
      <w:r>
        <w:rPr>
          <w:rFonts w:hint="eastAsia"/>
          <w:color w:val="000000"/>
          <w:sz w:val="28"/>
          <w:lang w:val="en-US" w:eastAsia="zh-CN"/>
        </w:rPr>
        <w:t>2</w:t>
      </w:r>
      <w:r>
        <w:rPr>
          <w:rFonts w:hint="default" w:ascii="宋体" w:hAnsi="宋体" w:eastAsia="宋体"/>
          <w:color w:val="000000"/>
          <w:sz w:val="28"/>
        </w:rPr>
        <w:t>。</w:t>
      </w:r>
    </w:p>
    <w:p>
      <w:pPr>
        <w:rPr>
          <w:rFonts w:hint="default"/>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bidi w:val="0"/>
        <w:rPr>
          <w:rFonts w:hint="default"/>
          <w:lang w:val="en-US" w:eastAsia="zh-CN"/>
        </w:rPr>
      </w:pPr>
      <w:r>
        <w:rPr>
          <w:rFonts w:hint="eastAsia"/>
          <w:lang w:val="en-US" w:eastAsia="zh-CN"/>
        </w:rPr>
        <w:t xml:space="preserve">表4.3.4-2 土壤监测结果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2"/>
        <w:gridCol w:w="846"/>
        <w:gridCol w:w="846"/>
        <w:gridCol w:w="846"/>
        <w:gridCol w:w="846"/>
        <w:gridCol w:w="846"/>
        <w:gridCol w:w="846"/>
        <w:gridCol w:w="846"/>
        <w:gridCol w:w="846"/>
        <w:gridCol w:w="846"/>
        <w:gridCol w:w="1033"/>
        <w:gridCol w:w="1033"/>
        <w:gridCol w:w="1033"/>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602" w:type="dxa"/>
            <w:vMerge w:val="restart"/>
            <w:vAlign w:val="center"/>
            <mc:AlternateContent>
              <mc:Choice Requires="wpsCustomData">
                <wpsCustomData:diagonals>
                  <wpsCustomData:diagonal from="30000" to="10000">
                    <wpsCustomData:border w:val="single" w:color="auto" w:sz="4" w:space="0"/>
                  </wpsCustomData:diagonal>
                </wpsCustomData:diagonals>
              </mc:Choice>
            </mc:AlternateContent>
          </w:tcPr>
          <w:p>
            <w:pPr>
              <w:pStyle w:val="28"/>
              <w:suppressLineNumbers w:val="0"/>
              <w:bidi w:val="0"/>
              <w:snapToGrid w:val="0"/>
              <w:spacing w:before="0" w:after="0" w:line="240" w:lineRule="auto"/>
              <w:ind w:left="0" w:right="0"/>
              <w:jc w:val="center"/>
              <mc:AlternateContent>
                <mc:Choice Requires="wpsCustomData">
                  <wpsCustomData:diagonalParaType/>
                </mc:Choice>
              </mc:AlternateContent>
              <w:rPr>
                <w:rFonts w:hint="default"/>
                <w:lang w:val="en-US" w:eastAsia="zh-CN"/>
              </w:rPr>
            </w:pPr>
            <w:r>
              <w:rPr>
                <w:rFonts w:hint="eastAsia"/>
                <w:lang w:val="en-US" w:eastAsia="zh-CN"/>
              </w:rPr>
              <w:t>监测因子</w:t>
            </w:r>
          </w:p>
          <w:p>
            <w:pPr>
              <w:pStyle w:val="28"/>
              <w:suppressLineNumbers w:val="0"/>
              <w:bidi w:val="0"/>
              <w:spacing w:before="0" w:after="0"/>
              <w:ind w:left="0" w:right="0"/>
              <w:jc w:val="center"/>
              <w:rPr>
                <w:rFonts w:hint="default"/>
                <w:lang w:val="en-US" w:eastAsia="zh-CN"/>
              </w:rPr>
            </w:pPr>
            <w:r>
              <w:rPr>
                <w:rFonts w:hint="eastAsia"/>
                <w:lang w:val="en-US" w:eastAsia="zh-CN"/>
              </w:rPr>
              <w:t>监测点位</w:t>
            </w:r>
          </w:p>
        </w:tc>
        <w:tc>
          <w:tcPr>
            <w:tcW w:w="2538" w:type="dxa"/>
            <w:gridSpan w:val="3"/>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T1</w:t>
            </w:r>
          </w:p>
        </w:tc>
        <w:tc>
          <w:tcPr>
            <w:tcW w:w="0" w:type="auto"/>
            <w:gridSpan w:val="3"/>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T2</w:t>
            </w:r>
          </w:p>
        </w:tc>
        <w:tc>
          <w:tcPr>
            <w:tcW w:w="0" w:type="auto"/>
            <w:gridSpan w:val="3"/>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T3</w:t>
            </w:r>
          </w:p>
        </w:tc>
        <w:tc>
          <w:tcPr>
            <w:tcW w:w="1033" w:type="dxa"/>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T4（m）</w:t>
            </w:r>
          </w:p>
        </w:tc>
        <w:tc>
          <w:tcPr>
            <w:tcW w:w="1033" w:type="dxa"/>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T5（m）</w:t>
            </w:r>
          </w:p>
        </w:tc>
        <w:tc>
          <w:tcPr>
            <w:tcW w:w="0" w:type="auto"/>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T6（m）</w:t>
            </w:r>
          </w:p>
        </w:tc>
        <w:tc>
          <w:tcPr>
            <w:tcW w:w="0" w:type="auto"/>
            <w:vMerge w:val="restart"/>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602" w:type="dxa"/>
            <w:vMerge w:val="continue"/>
            <w:vAlign w:val="center"/>
          </w:tcPr>
          <w:p>
            <w:pPr>
              <w:pStyle w:val="28"/>
              <w:suppressLineNumbers w:val="0"/>
              <w:bidi w:val="0"/>
              <w:spacing w:before="0" w:after="0"/>
              <w:ind w:left="0" w:right="0"/>
              <w:jc w:val="center"/>
              <w:rPr>
                <w:rFonts w:hint="eastAsia"/>
                <w:lang w:val="en-US" w:eastAsia="zh-CN"/>
              </w:rPr>
            </w:pPr>
          </w:p>
        </w:tc>
        <w:tc>
          <w:tcPr>
            <w:tcW w:w="846"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表层土</w:t>
            </w:r>
          </w:p>
        </w:tc>
        <w:tc>
          <w:tcPr>
            <w:tcW w:w="846"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中层图</w:t>
            </w:r>
          </w:p>
        </w:tc>
        <w:tc>
          <w:tcPr>
            <w:tcW w:w="846" w:type="dxa"/>
            <w:vAlign w:val="center"/>
          </w:tcPr>
          <w:p>
            <w:pPr>
              <w:pStyle w:val="28"/>
              <w:suppressLineNumbers w:val="0"/>
              <w:bidi w:val="0"/>
              <w:spacing w:before="0" w:after="0"/>
              <w:ind w:left="0" w:right="0"/>
              <w:jc w:val="center"/>
              <w:rPr>
                <w:rFonts w:hint="eastAsia"/>
                <w:lang w:val="en-US" w:eastAsia="zh-CN"/>
              </w:rPr>
            </w:pPr>
            <w:r>
              <w:rPr>
                <w:rFonts w:hint="eastAsia"/>
                <w:lang w:val="en-US" w:eastAsia="zh-CN"/>
              </w:rPr>
              <w:t>下层土</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表层土</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中层图</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下层土</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表层土</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中层图</w:t>
            </w:r>
          </w:p>
        </w:tc>
        <w:tc>
          <w:tcPr>
            <w:tcW w:w="0" w:type="auto"/>
            <w:vAlign w:val="center"/>
          </w:tcPr>
          <w:p>
            <w:pPr>
              <w:pStyle w:val="28"/>
              <w:suppressLineNumbers w:val="0"/>
              <w:bidi w:val="0"/>
              <w:spacing w:before="0" w:after="0"/>
              <w:ind w:left="0" w:leftChars="0" w:right="0" w:rightChars="0" w:firstLine="0" w:firstLineChars="0"/>
              <w:jc w:val="center"/>
              <w:rPr>
                <w:rFonts w:hint="eastAsia" w:ascii="Times New Roman" w:hAnsi="Times New Roman" w:eastAsia="宋体" w:cstheme="minorBidi"/>
                <w:b w:val="0"/>
                <w:kern w:val="2"/>
                <w:sz w:val="21"/>
                <w:szCs w:val="24"/>
                <w:lang w:val="en-US" w:eastAsia="zh-CN" w:bidi="ar-SA"/>
              </w:rPr>
            </w:pPr>
            <w:r>
              <w:rPr>
                <w:rFonts w:hint="eastAsia"/>
                <w:lang w:val="en-US" w:eastAsia="zh-CN"/>
              </w:rPr>
              <w:t>下层土</w:t>
            </w:r>
          </w:p>
        </w:tc>
        <w:tc>
          <w:tcPr>
            <w:tcW w:w="1033" w:type="dxa"/>
            <w:vMerge w:val="continue"/>
            <w:vAlign w:val="center"/>
          </w:tcPr>
          <w:p>
            <w:pPr>
              <w:pStyle w:val="28"/>
              <w:suppressLineNumbers w:val="0"/>
              <w:bidi w:val="0"/>
              <w:spacing w:before="0" w:after="0"/>
              <w:ind w:left="0" w:right="0"/>
              <w:jc w:val="center"/>
              <w:rPr>
                <w:rFonts w:hint="eastAsia"/>
                <w:lang w:val="en-US" w:eastAsia="zh-CN"/>
              </w:rPr>
            </w:pPr>
          </w:p>
        </w:tc>
        <w:tc>
          <w:tcPr>
            <w:tcW w:w="1033" w:type="dxa"/>
            <w:vMerge w:val="continue"/>
            <w:vAlign w:val="center"/>
          </w:tcPr>
          <w:p>
            <w:pPr>
              <w:pStyle w:val="28"/>
              <w:suppressLineNumbers w:val="0"/>
              <w:bidi w:val="0"/>
              <w:spacing w:before="0" w:after="0"/>
              <w:ind w:left="0" w:right="0"/>
              <w:jc w:val="center"/>
              <w:rPr>
                <w:rFonts w:hint="eastAsia"/>
                <w:lang w:val="en-US" w:eastAsia="zh-CN"/>
              </w:rPr>
            </w:pPr>
          </w:p>
        </w:tc>
        <w:tc>
          <w:tcPr>
            <w:tcW w:w="0" w:type="auto"/>
            <w:vMerge w:val="continue"/>
            <w:vAlign w:val="center"/>
          </w:tcPr>
          <w:p>
            <w:pPr>
              <w:pStyle w:val="28"/>
              <w:suppressLineNumbers w:val="0"/>
              <w:bidi w:val="0"/>
              <w:spacing w:before="0" w:after="0"/>
              <w:ind w:left="0" w:right="0"/>
              <w:jc w:val="center"/>
              <w:rPr>
                <w:rFonts w:hint="eastAsia"/>
                <w:lang w:val="en-US" w:eastAsia="zh-CN"/>
              </w:rPr>
            </w:pPr>
          </w:p>
        </w:tc>
        <w:tc>
          <w:tcPr>
            <w:tcW w:w="0" w:type="auto"/>
            <w:vMerge w:val="continue"/>
            <w:vAlign w:val="center"/>
          </w:tcPr>
          <w:p>
            <w:pPr>
              <w:pStyle w:val="28"/>
              <w:suppressLineNumbers w:val="0"/>
              <w:bidi w:val="0"/>
              <w:spacing w:before="0" w:after="0"/>
              <w:ind w:left="0" w:right="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砷</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10.5</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12.8</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15.9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9.53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11.7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8.86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7.53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11.7</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4.02</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14.0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8.16</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镉</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0.069</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0.080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0.061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0.044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0.051</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0.105</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0.143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铬（六价）</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2.31</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2.26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2.85</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3.18</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2.38</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2.50</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铜</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24.2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26.2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24.4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24.5</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8.86</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29.5</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34.1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25.6</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铅</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20.7</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23.4</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24.9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22.9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21.7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20.4</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24.9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33.4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23.9</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汞</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0.016</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0.015</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0.126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0.020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0.015</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0.0183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0.036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0.039</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镍</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34.4</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39.8</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42.9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31.0</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36.7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35.8</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29.0</w:t>
            </w:r>
          </w:p>
        </w:tc>
        <w:tc>
          <w:tcPr>
            <w:tcW w:w="0" w:type="auto"/>
            <w:vAlign w:val="center"/>
          </w:tcPr>
          <w:p>
            <w:pPr>
              <w:pStyle w:val="28"/>
              <w:suppressLineNumbers w:val="0"/>
              <w:bidi w:val="0"/>
              <w:spacing w:before="0" w:after="0"/>
              <w:ind w:left="0" w:right="0"/>
              <w:jc w:val="both"/>
              <w:outlineLvl w:val="9"/>
              <w:rPr>
                <w:rFonts w:hint="default"/>
                <w:lang w:val="en-US" w:eastAsia="zh-CN"/>
              </w:rPr>
            </w:pPr>
            <w:r>
              <w:rPr>
                <w:rFonts w:hint="eastAsia"/>
                <w:lang w:val="en-US" w:eastAsia="zh-CN"/>
              </w:rPr>
              <w:t>30.5</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37.0</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28.9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45.7</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eastAsia"/>
                <w:lang w:val="en-US" w:eastAsia="zh-CN"/>
              </w:rPr>
              <w:t>29.6</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kern w:val="2"/>
                <w:sz w:val="21"/>
                <w:szCs w:val="24"/>
                <w:lang w:val="en-US" w:eastAsia="zh-CN" w:bidi="ar-SA"/>
              </w:rPr>
            </w:pPr>
            <w:r>
              <w:t>四氯化碳</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氯仿</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氯甲烷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37</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1,1-二氯乙烷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9</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1,2-二氯乙烷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1,1-二氯乙烯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1.0</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66</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顺-1,2-二氯乙烯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596</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反-1,2-二氯乙烯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54</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二氯甲烷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616</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1,2-二氯丙烷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1,1,1,2-四氯乙烷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1,1,2,2-四氯乙烷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w:t>
            </w:r>
            <w:r>
              <w:rPr>
                <w:rFonts w:hint="eastAsia"/>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四氯乙烯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1.4</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53</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1,1,1-三氯乙烷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840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1,1,2-三氯乙烷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三氯乙烯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1,2,3-三氯丙烷</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氯乙烯</w:t>
            </w:r>
            <w:r>
              <w:rPr>
                <w:rFonts w:hint="eastAsia"/>
                <w:lang w:eastAsia="zh-CN"/>
              </w:rPr>
              <w:t>（</w:t>
            </w:r>
            <w:r>
              <w:rPr>
                <w:rFonts w:hint="eastAsia"/>
                <w:lang w:val="en-US" w:eastAsia="zh-CN"/>
              </w:rPr>
              <w:t>ug/kg）</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1.9</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lang w:val="en-US" w:eastAsia="zh-CN"/>
              </w:rPr>
              <w:t>1.9</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4</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氯苯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270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1,2-二氯苯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560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1,4-二氯苯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1.5</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20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乙苯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28</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苯乙烯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甲苯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1.3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1200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间二甲苯+对二甲苯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570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邻二甲苯</w:t>
            </w:r>
            <w:r>
              <w:rPr>
                <w:rFonts w:hint="eastAsia"/>
                <w:lang w:eastAsia="zh-CN"/>
              </w:rPr>
              <w:t>（</w:t>
            </w:r>
            <w:r>
              <w:rPr>
                <w:rFonts w:hint="eastAsia"/>
                <w:lang w:val="en-US" w:eastAsia="zh-CN"/>
              </w:rPr>
              <w:t>ug/kg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lang w:val="en-US" w:eastAsia="zh-CN"/>
              </w:rPr>
              <w:t>1.2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640</w:t>
            </w:r>
            <w:r>
              <w:rPr>
                <w:rFonts w:hint="eastAsia"/>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硝基苯</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苯胺</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0.03</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2-氯酚</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0.06</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苯并[a]蒽</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苯并[a]芘</w:t>
            </w:r>
            <w:r>
              <w:rPr>
                <w:rFonts w:hint="eastAsia"/>
                <w:lang w:val="en-US" w:eastAsia="zh-CN"/>
              </w:rPr>
              <w:t>mg/kg</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苯并[b]荧蒽</w:t>
            </w:r>
            <w:r>
              <w:rPr>
                <w:rFonts w:hint="eastAsia"/>
                <w:lang w:val="en-US" w:eastAsia="zh-CN"/>
              </w:rPr>
              <w:t>mg/kg</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846"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1033" w:type="dxa"/>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right="0"/>
              <w:jc w:val="center"/>
              <w:outlineLvl w:val="9"/>
              <w:rPr>
                <w:rFonts w:hint="default"/>
                <w:lang w:val="en-US" w:eastAsia="zh-CN"/>
              </w:rPr>
            </w:pPr>
            <w:r>
              <w:rPr>
                <w:rFonts w:hint="default" w:ascii="Times New Roman" w:hAnsi="Times New Roman" w:cs="Times New Roman"/>
                <w:lang w:val="en-US" w:eastAsia="zh-CN"/>
              </w:rPr>
              <w:t>&lt;</w:t>
            </w:r>
            <w:r>
              <w:rPr>
                <w:rFonts w:hint="eastAsia" w:cs="Times New Roman"/>
                <w:lang w:val="en-US" w:eastAsia="zh-CN"/>
              </w:rPr>
              <w:t>0.2</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苯并[k]荧蒽</w:t>
            </w:r>
            <w:r>
              <w:rPr>
                <w:rFonts w:hint="eastAsia"/>
                <w:lang w:val="en-US" w:eastAsia="zh-CN"/>
              </w:rPr>
              <w:t>mg/kg</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䓛</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二苯并[a，h]蒽</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茚并[1,2,3-cd]芘</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0.1</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萘</w:t>
            </w:r>
            <w:r>
              <w:rPr>
                <w:rFonts w:hint="eastAsia"/>
                <w:lang w:eastAsia="zh-CN"/>
              </w:rPr>
              <w:t>（</w:t>
            </w:r>
            <w:r>
              <w:rPr>
                <w:rFonts w:hint="eastAsia"/>
                <w:lang w:val="en-US" w:eastAsia="zh-CN"/>
              </w:rPr>
              <w:t>mg/kg</w:t>
            </w:r>
            <w:r>
              <w:rPr>
                <w:rFonts w:hint="eastAsia"/>
                <w:lang w:eastAsia="zh-CN"/>
              </w:rPr>
              <w:t>）</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846"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1033" w:type="dxa"/>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kern w:val="2"/>
                <w:sz w:val="21"/>
                <w:szCs w:val="24"/>
                <w:lang w:val="en-US" w:eastAsia="zh-CN" w:bidi="ar-SA"/>
              </w:rPr>
            </w:pPr>
            <w:r>
              <w:rPr>
                <w:rFonts w:hint="default" w:ascii="Times New Roman" w:hAnsi="Times New Roman" w:cs="Times New Roman"/>
                <w:lang w:val="en-US" w:eastAsia="zh-CN"/>
              </w:rPr>
              <w:t>&lt;</w:t>
            </w:r>
            <w:r>
              <w:rPr>
                <w:rFonts w:hint="eastAsia" w:cs="Times New Roman"/>
                <w:lang w:val="en-US" w:eastAsia="zh-CN"/>
              </w:rPr>
              <w:t>0.09</w:t>
            </w:r>
          </w:p>
        </w:tc>
        <w:tc>
          <w:tcPr>
            <w:tcW w:w="0" w:type="auto"/>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t>70</w:t>
            </w:r>
          </w:p>
        </w:tc>
      </w:tr>
    </w:tbl>
    <w:p>
      <w:pPr>
        <w:rPr>
          <w:rFonts w:hint="default"/>
          <w:lang w:val="en-US" w:eastAsia="zh-CN"/>
        </w:rPr>
      </w:pPr>
    </w:p>
    <w:p>
      <w:pPr>
        <w:pStyle w:val="27"/>
        <w:bidi w:val="0"/>
        <w:rPr>
          <w:rFonts w:hint="default"/>
          <w:lang w:val="en-US" w:eastAsia="zh-CN"/>
        </w:rPr>
      </w:pPr>
      <w:r>
        <w:rPr>
          <w:rFonts w:hint="eastAsia"/>
          <w:lang w:val="en-US" w:eastAsia="zh-CN"/>
        </w:rPr>
        <w:t>表4.3.4-3 土壤监测因子评价指数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1083"/>
        <w:gridCol w:w="1083"/>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0" w:type="auto"/>
            <w:vMerge w:val="restart"/>
            <w:vAlign w:val="center"/>
            <mc:AlternateContent>
              <mc:Choice Requires="wpsCustomData">
                <wpsCustomData:diagonals>
                  <wpsCustomData:diagonal from="30000" to="10000">
                    <wpsCustomData:border w:val="single" w:color="auto" w:sz="4" w:space="0"/>
                  </wpsCustomData:diagonal>
                </wpsCustomData:diagonals>
              </mc:Choice>
            </mc:AlternateContent>
          </w:tcPr>
          <w:p>
            <w:pPr>
              <w:pStyle w:val="28"/>
              <w:suppressLineNumbers w:val="0"/>
              <w:bidi w:val="0"/>
              <w:spacing w:before="0" w:after="0"/>
              <w:ind w:left="0" w:right="0"/>
              <w:jc w:val="center"/>
              <mc:AlternateContent>
                <mc:Choice Requires="wpsCustomData">
                  <wpsCustomData:diagonalParaType/>
                </mc:Choice>
              </mc:AlternateContent>
              <w:rPr>
                <w:rFonts w:hint="default"/>
                <w:sz w:val="18"/>
                <w:szCs w:val="18"/>
                <w:lang w:val="en-US" w:eastAsia="zh-CN"/>
              </w:rPr>
            </w:pPr>
            <w:r>
              <w:rPr>
                <w:rFonts w:hint="eastAsia"/>
                <w:sz w:val="18"/>
                <w:szCs w:val="18"/>
                <w:lang w:val="en-US" w:eastAsia="zh-CN"/>
              </w:rPr>
              <w:t>监测因子</w:t>
            </w:r>
          </w:p>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监测点位</w:t>
            </w:r>
          </w:p>
        </w:tc>
        <w:tc>
          <w:tcPr>
            <w:tcW w:w="1158"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T1</w:t>
            </w:r>
          </w:p>
        </w:tc>
        <w:tc>
          <w:tcPr>
            <w:tcW w:w="1158"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T2</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T3</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T1</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T2</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T3</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T1</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T2</w:t>
            </w:r>
          </w:p>
        </w:tc>
        <w:tc>
          <w:tcPr>
            <w:tcW w:w="1159" w:type="dxa"/>
            <w:gridSpan w:val="3"/>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T3</w:t>
            </w:r>
          </w:p>
        </w:tc>
        <w:tc>
          <w:tcPr>
            <w:tcW w:w="0" w:type="auto"/>
            <w:vMerge w:val="restart"/>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T4（m）</w:t>
            </w:r>
          </w:p>
        </w:tc>
        <w:tc>
          <w:tcPr>
            <w:tcW w:w="0" w:type="auto"/>
            <w:vMerge w:val="restart"/>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T5（m）</w:t>
            </w:r>
          </w:p>
        </w:tc>
        <w:tc>
          <w:tcPr>
            <w:tcW w:w="0" w:type="auto"/>
            <w:vMerge w:val="restart"/>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0" w:type="auto"/>
            <w:vMerge w:val="continue"/>
            <w:vAlign w:val="center"/>
          </w:tcPr>
          <w:p>
            <w:pPr>
              <w:pStyle w:val="28"/>
              <w:suppressLineNumbers w:val="0"/>
              <w:bidi w:val="0"/>
              <w:spacing w:before="0" w:after="0"/>
              <w:ind w:left="0" w:right="0"/>
              <w:jc w:val="center"/>
              <w:rPr>
                <w:rFonts w:hint="eastAsia"/>
                <w:sz w:val="18"/>
                <w:szCs w:val="18"/>
                <w:lang w:val="en-US" w:eastAsia="zh-CN"/>
              </w:rPr>
            </w:pP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386" w:type="dxa"/>
            <w:vAlign w:val="center"/>
          </w:tcPr>
          <w:p>
            <w:pPr>
              <w:pStyle w:val="28"/>
              <w:suppressLineNumbers w:val="0"/>
              <w:bidi w:val="0"/>
              <w:spacing w:before="0" w:after="0"/>
              <w:ind w:left="0" w:right="0"/>
              <w:jc w:val="center"/>
              <w:rPr>
                <w:rFonts w:hint="eastAsia"/>
                <w:sz w:val="18"/>
                <w:szCs w:val="18"/>
                <w:lang w:val="en-US" w:eastAsia="zh-CN"/>
              </w:rPr>
            </w:pPr>
            <w:r>
              <w:rPr>
                <w:rFonts w:hint="eastAsia"/>
                <w:sz w:val="18"/>
                <w:szCs w:val="18"/>
                <w:lang w:val="en-US" w:eastAsia="zh-CN"/>
              </w:rPr>
              <w:t>表层土</w:t>
            </w:r>
          </w:p>
        </w:tc>
        <w:tc>
          <w:tcPr>
            <w:tcW w:w="386"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中层图</w:t>
            </w:r>
          </w:p>
        </w:tc>
        <w:tc>
          <w:tcPr>
            <w:tcW w:w="387" w:type="dxa"/>
            <w:vAlign w:val="center"/>
          </w:tcPr>
          <w:p>
            <w:pPr>
              <w:pStyle w:val="28"/>
              <w:suppressLineNumbers w:val="0"/>
              <w:bidi w:val="0"/>
              <w:spacing w:before="0" w:after="0"/>
              <w:ind w:left="0" w:right="0"/>
              <w:jc w:val="center"/>
              <w:rPr>
                <w:rFonts w:hint="default"/>
                <w:sz w:val="18"/>
                <w:szCs w:val="18"/>
                <w:lang w:val="en-US" w:eastAsia="zh-CN"/>
              </w:rPr>
            </w:pPr>
            <w:r>
              <w:rPr>
                <w:rFonts w:hint="eastAsia"/>
                <w:sz w:val="18"/>
                <w:szCs w:val="18"/>
                <w:lang w:val="en-US" w:eastAsia="zh-CN"/>
              </w:rPr>
              <w:t>下层土</w:t>
            </w:r>
          </w:p>
        </w:tc>
        <w:tc>
          <w:tcPr>
            <w:tcW w:w="0" w:type="auto"/>
            <w:vMerge w:val="continue"/>
            <w:vAlign w:val="center"/>
          </w:tcPr>
          <w:p>
            <w:pPr>
              <w:pStyle w:val="28"/>
              <w:suppressLineNumbers w:val="0"/>
              <w:bidi w:val="0"/>
              <w:spacing w:before="0" w:after="0"/>
              <w:ind w:left="0" w:right="0"/>
              <w:jc w:val="center"/>
              <w:rPr>
                <w:rFonts w:hint="eastAsia"/>
                <w:sz w:val="18"/>
                <w:szCs w:val="18"/>
                <w:lang w:val="en-US" w:eastAsia="zh-CN"/>
              </w:rPr>
            </w:pPr>
          </w:p>
        </w:tc>
        <w:tc>
          <w:tcPr>
            <w:tcW w:w="0" w:type="auto"/>
            <w:vMerge w:val="continue"/>
            <w:vAlign w:val="center"/>
          </w:tcPr>
          <w:p>
            <w:pPr>
              <w:pStyle w:val="28"/>
              <w:suppressLineNumbers w:val="0"/>
              <w:bidi w:val="0"/>
              <w:spacing w:before="0" w:after="0"/>
              <w:ind w:left="0" w:right="0"/>
              <w:jc w:val="center"/>
              <w:rPr>
                <w:rFonts w:hint="eastAsia"/>
                <w:sz w:val="18"/>
                <w:szCs w:val="18"/>
                <w:lang w:val="en-US" w:eastAsia="zh-CN"/>
              </w:rPr>
            </w:pPr>
          </w:p>
        </w:tc>
        <w:tc>
          <w:tcPr>
            <w:tcW w:w="0" w:type="auto"/>
            <w:vMerge w:val="continue"/>
            <w:vAlign w:val="center"/>
          </w:tcPr>
          <w:p>
            <w:pPr>
              <w:pStyle w:val="28"/>
              <w:suppressLineNumbers w:val="0"/>
              <w:bidi w:val="0"/>
              <w:spacing w:before="0" w:after="0"/>
              <w:ind w:left="0" w:right="0"/>
              <w:jc w:val="center"/>
              <w:rPr>
                <w:rFonts w:hint="eastAsia"/>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0.17500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0.21333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0.26500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0.15883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0.19833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0.19500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0.14767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0.12550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0.19500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0.06700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0.23333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镉</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0.00080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0.00106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0.00123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0.00094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0.00082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0.00077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0.00091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0.00068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0.00078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0.00162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0.00168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铬（六价）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&lt;0.35088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0.40526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&lt;0.35088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&lt;0.35088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0.54211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0.35263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0.39649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0.40877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0.50000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0.55789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0.41754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0.43860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铜</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0.00132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0.00049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0.00164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0.00189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铅</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0.02588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0.02925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0.03113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0.02863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0.02913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0.02888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0.02713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0.02538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0.02550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0.03113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0.04175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0.02988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汞</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0.00042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0.00039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0.00053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0.00332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0.00055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0.00042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0.00071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0.00053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0.00039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0.00048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0.00095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镍</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0.03822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0.04422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0.04767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0.03444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0.04078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0.03978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0.03222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0.03389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0.04111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0.03211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0.05078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0.03289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四氯化碳</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氯仿</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氯甲烷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w:t>
            </w:r>
            <w:r>
              <w:rPr>
                <w:rFonts w:hint="eastAsia"/>
                <w:sz w:val="18"/>
                <w:szCs w:val="18"/>
                <w:lang w:val="en-US" w:eastAsia="zh-CN"/>
              </w:rPr>
              <w:t>二氯乙烷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1,2-</w:t>
            </w:r>
            <w:r>
              <w:rPr>
                <w:rFonts w:hint="eastAsia"/>
                <w:sz w:val="18"/>
                <w:szCs w:val="18"/>
                <w:lang w:val="en-US" w:eastAsia="zh-CN"/>
              </w:rPr>
              <w:t>二氯乙烷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w:t>
            </w:r>
            <w:r>
              <w:rPr>
                <w:rFonts w:hint="eastAsia"/>
                <w:sz w:val="18"/>
                <w:szCs w:val="18"/>
                <w:lang w:val="en-US" w:eastAsia="zh-CN"/>
              </w:rPr>
              <w:t>二氯乙烯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顺-1,2-</w:t>
            </w:r>
            <w:r>
              <w:rPr>
                <w:rFonts w:hint="eastAsia"/>
                <w:sz w:val="18"/>
                <w:szCs w:val="18"/>
                <w:lang w:val="en-US" w:eastAsia="zh-CN"/>
              </w:rPr>
              <w:t>二氯乙烯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反-1,2-</w:t>
            </w:r>
            <w:r>
              <w:rPr>
                <w:rFonts w:hint="eastAsia"/>
                <w:sz w:val="18"/>
                <w:szCs w:val="18"/>
                <w:lang w:val="en-US" w:eastAsia="zh-CN"/>
              </w:rPr>
              <w:t>二氯乙烯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二氯甲烷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1,2-</w:t>
            </w:r>
            <w:r>
              <w:rPr>
                <w:rFonts w:hint="eastAsia"/>
                <w:sz w:val="18"/>
                <w:szCs w:val="18"/>
                <w:lang w:val="en-US" w:eastAsia="zh-CN"/>
              </w:rPr>
              <w:t>二氯丙烷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1,1,1,2-</w:t>
            </w:r>
            <w:r>
              <w:rPr>
                <w:rFonts w:hint="eastAsia"/>
                <w:sz w:val="18"/>
                <w:szCs w:val="18"/>
                <w:lang w:val="en-US" w:eastAsia="zh-CN"/>
              </w:rPr>
              <w:t>四氯乙烷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1,1,2,2-</w:t>
            </w:r>
            <w:r>
              <w:rPr>
                <w:rFonts w:hint="eastAsia"/>
                <w:sz w:val="18"/>
                <w:szCs w:val="18"/>
                <w:lang w:val="en-US" w:eastAsia="zh-CN"/>
              </w:rPr>
              <w:t>四氯乙烷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四氯乙烯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1,1,1-</w:t>
            </w:r>
            <w:r>
              <w:rPr>
                <w:rFonts w:hint="eastAsia"/>
                <w:sz w:val="18"/>
                <w:szCs w:val="18"/>
                <w:lang w:val="en-US" w:eastAsia="zh-CN"/>
              </w:rPr>
              <w:t>三氯乙烷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1,1,2-</w:t>
            </w:r>
            <w:r>
              <w:rPr>
                <w:rFonts w:hint="eastAsia"/>
                <w:sz w:val="18"/>
                <w:szCs w:val="18"/>
                <w:lang w:val="en-US" w:eastAsia="zh-CN"/>
              </w:rPr>
              <w:t>三氯乙烷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三氯乙烯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1,2,3-</w:t>
            </w:r>
            <w:r>
              <w:rPr>
                <w:rFonts w:hint="eastAsia"/>
                <w:sz w:val="18"/>
                <w:szCs w:val="18"/>
                <w:lang w:val="en-US" w:eastAsia="zh-CN"/>
              </w:rPr>
              <w:t>三氯丙烷</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氯苯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1,2-</w:t>
            </w:r>
            <w:r>
              <w:rPr>
                <w:rFonts w:hint="eastAsia"/>
                <w:sz w:val="18"/>
                <w:szCs w:val="18"/>
                <w:lang w:val="en-US" w:eastAsia="zh-CN"/>
              </w:rPr>
              <w:t>二氯苯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1,4-</w:t>
            </w:r>
            <w:r>
              <w:rPr>
                <w:rFonts w:hint="eastAsia"/>
                <w:sz w:val="18"/>
                <w:szCs w:val="18"/>
                <w:lang w:val="en-US" w:eastAsia="zh-CN"/>
              </w:rPr>
              <w:t>二氯苯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乙苯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苯乙烯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甲苯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间二甲苯+</w:t>
            </w:r>
            <w:r>
              <w:rPr>
                <w:rFonts w:hint="eastAsia"/>
                <w:sz w:val="18"/>
                <w:szCs w:val="18"/>
                <w:lang w:val="en-US" w:eastAsia="zh-CN"/>
              </w:rPr>
              <w:t>对二甲苯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邻二甲苯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硝基苯</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苯胺</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2-</w:t>
            </w:r>
            <w:r>
              <w:rPr>
                <w:rFonts w:hint="eastAsia"/>
                <w:sz w:val="18"/>
                <w:szCs w:val="18"/>
                <w:lang w:val="en-US" w:eastAsia="zh-CN"/>
              </w:rPr>
              <w:t>氯酚</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苯并[a]</w:t>
            </w:r>
            <w:r>
              <w:rPr>
                <w:rFonts w:hint="eastAsia"/>
                <w:sz w:val="18"/>
                <w:szCs w:val="18"/>
                <w:lang w:val="en-US" w:eastAsia="zh-CN"/>
              </w:rPr>
              <w:t>蒽</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苯并[a]</w:t>
            </w:r>
            <w:r>
              <w:rPr>
                <w:rFonts w:hint="eastAsia"/>
                <w:sz w:val="18"/>
                <w:szCs w:val="18"/>
                <w:lang w:val="en-US" w:eastAsia="zh-CN"/>
              </w:rPr>
              <w:t>芘</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苯并[b]</w:t>
            </w:r>
            <w:r>
              <w:rPr>
                <w:rFonts w:hint="eastAsia"/>
                <w:sz w:val="18"/>
                <w:szCs w:val="18"/>
                <w:lang w:val="en-US" w:eastAsia="zh-CN"/>
              </w:rPr>
              <w:t>荧蒽</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&lt;0.01333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苯并[k]</w:t>
            </w:r>
            <w:r>
              <w:rPr>
                <w:rFonts w:hint="eastAsia"/>
                <w:sz w:val="18"/>
                <w:szCs w:val="18"/>
                <w:lang w:val="en-US" w:eastAsia="zh-CN"/>
              </w:rPr>
              <w:t>荧蒽</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䓛</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二苯并[a</w:t>
            </w:r>
            <w:r>
              <w:rPr>
                <w:rFonts w:hint="eastAsia"/>
                <w:sz w:val="18"/>
                <w:szCs w:val="18"/>
                <w:lang w:val="en-US" w:eastAsia="zh-CN"/>
              </w:rPr>
              <w:t>，</w:t>
            </w:r>
            <w:r>
              <w:rPr>
                <w:rFonts w:hint="default"/>
                <w:sz w:val="18"/>
                <w:szCs w:val="18"/>
                <w:lang w:val="en-US" w:eastAsia="zh-CN"/>
              </w:rPr>
              <w:t>h]</w:t>
            </w:r>
            <w:r>
              <w:rPr>
                <w:rFonts w:hint="eastAsia"/>
                <w:sz w:val="18"/>
                <w:szCs w:val="18"/>
                <w:lang w:val="en-US" w:eastAsia="zh-CN"/>
              </w:rPr>
              <w:t>蒽</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茚并[1,2,3-cd]</w:t>
            </w:r>
            <w:r>
              <w:rPr>
                <w:rFonts w:hint="eastAsia"/>
                <w:sz w:val="18"/>
                <w:szCs w:val="18"/>
                <w:lang w:val="en-US" w:eastAsia="zh-CN"/>
              </w:rPr>
              <w:t>芘</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萘</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gridSpan w:val="3"/>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c>
          <w:tcPr>
            <w:tcW w:w="0" w:type="auto"/>
            <w:vAlign w:val="center"/>
          </w:tcPr>
          <w:p>
            <w:pPr>
              <w:pStyle w:val="28"/>
              <w:suppressLineNumbers w:val="0"/>
              <w:bidi w:val="0"/>
              <w:spacing w:before="0" w:after="0"/>
              <w:ind w:left="0" w:right="0"/>
              <w:jc w:val="center"/>
              <w:rPr>
                <w:rFonts w:hint="default"/>
                <w:sz w:val="18"/>
                <w:szCs w:val="18"/>
                <w:lang w:val="en-US" w:eastAsia="zh-CN"/>
              </w:rPr>
            </w:pPr>
            <w:r>
              <w:rPr>
                <w:rFonts w:hint="default"/>
                <w:sz w:val="18"/>
                <w:szCs w:val="18"/>
                <w:lang w:val="en-US" w:eastAsia="zh-CN"/>
              </w:rPr>
              <w:t>&lt;0.00129</w:t>
            </w:r>
          </w:p>
        </w:tc>
      </w:tr>
    </w:tbl>
    <w:p>
      <w:pPr>
        <w:rPr>
          <w:rFonts w:hint="default" w:ascii="宋体" w:hAnsi="宋体" w:eastAsia="宋体"/>
          <w:color w:val="000000"/>
          <w:sz w:val="28"/>
        </w:rPr>
      </w:pPr>
      <w:r>
        <w:rPr>
          <w:rFonts w:hint="default" w:ascii="宋体" w:hAnsi="宋体" w:eastAsia="宋体"/>
          <w:color w:val="000000"/>
          <w:sz w:val="28"/>
        </w:rPr>
        <w:t>从现状监测结果看，对照</w:t>
      </w:r>
      <w:r>
        <w:rPr>
          <w:rFonts w:hint="default" w:ascii="Times New Roman" w:hAnsi="Times New Roman" w:eastAsia="Times New Roman"/>
          <w:color w:val="000000"/>
          <w:sz w:val="28"/>
        </w:rPr>
        <w:t>GB36600-2018</w:t>
      </w:r>
      <w:r>
        <w:rPr>
          <w:rFonts w:hint="default" w:ascii="宋体" w:hAnsi="宋体" w:eastAsia="宋体"/>
          <w:color w:val="000000"/>
          <w:sz w:val="28"/>
        </w:rPr>
        <w:t>表</w:t>
      </w:r>
      <w:r>
        <w:rPr>
          <w:rFonts w:hint="default" w:ascii="Times New Roman" w:hAnsi="Times New Roman" w:eastAsia="Times New Roman"/>
          <w:color w:val="000000"/>
          <w:sz w:val="28"/>
        </w:rPr>
        <w:t xml:space="preserve">1 </w:t>
      </w:r>
      <w:r>
        <w:rPr>
          <w:rFonts w:hint="default" w:ascii="宋体" w:hAnsi="宋体" w:eastAsia="宋体"/>
          <w:color w:val="000000"/>
          <w:sz w:val="28"/>
        </w:rPr>
        <w:t>环境风险筛选值可知，各项污染物指数均低于</w:t>
      </w:r>
      <w:r>
        <w:rPr>
          <w:rFonts w:hint="default" w:ascii="Times New Roman" w:hAnsi="Times New Roman" w:eastAsia="Times New Roman"/>
          <w:color w:val="000000"/>
          <w:sz w:val="28"/>
        </w:rPr>
        <w:t>1</w:t>
      </w:r>
      <w:r>
        <w:rPr>
          <w:rFonts w:hint="default" w:ascii="宋体" w:hAnsi="宋体" w:eastAsia="宋体"/>
          <w:color w:val="000000"/>
          <w:sz w:val="28"/>
        </w:rPr>
        <w:t>，满足相应标准二类用地筛选值的要求。</w:t>
      </w:r>
    </w:p>
    <w:p>
      <w:pPr>
        <w:rPr>
          <w:rFonts w:hint="default" w:ascii="宋体" w:hAnsi="宋体" w:eastAsia="宋体"/>
          <w:color w:val="000000"/>
          <w:sz w:val="28"/>
        </w:rPr>
      </w:pPr>
    </w:p>
    <w:p>
      <w:pPr>
        <w:rPr>
          <w:rFonts w:hint="default" w:ascii="宋体" w:hAnsi="宋体" w:eastAsia="宋体"/>
          <w:color w:val="000000"/>
          <w:sz w:val="28"/>
        </w:rPr>
        <w:sectPr>
          <w:pgSz w:w="16838" w:h="11906" w:orient="landscape"/>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bidi w:val="0"/>
        <w:rPr>
          <w:rFonts w:hint="default"/>
        </w:rPr>
      </w:pPr>
      <w:r>
        <w:rPr>
          <w:rFonts w:hint="eastAsia"/>
          <w:lang w:val="en-US" w:eastAsia="zh-CN"/>
        </w:rPr>
        <w:t>4.3</w:t>
      </w:r>
      <w:r>
        <w:rPr>
          <w:rFonts w:hint="default"/>
        </w:rPr>
        <w:t>.5地下水质量现状</w:t>
      </w:r>
    </w:p>
    <w:p>
      <w:pPr>
        <w:pStyle w:val="6"/>
        <w:bidi w:val="0"/>
        <w:rPr>
          <w:rFonts w:hint="default"/>
        </w:rPr>
      </w:pPr>
      <w:r>
        <w:rPr>
          <w:rFonts w:hint="eastAsia"/>
          <w:lang w:val="en-US" w:eastAsia="zh-CN"/>
        </w:rPr>
        <w:t>4.3</w:t>
      </w:r>
      <w:r>
        <w:rPr>
          <w:rFonts w:hint="default"/>
        </w:rPr>
        <w:t>.5.1监测布点及监测时间</w:t>
      </w:r>
    </w:p>
    <w:p>
      <w:pPr>
        <w:bidi w:val="0"/>
        <w:rPr>
          <w:rFonts w:hint="default"/>
        </w:rPr>
      </w:pPr>
      <w:r>
        <w:rPr>
          <w:rFonts w:hint="default"/>
        </w:rPr>
        <w:t>⑴布设地下水取样监测点位</w:t>
      </w:r>
      <w:r>
        <w:rPr>
          <w:rFonts w:hint="eastAsia"/>
          <w:lang w:val="en-US" w:eastAsia="zh-CN"/>
        </w:rPr>
        <w:t>6</w:t>
      </w:r>
      <w:r>
        <w:rPr>
          <w:rFonts w:hint="default"/>
        </w:rPr>
        <w:t>个，详见表</w:t>
      </w:r>
      <w:r>
        <w:rPr>
          <w:rFonts w:hint="eastAsia"/>
          <w:lang w:val="en-US" w:eastAsia="zh-CN"/>
        </w:rPr>
        <w:t>4.3.5-1</w:t>
      </w:r>
      <w:r>
        <w:rPr>
          <w:rFonts w:hint="default"/>
        </w:rPr>
        <w:t>及</w:t>
      </w:r>
      <w:r>
        <w:rPr>
          <w:rFonts w:hint="eastAsia"/>
          <w:lang w:eastAsia="zh-CN"/>
        </w:rPr>
        <w:t>附图</w:t>
      </w:r>
      <w:r>
        <w:rPr>
          <w:rFonts w:hint="default"/>
        </w:rPr>
        <w:t>。</w:t>
      </w:r>
    </w:p>
    <w:p>
      <w:pPr>
        <w:pStyle w:val="27"/>
        <w:bidi w:val="0"/>
        <w:rPr>
          <w:rFonts w:hint="default"/>
        </w:rPr>
      </w:pPr>
      <w:r>
        <w:rPr>
          <w:rFonts w:hint="default"/>
        </w:rPr>
        <w:t>表</w:t>
      </w:r>
      <w:r>
        <w:rPr>
          <w:rFonts w:hint="eastAsia"/>
          <w:lang w:val="en-US" w:eastAsia="zh-CN"/>
        </w:rPr>
        <w:t>4.3.5-1</w:t>
      </w:r>
      <w:r>
        <w:rPr>
          <w:rFonts w:hint="default"/>
        </w:rPr>
        <w:t>地下水监测点位表</w:t>
      </w:r>
    </w:p>
    <w:tbl>
      <w:tblPr>
        <w:tblStyle w:val="22"/>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015"/>
        <w:gridCol w:w="7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点位代码</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位置</w:t>
            </w:r>
          </w:p>
        </w:tc>
        <w:tc>
          <w:tcPr>
            <w:tcW w:w="7225"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D1</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厂址</w:t>
            </w:r>
          </w:p>
        </w:tc>
        <w:tc>
          <w:tcPr>
            <w:tcW w:w="7225" w:type="dxa"/>
            <w:vMerge w:val="restart"/>
            <w:vAlign w:val="center"/>
          </w:tcPr>
          <w:p>
            <w:pPr>
              <w:pStyle w:val="28"/>
              <w:suppressLineNumbers w:val="0"/>
              <w:bidi w:val="0"/>
              <w:spacing w:before="0" w:after="0"/>
              <w:ind w:left="0" w:right="0"/>
              <w:jc w:val="center"/>
              <w:rPr>
                <w:rFonts w:hint="default"/>
                <w:lang w:val="en-US" w:eastAsia="zh-CN"/>
              </w:rPr>
            </w:pPr>
            <w:r>
              <w:rPr>
                <w:rFonts w:hint="eastAsia"/>
                <w:lang w:eastAsia="zh-CN"/>
              </w:rPr>
              <w:t>水位、</w:t>
            </w:r>
            <w:r>
              <w:t>pH、K</w:t>
            </w:r>
            <w:r>
              <w:rPr>
                <w:vertAlign w:val="superscript"/>
              </w:rPr>
              <w:t>+</w:t>
            </w:r>
            <w:r>
              <w:rPr>
                <w:rFonts w:hint="eastAsia"/>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、氨氮、硝酸盐、亚硝酸盐、挥发酚、</w:t>
            </w:r>
            <w:r>
              <w:rPr>
                <w:rFonts w:hint="eastAsia"/>
                <w:color w:val="0000FF"/>
                <w:lang w:eastAsia="zh-CN"/>
              </w:rPr>
              <w:t>氰化物、</w:t>
            </w:r>
            <w:r>
              <w:t>砷、</w:t>
            </w:r>
            <w:r>
              <w:rPr>
                <w:rFonts w:hint="eastAsia"/>
                <w:lang w:eastAsia="zh-CN"/>
              </w:rPr>
              <w:t>氟、</w:t>
            </w:r>
            <w:r>
              <w:t>汞、六价铬、总硬度、高锰酸盐指数、总大肠菌群、</w:t>
            </w:r>
            <w:r>
              <w:rPr>
                <w:rFonts w:hint="eastAsia"/>
                <w:lang w:eastAsia="zh-CN"/>
              </w:rPr>
              <w:t>铅、</w:t>
            </w:r>
            <w:r>
              <w:t>镉、溶解性总固体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D2</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eastAsia="zh-CN"/>
              </w:rPr>
              <w:t>项目所在地上游</w:t>
            </w:r>
          </w:p>
        </w:tc>
        <w:tc>
          <w:tcPr>
            <w:tcW w:w="7225"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D3</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eastAsia="zh-CN"/>
              </w:rPr>
              <w:t>项目所在地下游</w:t>
            </w:r>
          </w:p>
        </w:tc>
        <w:tc>
          <w:tcPr>
            <w:tcW w:w="7225"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D4</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eastAsia="zh-CN"/>
              </w:rPr>
              <w:t>西丁旺村</w:t>
            </w:r>
          </w:p>
        </w:tc>
        <w:tc>
          <w:tcPr>
            <w:tcW w:w="7225" w:type="dxa"/>
            <w:vMerge w:val="restart"/>
            <w:vAlign w:val="center"/>
          </w:tcPr>
          <w:p>
            <w:pPr>
              <w:pStyle w:val="28"/>
              <w:suppressLineNumbers w:val="0"/>
              <w:bidi w:val="0"/>
              <w:spacing w:before="0" w:after="0"/>
              <w:ind w:left="0" w:right="0"/>
              <w:jc w:val="center"/>
              <w:rPr>
                <w:rFonts w:hint="default"/>
                <w:lang w:val="en-US" w:eastAsia="zh-CN"/>
              </w:rPr>
            </w:pPr>
            <w:r>
              <w:rPr>
                <w:rFonts w:hint="eastAsia"/>
                <w:lang w:eastAsia="zh-CN"/>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D5</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北辰村</w:t>
            </w:r>
          </w:p>
        </w:tc>
        <w:tc>
          <w:tcPr>
            <w:tcW w:w="7225" w:type="dxa"/>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D6</w:t>
            </w:r>
          </w:p>
        </w:tc>
        <w:tc>
          <w:tcPr>
            <w:tcW w:w="2015"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西丰墩村</w:t>
            </w:r>
          </w:p>
        </w:tc>
        <w:tc>
          <w:tcPr>
            <w:tcW w:w="7225" w:type="dxa"/>
            <w:vMerge w:val="continue"/>
            <w:vAlign w:val="center"/>
          </w:tcPr>
          <w:p>
            <w:pPr>
              <w:pStyle w:val="28"/>
              <w:suppressLineNumbers w:val="0"/>
              <w:bidi w:val="0"/>
              <w:spacing w:before="0" w:after="0"/>
              <w:ind w:left="0" w:right="0"/>
              <w:jc w:val="center"/>
              <w:outlineLvl w:val="9"/>
              <w:rPr>
                <w:rFonts w:hint="default"/>
                <w:lang w:val="en-US" w:eastAsia="zh-CN"/>
              </w:rPr>
            </w:pPr>
          </w:p>
        </w:tc>
      </w:tr>
    </w:tbl>
    <w:p>
      <w:pPr>
        <w:bidi w:val="0"/>
        <w:rPr>
          <w:rFonts w:hint="default"/>
        </w:rPr>
      </w:pPr>
      <w:r>
        <w:rPr>
          <w:rFonts w:hint="default"/>
        </w:rPr>
        <w:t>⑵监测时间及频次</w:t>
      </w:r>
    </w:p>
    <w:p>
      <w:pPr>
        <w:bidi w:val="0"/>
        <w:rPr>
          <w:rFonts w:hint="default"/>
        </w:rPr>
      </w:pPr>
      <w:r>
        <w:rPr>
          <w:rFonts w:hint="default"/>
        </w:rPr>
        <w:t>监测时间：</w:t>
      </w:r>
      <w:r>
        <w:rPr>
          <w:rFonts w:hint="eastAsia"/>
        </w:rPr>
        <w:t>20</w:t>
      </w:r>
      <w:r>
        <w:rPr>
          <w:rFonts w:hint="eastAsia"/>
          <w:lang w:val="en-US" w:eastAsia="zh-CN"/>
        </w:rPr>
        <w:t>20</w:t>
      </w:r>
      <w:r>
        <w:rPr>
          <w:rFonts w:hint="default"/>
        </w:rPr>
        <w:t>年</w:t>
      </w:r>
      <w:r>
        <w:rPr>
          <w:rFonts w:hint="eastAsia"/>
          <w:lang w:val="en-US" w:eastAsia="zh-CN"/>
        </w:rPr>
        <w:t>3</w:t>
      </w:r>
      <w:r>
        <w:rPr>
          <w:rFonts w:hint="default"/>
        </w:rPr>
        <w:t>月</w:t>
      </w:r>
      <w:r>
        <w:rPr>
          <w:rFonts w:hint="eastAsia"/>
          <w:lang w:val="en-US" w:eastAsia="zh-CN"/>
        </w:rPr>
        <w:t>24</w:t>
      </w:r>
      <w:r>
        <w:rPr>
          <w:rFonts w:hint="default"/>
        </w:rPr>
        <w:t>日，采样一次。</w:t>
      </w:r>
    </w:p>
    <w:p>
      <w:pPr>
        <w:bidi w:val="0"/>
        <w:rPr>
          <w:rFonts w:hint="default"/>
        </w:rPr>
      </w:pPr>
      <w:r>
        <w:rPr>
          <w:rFonts w:hint="default"/>
        </w:rPr>
        <w:t>⑶采样分析方法</w:t>
      </w:r>
    </w:p>
    <w:p>
      <w:pPr>
        <w:bidi w:val="0"/>
        <w:rPr>
          <w:rFonts w:hint="default"/>
        </w:rPr>
      </w:pPr>
      <w:r>
        <w:rPr>
          <w:rFonts w:hint="default"/>
        </w:rPr>
        <w:t>按照国家环保总局颁布的《环境监测技术规范》和《环境监测分析方法》有关规定和要求执行。</w:t>
      </w:r>
    </w:p>
    <w:p>
      <w:pPr>
        <w:pStyle w:val="6"/>
        <w:bidi w:val="0"/>
        <w:rPr>
          <w:rFonts w:hint="default"/>
        </w:rPr>
      </w:pPr>
      <w:r>
        <w:rPr>
          <w:rFonts w:hint="eastAsia"/>
          <w:lang w:val="en-US" w:eastAsia="zh-CN"/>
        </w:rPr>
        <w:t>4.3.5.2</w:t>
      </w:r>
      <w:r>
        <w:rPr>
          <w:rFonts w:hint="eastAsia"/>
        </w:rPr>
        <w:t xml:space="preserve"> </w:t>
      </w:r>
      <w:r>
        <w:rPr>
          <w:rFonts w:hint="default"/>
        </w:rPr>
        <w:t>监测结果及其评价</w:t>
      </w:r>
    </w:p>
    <w:p>
      <w:pPr>
        <w:bidi w:val="0"/>
        <w:rPr>
          <w:rFonts w:hint="default"/>
        </w:rPr>
      </w:pPr>
      <w:r>
        <w:rPr>
          <w:rFonts w:hint="default"/>
        </w:rPr>
        <w:t>水位监测数据详见表</w:t>
      </w:r>
      <w:r>
        <w:rPr>
          <w:rFonts w:hint="eastAsia"/>
          <w:lang w:val="en-US" w:eastAsia="zh-CN"/>
        </w:rPr>
        <w:t>4.3.5-2</w:t>
      </w:r>
      <w:r>
        <w:rPr>
          <w:rFonts w:hint="default"/>
        </w:rPr>
        <w:t>。</w:t>
      </w:r>
    </w:p>
    <w:p>
      <w:pPr>
        <w:pStyle w:val="27"/>
        <w:bidi w:val="0"/>
        <w:rPr>
          <w:rFonts w:hint="default"/>
        </w:rPr>
      </w:pPr>
      <w:r>
        <w:rPr>
          <w:rFonts w:hint="default"/>
        </w:rPr>
        <w:t>表</w:t>
      </w:r>
      <w:r>
        <w:rPr>
          <w:rFonts w:hint="eastAsia"/>
          <w:lang w:val="en-US" w:eastAsia="zh-CN"/>
        </w:rPr>
        <w:t>4.3.5-2</w:t>
      </w:r>
      <w:r>
        <w:rPr>
          <w:rFonts w:hint="eastAsia"/>
        </w:rPr>
        <w:t xml:space="preserve"> </w:t>
      </w:r>
      <w:r>
        <w:rPr>
          <w:rFonts w:hint="default"/>
        </w:rPr>
        <w:t>地下水水位监测情况表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2"/>
        <w:gridCol w:w="1992"/>
        <w:gridCol w:w="1993"/>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pStyle w:val="28"/>
              <w:suppressLineNumbers w:val="0"/>
              <w:bidi w:val="0"/>
              <w:spacing w:before="0" w:after="0"/>
              <w:ind w:left="0" w:right="0"/>
              <w:rPr>
                <w:rFonts w:hint="eastAsia" w:eastAsia="宋体"/>
                <w:lang w:eastAsia="zh-CN"/>
              </w:rPr>
            </w:pPr>
            <w:r>
              <w:rPr>
                <w:rFonts w:hint="eastAsia"/>
                <w:lang w:eastAsia="zh-CN"/>
              </w:rPr>
              <w:t>序号</w:t>
            </w:r>
          </w:p>
        </w:tc>
        <w:tc>
          <w:tcPr>
            <w:tcW w:w="1992" w:type="dxa"/>
          </w:tcPr>
          <w:p>
            <w:pPr>
              <w:pStyle w:val="28"/>
              <w:suppressLineNumbers w:val="0"/>
              <w:bidi w:val="0"/>
              <w:spacing w:before="0" w:after="0"/>
              <w:ind w:left="0" w:right="0"/>
              <w:rPr>
                <w:rFonts w:hint="eastAsia" w:eastAsia="宋体"/>
                <w:lang w:eastAsia="zh-CN"/>
              </w:rPr>
            </w:pPr>
            <w:r>
              <w:rPr>
                <w:rFonts w:hint="eastAsia"/>
                <w:lang w:eastAsia="zh-CN"/>
              </w:rPr>
              <w:t>监测点位</w:t>
            </w:r>
          </w:p>
        </w:tc>
        <w:tc>
          <w:tcPr>
            <w:tcW w:w="1992" w:type="dxa"/>
          </w:tcPr>
          <w:p>
            <w:pPr>
              <w:pStyle w:val="28"/>
              <w:suppressLineNumbers w:val="0"/>
              <w:bidi w:val="0"/>
              <w:spacing w:before="0" w:after="0"/>
              <w:ind w:left="0" w:right="0"/>
              <w:rPr>
                <w:rFonts w:hint="default" w:eastAsia="宋体"/>
                <w:lang w:val="en-US" w:eastAsia="zh-CN"/>
              </w:rPr>
            </w:pPr>
            <w:r>
              <w:rPr>
                <w:rFonts w:hint="eastAsia"/>
                <w:lang w:eastAsia="zh-CN"/>
              </w:rPr>
              <w:t>水位标高</w:t>
            </w:r>
            <w:r>
              <w:rPr>
                <w:rFonts w:hint="eastAsia"/>
                <w:lang w:val="en-US" w:eastAsia="zh-CN"/>
              </w:rPr>
              <w:t>m</w:t>
            </w:r>
          </w:p>
        </w:tc>
        <w:tc>
          <w:tcPr>
            <w:tcW w:w="1993" w:type="dxa"/>
          </w:tcPr>
          <w:p>
            <w:pPr>
              <w:pStyle w:val="28"/>
              <w:suppressLineNumbers w:val="0"/>
              <w:bidi w:val="0"/>
              <w:spacing w:before="0" w:after="0"/>
              <w:ind w:left="0" w:right="0"/>
              <w:rPr>
                <w:rFonts w:hint="default" w:eastAsia="宋体"/>
                <w:lang w:val="en-US" w:eastAsia="zh-CN"/>
              </w:rPr>
            </w:pPr>
            <w:r>
              <w:rPr>
                <w:rFonts w:hint="eastAsia"/>
                <w:lang w:eastAsia="zh-CN"/>
              </w:rPr>
              <w:t>埋深</w:t>
            </w:r>
            <w:r>
              <w:rPr>
                <w:rFonts w:hint="eastAsia"/>
                <w:lang w:val="en-US" w:eastAsia="zh-CN"/>
              </w:rPr>
              <w:t>m</w:t>
            </w:r>
          </w:p>
        </w:tc>
        <w:tc>
          <w:tcPr>
            <w:tcW w:w="1993" w:type="dxa"/>
          </w:tcPr>
          <w:p>
            <w:pPr>
              <w:pStyle w:val="28"/>
              <w:suppressLineNumbers w:val="0"/>
              <w:bidi w:val="0"/>
              <w:spacing w:before="0" w:after="0"/>
              <w:ind w:left="0" w:right="0"/>
              <w:rPr>
                <w:rFonts w:hint="eastAsia" w:eastAsia="宋体"/>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pStyle w:val="28"/>
              <w:suppressLineNumbers w:val="0"/>
              <w:bidi w:val="0"/>
              <w:spacing w:before="0" w:after="0"/>
              <w:ind w:left="0" w:right="0"/>
              <w:rPr>
                <w:rFonts w:hint="eastAsia" w:eastAsia="宋体"/>
                <w:lang w:val="en-US" w:eastAsia="zh-CN"/>
              </w:rPr>
            </w:pPr>
            <w:r>
              <w:rPr>
                <w:rFonts w:hint="eastAsia"/>
                <w:lang w:val="en-US" w:eastAsia="zh-CN"/>
              </w:rPr>
              <w:t>1</w:t>
            </w:r>
          </w:p>
        </w:tc>
        <w:tc>
          <w:tcPr>
            <w:tcW w:w="1992" w:type="dxa"/>
            <w:vAlign w:val="center"/>
          </w:tcPr>
          <w:p>
            <w:pPr>
              <w:pStyle w:val="28"/>
              <w:suppressLineNumbers w:val="0"/>
              <w:bidi w:val="0"/>
              <w:spacing w:before="0" w:after="0"/>
              <w:ind w:left="0" w:leftChars="0" w:right="0" w:rightChars="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eastAsia="zh-CN"/>
              </w:rPr>
              <w:t>项目所在地上游</w:t>
            </w:r>
            <w:r>
              <w:rPr>
                <w:rFonts w:hint="eastAsia"/>
                <w:lang w:val="en-US" w:eastAsia="zh-CN"/>
              </w:rPr>
              <w:t>D1</w:t>
            </w:r>
          </w:p>
        </w:tc>
        <w:tc>
          <w:tcPr>
            <w:tcW w:w="1992" w:type="dxa"/>
            <w:vAlign w:val="top"/>
          </w:tcPr>
          <w:p>
            <w:pPr>
              <w:pStyle w:val="28"/>
              <w:suppressLineNumbers w:val="0"/>
              <w:bidi w:val="0"/>
              <w:spacing w:before="0" w:after="0"/>
              <w:ind w:left="0" w:leftChars="0" w:right="0" w:rightChars="0" w:firstLine="0" w:firstLineChars="0"/>
              <w:outlineLvl w:val="9"/>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12.5</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0.5</w:t>
            </w:r>
          </w:p>
        </w:tc>
        <w:tc>
          <w:tcPr>
            <w:tcW w:w="1993" w:type="dxa"/>
            <w:vMerge w:val="restart"/>
          </w:tcPr>
          <w:p>
            <w:pPr>
              <w:pStyle w:val="28"/>
              <w:suppressLineNumbers w:val="0"/>
              <w:bidi w:val="0"/>
              <w:spacing w:before="0" w:after="0"/>
              <w:ind w:left="0" w:right="0"/>
              <w:rPr>
                <w:rFonts w:hint="eastAsia" w:eastAsia="宋体"/>
                <w:lang w:eastAsia="zh-CN"/>
              </w:rPr>
            </w:pPr>
            <w:r>
              <w:rPr>
                <w:rFonts w:hint="eastAsia"/>
                <w:lang w:eastAsia="zh-CN"/>
              </w:rPr>
              <w:t>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pPr>
              <w:pStyle w:val="28"/>
              <w:suppressLineNumbers w:val="0"/>
              <w:bidi w:val="0"/>
              <w:spacing w:before="0" w:after="0"/>
              <w:ind w:left="0" w:right="0"/>
              <w:rPr>
                <w:rFonts w:hint="default"/>
                <w:lang w:val="en-US" w:eastAsia="zh-CN"/>
              </w:rPr>
            </w:pPr>
            <w:r>
              <w:rPr>
                <w:rFonts w:hint="eastAsia"/>
                <w:lang w:val="en-US" w:eastAsia="zh-CN"/>
              </w:rPr>
              <w:t>2</w:t>
            </w:r>
          </w:p>
        </w:tc>
        <w:tc>
          <w:tcPr>
            <w:tcW w:w="1992" w:type="dxa"/>
            <w:vAlign w:val="center"/>
          </w:tcPr>
          <w:p>
            <w:pPr>
              <w:pStyle w:val="28"/>
              <w:suppressLineNumbers w:val="0"/>
              <w:bidi w:val="0"/>
              <w:spacing w:before="0" w:after="0"/>
              <w:ind w:left="0" w:right="0" w:firstLine="0" w:firstLineChars="0"/>
              <w:jc w:val="center"/>
              <w:rPr>
                <w:rFonts w:hint="default"/>
                <w:lang w:val="en-US" w:eastAsia="zh-CN"/>
              </w:rPr>
            </w:pPr>
            <w:r>
              <w:rPr>
                <w:rFonts w:hint="eastAsia"/>
                <w:lang w:val="en-US" w:eastAsia="zh-CN"/>
              </w:rPr>
              <w:t>厂址D2</w:t>
            </w:r>
          </w:p>
        </w:tc>
        <w:tc>
          <w:tcPr>
            <w:tcW w:w="1992"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12.4</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0.6</w:t>
            </w:r>
          </w:p>
        </w:tc>
        <w:tc>
          <w:tcPr>
            <w:tcW w:w="1993" w:type="dxa"/>
            <w:vMerge w:val="continue"/>
          </w:tcPr>
          <w:p>
            <w:pPr>
              <w:pStyle w:val="28"/>
              <w:suppressLineNumbers w:val="0"/>
              <w:bidi w:val="0"/>
              <w:spacing w:before="0" w:after="0"/>
              <w:ind w:left="0" w:right="0"/>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top"/>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eastAsia="zh-CN"/>
              </w:rPr>
              <w:t>项目所在地下游</w:t>
            </w:r>
            <w:r>
              <w:rPr>
                <w:rFonts w:hint="eastAsia"/>
                <w:lang w:val="en-US" w:eastAsia="zh-CN"/>
              </w:rPr>
              <w:t>D3</w:t>
            </w:r>
          </w:p>
        </w:tc>
        <w:tc>
          <w:tcPr>
            <w:tcW w:w="1992"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12.3</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0.6</w:t>
            </w:r>
          </w:p>
        </w:tc>
        <w:tc>
          <w:tcPr>
            <w:tcW w:w="1993" w:type="dxa"/>
            <w:vMerge w:val="continue"/>
          </w:tcPr>
          <w:p>
            <w:pPr>
              <w:pStyle w:val="28"/>
              <w:suppressLineNumbers w:val="0"/>
              <w:bidi w:val="0"/>
              <w:spacing w:before="0" w:after="0"/>
              <w:ind w:left="0" w:right="0"/>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top"/>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eastAsia="zh-CN"/>
              </w:rPr>
              <w:t>西丁旺村</w:t>
            </w:r>
            <w:r>
              <w:rPr>
                <w:rFonts w:hint="eastAsia"/>
                <w:lang w:val="en-US" w:eastAsia="zh-CN"/>
              </w:rPr>
              <w:t>D4</w:t>
            </w:r>
          </w:p>
        </w:tc>
        <w:tc>
          <w:tcPr>
            <w:tcW w:w="1992" w:type="dxa"/>
          </w:tcPr>
          <w:p>
            <w:pPr>
              <w:pStyle w:val="28"/>
              <w:suppressLineNumbers w:val="0"/>
              <w:bidi w:val="0"/>
              <w:spacing w:before="0" w:after="0"/>
              <w:ind w:left="0" w:right="0"/>
              <w:outlineLvl w:val="9"/>
              <w:rPr>
                <w:rFonts w:hint="eastAsia" w:eastAsia="宋体"/>
                <w:lang w:val="en-US" w:eastAsia="zh-CN"/>
              </w:rPr>
            </w:pPr>
            <w:r>
              <w:rPr>
                <w:rFonts w:hint="eastAsia"/>
                <w:lang w:val="en-US" w:eastAsia="zh-CN"/>
              </w:rPr>
              <w:t>/</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2.0</w:t>
            </w:r>
          </w:p>
        </w:tc>
        <w:tc>
          <w:tcPr>
            <w:tcW w:w="1993" w:type="dxa"/>
            <w:vMerge w:val="continue"/>
          </w:tcPr>
          <w:p>
            <w:pPr>
              <w:pStyle w:val="28"/>
              <w:suppressLineNumbers w:val="0"/>
              <w:bidi w:val="0"/>
              <w:spacing w:before="0" w:after="0"/>
              <w:ind w:left="0" w:right="0"/>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top"/>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北辰村D5</w:t>
            </w:r>
          </w:p>
        </w:tc>
        <w:tc>
          <w:tcPr>
            <w:tcW w:w="1992" w:type="dxa"/>
          </w:tcPr>
          <w:p>
            <w:pPr>
              <w:pStyle w:val="28"/>
              <w:suppressLineNumbers w:val="0"/>
              <w:bidi w:val="0"/>
              <w:spacing w:before="0" w:after="0"/>
              <w:ind w:left="0" w:right="0"/>
              <w:outlineLvl w:val="9"/>
              <w:rPr>
                <w:rFonts w:hint="eastAsia" w:eastAsia="宋体"/>
                <w:lang w:val="en-US" w:eastAsia="zh-CN"/>
              </w:rPr>
            </w:pPr>
            <w:r>
              <w:rPr>
                <w:rFonts w:hint="eastAsia"/>
                <w:lang w:val="en-US" w:eastAsia="zh-CN"/>
              </w:rPr>
              <w:t>/</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1.6</w:t>
            </w:r>
          </w:p>
        </w:tc>
        <w:tc>
          <w:tcPr>
            <w:tcW w:w="1993" w:type="dxa"/>
            <w:vMerge w:val="continue"/>
          </w:tcPr>
          <w:p>
            <w:pPr>
              <w:pStyle w:val="28"/>
              <w:suppressLineNumbers w:val="0"/>
              <w:bidi w:val="0"/>
              <w:spacing w:before="0" w:after="0"/>
              <w:ind w:left="0" w:right="0"/>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vAlign w:val="top"/>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西丰墩村D6</w:t>
            </w:r>
          </w:p>
        </w:tc>
        <w:tc>
          <w:tcPr>
            <w:tcW w:w="1992" w:type="dxa"/>
          </w:tcPr>
          <w:p>
            <w:pPr>
              <w:pStyle w:val="28"/>
              <w:suppressLineNumbers w:val="0"/>
              <w:bidi w:val="0"/>
              <w:spacing w:before="0" w:after="0"/>
              <w:ind w:left="0" w:right="0"/>
              <w:outlineLvl w:val="9"/>
              <w:rPr>
                <w:rFonts w:hint="eastAsia" w:eastAsia="宋体"/>
                <w:lang w:val="en-US" w:eastAsia="zh-CN"/>
              </w:rPr>
            </w:pPr>
            <w:r>
              <w:rPr>
                <w:rFonts w:hint="eastAsia"/>
                <w:lang w:val="en-US" w:eastAsia="zh-CN"/>
              </w:rPr>
              <w:t>/</w:t>
            </w:r>
          </w:p>
        </w:tc>
        <w:tc>
          <w:tcPr>
            <w:tcW w:w="1993" w:type="dxa"/>
          </w:tcPr>
          <w:p>
            <w:pPr>
              <w:pStyle w:val="28"/>
              <w:suppressLineNumbers w:val="0"/>
              <w:bidi w:val="0"/>
              <w:spacing w:before="0" w:after="0"/>
              <w:ind w:left="0" w:right="0"/>
              <w:outlineLvl w:val="9"/>
              <w:rPr>
                <w:rFonts w:hint="default" w:eastAsia="宋体"/>
                <w:lang w:val="en-US" w:eastAsia="zh-CN"/>
              </w:rPr>
            </w:pPr>
            <w:r>
              <w:rPr>
                <w:rFonts w:hint="eastAsia"/>
                <w:lang w:val="en-US" w:eastAsia="zh-CN"/>
              </w:rPr>
              <w:t>0.5</w:t>
            </w:r>
          </w:p>
        </w:tc>
        <w:tc>
          <w:tcPr>
            <w:tcW w:w="1993" w:type="dxa"/>
            <w:vMerge w:val="continue"/>
          </w:tcPr>
          <w:p>
            <w:pPr>
              <w:pStyle w:val="28"/>
              <w:suppressLineNumbers w:val="0"/>
              <w:bidi w:val="0"/>
              <w:spacing w:before="0" w:after="0"/>
              <w:ind w:left="0" w:right="0"/>
              <w:outlineLvl w:val="9"/>
              <w:rPr>
                <w:rFonts w:hint="default"/>
              </w:rPr>
            </w:pPr>
          </w:p>
        </w:tc>
      </w:tr>
    </w:tbl>
    <w:p>
      <w:pPr>
        <w:bidi w:val="0"/>
        <w:rPr>
          <w:rFonts w:hint="default"/>
        </w:rPr>
      </w:pPr>
      <w:r>
        <w:rPr>
          <w:rFonts w:hint="default" w:ascii="宋体" w:hAnsi="宋体" w:eastAsia="宋体"/>
          <w:color w:val="000000"/>
          <w:sz w:val="28"/>
        </w:rPr>
        <w:t>根据地下水监测结果，对照《地下水质量标准》</w:t>
      </w:r>
      <w:r>
        <w:rPr>
          <w:rFonts w:hint="default" w:ascii="Times New Roman" w:hAnsi="Times New Roman" w:eastAsia="Times New Roman"/>
          <w:color w:val="000000"/>
          <w:sz w:val="28"/>
        </w:rPr>
        <w:t>(GB14848-2017)</w:t>
      </w:r>
      <w:r>
        <w:rPr>
          <w:rFonts w:hint="default" w:ascii="宋体" w:hAnsi="宋体" w:eastAsia="宋体"/>
          <w:color w:val="000000"/>
          <w:sz w:val="28"/>
        </w:rPr>
        <w:t>进行分类评价，其分类情况见表</w:t>
      </w:r>
      <w:r>
        <w:rPr>
          <w:rFonts w:hint="eastAsia" w:ascii="Times New Roman" w:hAnsi="Times New Roman"/>
          <w:color w:val="000000"/>
          <w:sz w:val="28"/>
          <w:lang w:val="en-US" w:eastAsia="zh-CN"/>
        </w:rPr>
        <w:t>4.3.5-</w:t>
      </w:r>
      <w:r>
        <w:rPr>
          <w:rFonts w:hint="eastAsia"/>
          <w:color w:val="000000"/>
          <w:sz w:val="28"/>
          <w:lang w:val="en-US" w:eastAsia="zh-CN"/>
        </w:rPr>
        <w:t>3</w:t>
      </w:r>
      <w:r>
        <w:rPr>
          <w:rFonts w:hint="default" w:ascii="宋体" w:hAnsi="宋体" w:eastAsia="宋体"/>
          <w:color w:val="000000"/>
          <w:sz w:val="28"/>
        </w:rPr>
        <w:t>。</w:t>
      </w:r>
    </w:p>
    <w:p>
      <w:pPr>
        <w:pStyle w:val="27"/>
        <w:bidi w:val="0"/>
        <w:rPr>
          <w:rFonts w:hint="default"/>
        </w:rPr>
      </w:pPr>
      <w:r>
        <w:rPr>
          <w:rFonts w:hint="default"/>
        </w:rPr>
        <w:t>表</w:t>
      </w:r>
      <w:r>
        <w:rPr>
          <w:rFonts w:hint="eastAsia"/>
          <w:lang w:val="en-US" w:eastAsia="zh-CN"/>
        </w:rPr>
        <w:t>4.3.5-3</w:t>
      </w:r>
      <w:r>
        <w:rPr>
          <w:rFonts w:hint="eastAsia"/>
        </w:rPr>
        <w:t xml:space="preserve"> </w:t>
      </w:r>
      <w:r>
        <w:rPr>
          <w:rFonts w:hint="default"/>
        </w:rPr>
        <w:t>地下水</w:t>
      </w:r>
      <w:r>
        <w:rPr>
          <w:rFonts w:hint="eastAsia"/>
          <w:lang w:eastAsia="zh-CN"/>
        </w:rPr>
        <w:t>水质</w:t>
      </w:r>
      <w:r>
        <w:rPr>
          <w:rFonts w:hint="default"/>
        </w:rPr>
        <w:t>监测情况表</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5"/>
        <w:gridCol w:w="2190"/>
        <w:gridCol w:w="2190"/>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Merge w:val="restart"/>
            <w:vAlign w:val="center"/>
            <mc:AlternateContent>
              <mc:Choice Requires="wpsCustomData">
                <wpsCustomData:diagonals>
                  <wpsCustomData:diagonal from="30000" to="10000">
                    <wpsCustomData:border w:val="single" w:color="auto" w:sz="4" w:space="0"/>
                  </wpsCustomData:diagonal>
                </wpsCustomData:diagonals>
              </mc:Choice>
            </mc:AlternateContent>
          </w:tcPr>
          <w:p>
            <w:pPr>
              <w:pStyle w:val="28"/>
              <w:suppressLineNumbers w:val="0"/>
              <w:bidi w:val="0"/>
              <w:snapToGrid w:val="0"/>
              <w:spacing w:before="0" w:after="0" w:line="240" w:lineRule="auto"/>
              <w:ind w:left="0" w:right="0"/>
              <w:jc w:val="center"/>
              <mc:AlternateContent>
                <mc:Choice Requires="wpsCustomData">
                  <wpsCustomData:diagonalParaType/>
                </mc:Choice>
              </mc:AlternateContent>
              <w:rPr>
                <w:rFonts w:hint="eastAsia" w:eastAsia="宋体"/>
                <w:lang w:eastAsia="zh-CN"/>
              </w:rPr>
            </w:pPr>
            <w:r>
              <w:rPr>
                <w:rFonts w:hint="eastAsia"/>
                <w:lang w:eastAsia="zh-CN"/>
              </w:rPr>
              <w:t>监测项目</w:t>
            </w:r>
          </w:p>
          <w:p>
            <w:pPr>
              <w:pStyle w:val="28"/>
              <w:suppressLineNumbers w:val="0"/>
              <w:bidi w:val="0"/>
              <w:spacing w:before="0" w:after="0"/>
              <w:ind w:left="0" w:right="0"/>
              <w:jc w:val="center"/>
              <w:rPr>
                <w:rFonts w:hint="eastAsia" w:eastAsia="宋体"/>
                <w:lang w:eastAsia="zh-CN"/>
              </w:rPr>
            </w:pPr>
            <w:r>
              <w:rPr>
                <w:rFonts w:hint="eastAsia"/>
                <w:lang w:eastAsia="zh-CN"/>
              </w:rPr>
              <w:t>监测点</w:t>
            </w:r>
          </w:p>
        </w:tc>
        <w:tc>
          <w:tcPr>
            <w:tcW w:w="1100"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D1</w:t>
            </w:r>
          </w:p>
        </w:tc>
        <w:tc>
          <w:tcPr>
            <w:tcW w:w="1100"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D2</w:t>
            </w:r>
          </w:p>
        </w:tc>
        <w:tc>
          <w:tcPr>
            <w:tcW w:w="1103"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95" w:type="pct"/>
            <w:vMerge w:val="continue"/>
            <w:vAlign w:val="center"/>
          </w:tcPr>
          <w:p>
            <w:pPr>
              <w:pStyle w:val="28"/>
              <w:suppressLineNumbers w:val="0"/>
              <w:bidi w:val="0"/>
              <w:spacing w:before="0" w:after="0"/>
              <w:ind w:left="0" w:right="0"/>
              <w:jc w:val="center"/>
              <w:outlineLvl w:val="9"/>
              <w:rPr>
                <w:rFonts w:hint="default"/>
              </w:rPr>
            </w:pPr>
          </w:p>
        </w:tc>
        <w:tc>
          <w:tcPr>
            <w:tcW w:w="3304" w:type="pct"/>
            <w:gridSpan w:val="3"/>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监测结果（</w:t>
            </w:r>
            <w:r>
              <w:rPr>
                <w:rFonts w:hint="eastAsia"/>
                <w:lang w:val="en-US" w:eastAsia="zh-CN"/>
              </w:rPr>
              <w:t>mg/L、pH除外</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pH</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7.74</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7.69</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溶解性总固体</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1.02</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927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1.06</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Cl</w:t>
            </w:r>
            <w:r>
              <w:rPr>
                <w:rFonts w:ascii="Times New Roman" w:hAnsi="Times New Roman" w:eastAsia="宋体"/>
                <w:color w:val="auto"/>
                <w:sz w:val="21"/>
                <w:szCs w:val="21"/>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286</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237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olor w:val="auto"/>
                <w:sz w:val="21"/>
                <w:szCs w:val="21"/>
                <w:lang w:val="en-US" w:eastAsia="zh-CN"/>
              </w:rPr>
            </w:pPr>
            <w:r>
              <w:rPr>
                <w:rFonts w:ascii="Times New Roman" w:hAnsi="Times New Roman" w:eastAsia="宋体"/>
                <w:color w:val="auto"/>
                <w:sz w:val="21"/>
                <w:szCs w:val="21"/>
              </w:rPr>
              <w:t>HCO</w:t>
            </w:r>
            <w:r>
              <w:rPr>
                <w:rFonts w:ascii="Times New Roman" w:hAnsi="Times New Roman" w:eastAsia="宋体"/>
                <w:color w:val="auto"/>
                <w:sz w:val="21"/>
                <w:szCs w:val="21"/>
                <w:vertAlign w:val="subscript"/>
              </w:rPr>
              <w:t>3</w:t>
            </w:r>
            <w:r>
              <w:rPr>
                <w:rFonts w:ascii="Times New Roman" w:hAnsi="Times New Roman" w:eastAsia="宋体"/>
                <w:color w:val="auto"/>
                <w:sz w:val="21"/>
                <w:szCs w:val="21"/>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8.96</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9.96</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CO</w:t>
            </w:r>
            <w:r>
              <w:rPr>
                <w:rFonts w:ascii="Times New Roman" w:hAnsi="Times New Roman" w:eastAsia="宋体"/>
                <w:color w:val="auto"/>
                <w:sz w:val="21"/>
                <w:szCs w:val="21"/>
                <w:vertAlign w:val="subscript"/>
              </w:rPr>
              <w:t>3</w:t>
            </w:r>
            <w:r>
              <w:rPr>
                <w:rFonts w:ascii="Times New Roman" w:hAnsi="Times New Roman" w:eastAsia="宋体"/>
                <w:color w:val="auto"/>
                <w:sz w:val="21"/>
                <w:szCs w:val="21"/>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0.03</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0.03</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Ca</w:t>
            </w:r>
            <w:r>
              <w:rPr>
                <w:rFonts w:ascii="Times New Roman" w:hAnsi="Times New Roman" w:eastAsia="宋体"/>
                <w:color w:val="auto"/>
                <w:sz w:val="21"/>
                <w:szCs w:val="21"/>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204</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198</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Mg</w:t>
            </w:r>
            <w:r>
              <w:rPr>
                <w:rFonts w:ascii="Times New Roman" w:hAnsi="Times New Roman" w:eastAsia="宋体"/>
                <w:color w:val="auto"/>
                <w:sz w:val="21"/>
                <w:szCs w:val="21"/>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27.4</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23.7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jc w:val="center"/>
              <w:rPr>
                <w:rFonts w:hint="default"/>
                <w:color w:val="auto"/>
              </w:rPr>
            </w:pPr>
            <w:r>
              <w:rPr>
                <w:rFonts w:ascii="Times New Roman" w:hAnsi="Times New Roman" w:eastAsia="宋体"/>
                <w:color w:val="auto"/>
                <w:sz w:val="21"/>
                <w:szCs w:val="21"/>
              </w:rPr>
              <w:t>Na</w:t>
            </w:r>
            <w:r>
              <w:rPr>
                <w:rFonts w:ascii="Times New Roman" w:hAnsi="Times New Roman" w:eastAsia="宋体"/>
                <w:color w:val="auto"/>
                <w:sz w:val="21"/>
                <w:szCs w:val="21"/>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64.2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72.7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SO</w:t>
            </w:r>
            <w:r>
              <w:rPr>
                <w:rFonts w:ascii="Times New Roman" w:hAnsi="Times New Roman" w:eastAsia="宋体"/>
                <w:color w:val="auto"/>
                <w:sz w:val="21"/>
                <w:szCs w:val="21"/>
                <w:vertAlign w:val="subscript"/>
              </w:rPr>
              <w:t>4</w:t>
            </w:r>
            <w:r>
              <w:rPr>
                <w:rFonts w:ascii="Times New Roman" w:hAnsi="Times New Roman" w:eastAsia="宋体"/>
                <w:color w:val="auto"/>
                <w:sz w:val="21"/>
                <w:szCs w:val="21"/>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192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147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氨氮</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0.181</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0.061</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硝酸盐</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0.86</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1.97</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亚硝酸盐</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0.013</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0.010</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挥发酚</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0.001</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0.002</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砷</w:t>
            </w:r>
          </w:p>
        </w:tc>
        <w:tc>
          <w:tcPr>
            <w:tcW w:w="1100" w:type="pct"/>
            <w:vAlign w:val="center"/>
          </w:tcPr>
          <w:p>
            <w:pPr>
              <w:pStyle w:val="28"/>
              <w:suppressLineNumbers w:val="0"/>
              <w:bidi w:val="0"/>
              <w:spacing w:before="0" w:after="0"/>
              <w:ind w:left="0" w:right="0"/>
              <w:jc w:val="center"/>
              <w:outlineLvl w:val="9"/>
              <w:rPr>
                <w:rFonts w:hint="default"/>
                <w:lang w:val="en-US"/>
              </w:rPr>
            </w:pPr>
            <w:r>
              <w:rPr>
                <w:rFonts w:hint="default" w:ascii="Times New Roman" w:hAnsi="Times New Roman" w:eastAsia="宋体"/>
                <w:color w:val="auto"/>
                <w:sz w:val="21"/>
                <w:szCs w:val="21"/>
                <w:lang w:val="en-US" w:eastAsia="zh-CN"/>
              </w:rPr>
              <w:t>&lt;</w:t>
            </w:r>
            <w:r>
              <w:rPr>
                <w:rFonts w:hint="eastAsia" w:ascii="Times New Roman" w:hAnsi="Times New Roman" w:eastAsia="宋体"/>
                <w:color w:val="auto"/>
                <w:sz w:val="21"/>
                <w:szCs w:val="21"/>
                <w:lang w:val="en-US" w:eastAsia="zh-CN"/>
              </w:rPr>
              <w:t>0</w:t>
            </w:r>
            <w:r>
              <w:rPr>
                <w:rFonts w:hint="eastAsia"/>
                <w:color w:val="auto"/>
                <w:sz w:val="21"/>
                <w:szCs w:val="21"/>
                <w:lang w:val="en-US" w:eastAsia="zh-CN"/>
              </w:rPr>
              <w:t>.0003</w:t>
            </w:r>
          </w:p>
        </w:tc>
        <w:tc>
          <w:tcPr>
            <w:tcW w:w="1100"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ascii="Times New Roman" w:hAnsi="Times New Roman" w:eastAsia="宋体"/>
                <w:color w:val="auto"/>
                <w:sz w:val="21"/>
                <w:szCs w:val="21"/>
                <w:lang w:val="en-US" w:eastAsia="zh-CN"/>
              </w:rPr>
              <w:t>0</w:t>
            </w:r>
            <w:r>
              <w:rPr>
                <w:rFonts w:hint="eastAsia"/>
                <w:color w:val="auto"/>
                <w:sz w:val="21"/>
                <w:szCs w:val="21"/>
                <w:lang w:val="en-US" w:eastAsia="zh-CN"/>
              </w:rPr>
              <w:t>.0003</w:t>
            </w:r>
          </w:p>
        </w:tc>
        <w:tc>
          <w:tcPr>
            <w:tcW w:w="1103"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ascii="Times New Roman" w:hAnsi="Times New Roman" w:eastAsia="宋体"/>
                <w:color w:val="auto"/>
                <w:sz w:val="21"/>
                <w:szCs w:val="21"/>
                <w:lang w:val="en-US" w:eastAsia="zh-CN"/>
              </w:rPr>
              <w:t>0</w:t>
            </w:r>
            <w:r>
              <w:rPr>
                <w:rFonts w:hint="eastAsia"/>
                <w:color w:val="auto"/>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hint="eastAsia" w:ascii="Times New Roman" w:hAnsi="Times New Roman" w:eastAsia="宋体"/>
                <w:color w:val="auto"/>
                <w:sz w:val="21"/>
                <w:szCs w:val="21"/>
                <w:lang w:eastAsia="zh-CN"/>
              </w:rPr>
              <w:t>氟</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0.42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0.44</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lang w:val="en-US" w:eastAsia="zh-CN" w:bidi="ar-SA"/>
              </w:rPr>
            </w:pPr>
            <w:r>
              <w:rPr>
                <w:rFonts w:ascii="Times New Roman" w:hAnsi="Times New Roman" w:eastAsia="宋体"/>
                <w:color w:val="auto"/>
                <w:sz w:val="21"/>
                <w:szCs w:val="21"/>
              </w:rPr>
              <w:t>汞</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default" w:ascii="Times New Roman" w:hAnsi="Times New Roman" w:eastAsia="宋体"/>
                <w:color w:val="auto"/>
                <w:sz w:val="21"/>
                <w:szCs w:val="21"/>
                <w:lang w:val="en-US" w:eastAsia="zh-CN"/>
              </w:rPr>
              <w:t>&lt;</w:t>
            </w:r>
            <w:r>
              <w:rPr>
                <w:rFonts w:hint="eastAsia" w:ascii="Times New Roman" w:hAnsi="Times New Roman" w:eastAsia="宋体"/>
                <w:color w:val="auto"/>
                <w:sz w:val="21"/>
                <w:szCs w:val="21"/>
                <w:lang w:val="en-US" w:eastAsia="zh-CN"/>
              </w:rPr>
              <w:t>0.</w:t>
            </w:r>
            <w:r>
              <w:rPr>
                <w:rFonts w:hint="eastAsia"/>
                <w:color w:val="auto"/>
                <w:sz w:val="21"/>
                <w:szCs w:val="21"/>
                <w:lang w:val="en-US" w:eastAsia="zh-CN"/>
              </w:rPr>
              <w:t>000</w:t>
            </w:r>
            <w:r>
              <w:rPr>
                <w:rFonts w:hint="eastAsia" w:ascii="Times New Roman" w:hAnsi="Times New Roman" w:eastAsia="宋体"/>
                <w:color w:val="auto"/>
                <w:sz w:val="21"/>
                <w:szCs w:val="21"/>
                <w:lang w:val="en-US" w:eastAsia="zh-CN"/>
              </w:rPr>
              <w:t>04</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default" w:ascii="Times New Roman" w:hAnsi="Times New Roman" w:eastAsia="宋体"/>
                <w:color w:val="auto"/>
                <w:sz w:val="21"/>
                <w:szCs w:val="21"/>
                <w:lang w:val="en-US" w:eastAsia="zh-CN"/>
              </w:rPr>
              <w:t>&lt;</w:t>
            </w:r>
            <w:r>
              <w:rPr>
                <w:rFonts w:hint="eastAsia"/>
                <w:lang w:val="en-US" w:eastAsia="zh-CN"/>
              </w:rPr>
              <w:t>0.00004</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default" w:ascii="Times New Roman" w:hAnsi="Times New Roman" w:eastAsia="宋体"/>
                <w:color w:val="auto"/>
                <w:sz w:val="21"/>
                <w:szCs w:val="21"/>
                <w:lang w:val="en-US" w:eastAsia="zh-CN"/>
              </w:rPr>
              <w:t>&lt;</w:t>
            </w:r>
            <w:r>
              <w:rPr>
                <w:rFonts w:hint="eastAsia"/>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六价铬</w:t>
            </w:r>
          </w:p>
        </w:tc>
        <w:tc>
          <w:tcPr>
            <w:tcW w:w="1100" w:type="pct"/>
            <w:vAlign w:val="center"/>
          </w:tcPr>
          <w:p>
            <w:pPr>
              <w:pStyle w:val="28"/>
              <w:suppressLineNumbers w:val="0"/>
              <w:bidi w:val="0"/>
              <w:spacing w:before="0" w:after="0"/>
              <w:ind w:left="0" w:right="0"/>
              <w:jc w:val="center"/>
              <w:outlineLvl w:val="9"/>
              <w:rPr>
                <w:rFonts w:hint="default"/>
                <w:lang w:val="en-US"/>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0.004</w:t>
            </w:r>
          </w:p>
        </w:tc>
        <w:tc>
          <w:tcPr>
            <w:tcW w:w="1100"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0.004</w:t>
            </w:r>
          </w:p>
        </w:tc>
        <w:tc>
          <w:tcPr>
            <w:tcW w:w="1103"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总硬度</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654</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658</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高锰酸盐指数</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0.92</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1.44</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总大肠菌群</w:t>
            </w:r>
          </w:p>
        </w:tc>
        <w:tc>
          <w:tcPr>
            <w:tcW w:w="1100" w:type="pct"/>
            <w:vAlign w:val="center"/>
          </w:tcPr>
          <w:p>
            <w:pPr>
              <w:pStyle w:val="28"/>
              <w:suppressLineNumbers w:val="0"/>
              <w:bidi w:val="0"/>
              <w:spacing w:before="0" w:after="0"/>
              <w:ind w:left="0" w:right="0"/>
              <w:jc w:val="center"/>
              <w:outlineLvl w:val="9"/>
              <w:rPr>
                <w:rFonts w:hint="eastAsia" w:eastAsia="宋体"/>
                <w:lang w:val="en-US" w:eastAsia="zh-CN"/>
              </w:rPr>
            </w:pPr>
            <w:r>
              <w:rPr>
                <w:rFonts w:hint="default" w:ascii="Times New Roman" w:hAnsi="Times New Roman" w:eastAsia="宋体"/>
                <w:color w:val="auto"/>
                <w:sz w:val="21"/>
                <w:szCs w:val="21"/>
                <w:lang w:val="en-US" w:eastAsia="zh-CN"/>
              </w:rPr>
              <w:t>&lt;</w:t>
            </w:r>
            <w:r>
              <w:rPr>
                <w:rFonts w:hint="eastAsia"/>
                <w:lang w:val="en-US" w:eastAsia="zh-CN"/>
              </w:rPr>
              <w:t>2</w:t>
            </w:r>
          </w:p>
        </w:tc>
        <w:tc>
          <w:tcPr>
            <w:tcW w:w="1100"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lang w:val="en-US" w:eastAsia="zh-CN"/>
              </w:rPr>
              <w:t>2</w:t>
            </w:r>
          </w:p>
        </w:tc>
        <w:tc>
          <w:tcPr>
            <w:tcW w:w="1103"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铅</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0.00475</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0.00246</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0.00234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镉</w:t>
            </w:r>
          </w:p>
        </w:tc>
        <w:tc>
          <w:tcPr>
            <w:tcW w:w="1100" w:type="pct"/>
            <w:vAlign w:val="center"/>
          </w:tcPr>
          <w:p>
            <w:pPr>
              <w:pStyle w:val="28"/>
              <w:suppressLineNumbers w:val="0"/>
              <w:bidi w:val="0"/>
              <w:spacing w:before="0" w:after="0"/>
              <w:ind w:left="0" w:right="0"/>
              <w:jc w:val="center"/>
              <w:outlineLvl w:val="9"/>
              <w:rPr>
                <w:rFonts w:hint="default"/>
                <w:lang w:val="en-US"/>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0.00010</w:t>
            </w:r>
          </w:p>
        </w:tc>
        <w:tc>
          <w:tcPr>
            <w:tcW w:w="1100"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0.00010</w:t>
            </w:r>
          </w:p>
        </w:tc>
        <w:tc>
          <w:tcPr>
            <w:tcW w:w="1103" w:type="pct"/>
            <w:vAlign w:val="center"/>
          </w:tcPr>
          <w:p>
            <w:pPr>
              <w:pStyle w:val="28"/>
              <w:suppressLineNumbers w:val="0"/>
              <w:bidi w:val="0"/>
              <w:spacing w:before="0" w:after="0"/>
              <w:ind w:left="0" w:right="0"/>
              <w:jc w:val="center"/>
              <w:outlineLvl w:val="9"/>
              <w:rPr>
                <w:rFonts w:hint="default"/>
              </w:rPr>
            </w:pPr>
            <w:r>
              <w:rPr>
                <w:rFonts w:hint="default" w:ascii="Times New Roman" w:hAnsi="Times New Roman" w:eastAsia="宋体"/>
                <w:color w:val="auto"/>
                <w:sz w:val="21"/>
                <w:szCs w:val="21"/>
                <w:lang w:val="en-US" w:eastAsia="zh-CN"/>
              </w:rPr>
              <w:t>&lt;</w:t>
            </w:r>
            <w:r>
              <w:rPr>
                <w:rFonts w:hint="eastAsia"/>
                <w:color w:val="auto"/>
                <w:sz w:val="21"/>
                <w:szCs w:val="21"/>
                <w:lang w:val="en-US" w:eastAsia="zh-CN"/>
              </w:rPr>
              <w:t>0.00010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K</w:t>
            </w:r>
            <w:r>
              <w:rPr>
                <w:rFonts w:ascii="Times New Roman" w:hAnsi="Times New Roman" w:eastAsia="宋体"/>
                <w:color w:val="auto"/>
                <w:sz w:val="21"/>
                <w:szCs w:val="21"/>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0.90</w:t>
            </w:r>
          </w:p>
        </w:tc>
        <w:tc>
          <w:tcPr>
            <w:tcW w:w="1100"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1.28</w:t>
            </w:r>
          </w:p>
        </w:tc>
        <w:tc>
          <w:tcPr>
            <w:tcW w:w="1103" w:type="pct"/>
            <w:vAlign w:val="center"/>
          </w:tcPr>
          <w:p>
            <w:pPr>
              <w:pStyle w:val="28"/>
              <w:suppressLineNumbers w:val="0"/>
              <w:bidi w:val="0"/>
              <w:spacing w:before="0" w:after="0"/>
              <w:ind w:left="0" w:right="0"/>
              <w:jc w:val="center"/>
              <w:outlineLvl w:val="9"/>
              <w:rPr>
                <w:rFonts w:hint="default" w:eastAsia="宋体"/>
                <w:lang w:val="en-US" w:eastAsia="zh-CN"/>
              </w:rPr>
            </w:pPr>
            <w:r>
              <w:rPr>
                <w:rFonts w:hint="eastAsia"/>
                <w:lang w:val="en-US" w:eastAsia="zh-CN"/>
              </w:rPr>
              <w:t>0.62</w:t>
            </w:r>
          </w:p>
        </w:tc>
      </w:tr>
    </w:tbl>
    <w:p>
      <w:pPr>
        <w:bidi w:val="0"/>
        <w:rPr>
          <w:rFonts w:hint="default"/>
        </w:rPr>
      </w:pPr>
      <w:r>
        <w:rPr>
          <w:rFonts w:hint="default"/>
        </w:rPr>
        <w:t>根据地下水监测结果，对照《地下水质量标准》(GB/T14848-2017)进行分类评价，其分类情况见表</w:t>
      </w:r>
      <w:r>
        <w:rPr>
          <w:rFonts w:hint="eastAsia"/>
          <w:lang w:val="en-US" w:eastAsia="zh-CN"/>
        </w:rPr>
        <w:t>4.3.5-4</w:t>
      </w:r>
      <w:r>
        <w:rPr>
          <w:rFonts w:hint="default"/>
        </w:rPr>
        <w:t>。</w:t>
      </w:r>
    </w:p>
    <w:p>
      <w:pPr>
        <w:pStyle w:val="27"/>
        <w:bidi w:val="0"/>
        <w:rPr>
          <w:rFonts w:hint="default"/>
        </w:rPr>
      </w:pPr>
      <w:r>
        <w:rPr>
          <w:rFonts w:hint="default"/>
        </w:rPr>
        <w:t>表</w:t>
      </w:r>
      <w:r>
        <w:rPr>
          <w:rFonts w:hint="eastAsia"/>
          <w:lang w:val="en-US" w:eastAsia="zh-CN"/>
        </w:rPr>
        <w:t>4.3.5-4</w:t>
      </w:r>
      <w:r>
        <w:rPr>
          <w:rFonts w:hint="default"/>
        </w:rPr>
        <w:t>地下水分类-结果表</w:t>
      </w:r>
    </w:p>
    <w:tbl>
      <w:tblPr>
        <w:tblStyle w:val="22"/>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1"/>
        <w:gridCol w:w="2189"/>
        <w:gridCol w:w="2189"/>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Merge w:val="restart"/>
            <w:vAlign w:val="center"/>
            <mc:AlternateContent>
              <mc:Choice Requires="wpsCustomData">
                <wpsCustomData:diagonals>
                  <wpsCustomData:diagonal from="30000" to="10000">
                    <wpsCustomData:border w:val="single" w:color="auto" w:sz="4" w:space="0"/>
                  </wpsCustomData:diagonal>
                </wpsCustomData:diagonals>
              </mc:Choice>
            </mc:AlternateContent>
          </w:tcPr>
          <w:p>
            <w:pPr>
              <w:pStyle w:val="28"/>
              <w:suppressLineNumbers w:val="0"/>
              <w:bidi w:val="0"/>
              <w:snapToGrid w:val="0"/>
              <w:spacing w:before="0" w:after="0" w:line="240" w:lineRule="auto"/>
              <w:ind w:left="0" w:right="0"/>
              <w:jc w:val="center"/>
              <mc:AlternateContent>
                <mc:Choice Requires="wpsCustomData">
                  <wpsCustomData:diagonalParaType/>
                </mc:Choice>
              </mc:AlternateContent>
              <w:rPr>
                <w:rFonts w:hint="eastAsia" w:eastAsia="宋体"/>
                <w:lang w:eastAsia="zh-CN"/>
              </w:rPr>
            </w:pPr>
            <w:r>
              <w:rPr>
                <w:rFonts w:hint="eastAsia"/>
                <w:lang w:eastAsia="zh-CN"/>
              </w:rPr>
              <w:t>监测项目</w:t>
            </w:r>
          </w:p>
          <w:p>
            <w:pPr>
              <w:pStyle w:val="28"/>
              <w:suppressLineNumbers w:val="0"/>
              <w:bidi w:val="0"/>
              <w:spacing w:before="0" w:after="0"/>
              <w:ind w:left="0" w:right="0"/>
              <w:jc w:val="center"/>
              <w:rPr>
                <w:rFonts w:hint="eastAsia" w:eastAsia="宋体"/>
                <w:lang w:eastAsia="zh-CN"/>
              </w:rPr>
            </w:pPr>
            <w:r>
              <w:rPr>
                <w:rFonts w:hint="eastAsia"/>
                <w:lang w:eastAsia="zh-CN"/>
              </w:rPr>
              <w:t>监测点</w:t>
            </w:r>
          </w:p>
        </w:tc>
        <w:tc>
          <w:tcPr>
            <w:tcW w:w="1100"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D1</w:t>
            </w:r>
          </w:p>
        </w:tc>
        <w:tc>
          <w:tcPr>
            <w:tcW w:w="1100"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D2</w:t>
            </w:r>
          </w:p>
        </w:tc>
        <w:tc>
          <w:tcPr>
            <w:tcW w:w="1104" w:type="pc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95" w:type="pct"/>
            <w:vMerge w:val="continue"/>
            <w:vAlign w:val="center"/>
          </w:tcPr>
          <w:p>
            <w:pPr>
              <w:pStyle w:val="28"/>
              <w:suppressLineNumbers w:val="0"/>
              <w:bidi w:val="0"/>
              <w:spacing w:before="0" w:after="0"/>
              <w:ind w:left="0" w:right="0"/>
              <w:jc w:val="center"/>
              <w:outlineLvl w:val="9"/>
              <w:rPr>
                <w:rFonts w:hint="default"/>
              </w:rPr>
            </w:pPr>
          </w:p>
        </w:tc>
        <w:tc>
          <w:tcPr>
            <w:tcW w:w="3304" w:type="pct"/>
            <w:gridSpan w:val="3"/>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pH</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溶解性总固体</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Ⅳ</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Ⅳ</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Cl</w:t>
            </w:r>
            <w:r>
              <w:rPr>
                <w:rFonts w:ascii="Times New Roman" w:hAnsi="Times New Roman" w:eastAsia="宋体"/>
                <w:color w:val="auto"/>
                <w:sz w:val="21"/>
                <w:szCs w:val="21"/>
                <w:shd w:val="clear" w:color="auto" w:fill="auto"/>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Ⅳ</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Ⅳ</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olor w:val="auto"/>
                <w:sz w:val="21"/>
                <w:szCs w:val="21"/>
                <w:shd w:val="clear" w:color="auto" w:fill="auto"/>
                <w:lang w:val="en-US" w:eastAsia="zh-CN"/>
              </w:rPr>
            </w:pPr>
            <w:r>
              <w:rPr>
                <w:rFonts w:ascii="Times New Roman" w:hAnsi="Times New Roman" w:eastAsia="宋体"/>
                <w:color w:val="auto"/>
                <w:sz w:val="21"/>
                <w:szCs w:val="21"/>
                <w:shd w:val="clear" w:color="auto" w:fill="auto"/>
              </w:rPr>
              <w:t>HCO</w:t>
            </w:r>
            <w:r>
              <w:rPr>
                <w:rFonts w:ascii="Times New Roman" w:hAnsi="Times New Roman" w:eastAsia="宋体"/>
                <w:color w:val="auto"/>
                <w:sz w:val="21"/>
                <w:szCs w:val="21"/>
                <w:shd w:val="clear" w:color="auto" w:fill="auto"/>
                <w:vertAlign w:val="subscript"/>
              </w:rPr>
              <w:t>3</w:t>
            </w:r>
            <w:r>
              <w:rPr>
                <w:rFonts w:ascii="Times New Roman" w:hAnsi="Times New Roman" w:eastAsia="宋体"/>
                <w:color w:val="auto"/>
                <w:sz w:val="21"/>
                <w:szCs w:val="21"/>
                <w:shd w:val="clear" w:color="auto" w:fill="auto"/>
                <w:vertAlign w:val="superscript"/>
              </w:rPr>
              <w:t>-</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eastAsia" w:ascii="Times New Roman" w:hAnsi="Times New Roman" w:eastAsia="宋体"/>
                <w:color w:val="auto"/>
                <w:sz w:val="21"/>
                <w:szCs w:val="21"/>
                <w:shd w:val="clear" w:color="auto" w:fill="auto"/>
                <w:lang w:eastAsia="zh-CN"/>
              </w:rPr>
            </w:pPr>
            <w:r>
              <w:rPr>
                <w:rFonts w:ascii="Times New Roman" w:hAnsi="Times New Roman" w:eastAsia="宋体"/>
                <w:color w:val="auto"/>
                <w:sz w:val="21"/>
                <w:szCs w:val="21"/>
                <w:shd w:val="clear" w:color="auto" w:fill="auto"/>
              </w:rPr>
              <w:t>CO</w:t>
            </w:r>
            <w:r>
              <w:rPr>
                <w:rFonts w:ascii="Times New Roman" w:hAnsi="Times New Roman" w:eastAsia="宋体"/>
                <w:color w:val="auto"/>
                <w:sz w:val="21"/>
                <w:szCs w:val="21"/>
                <w:shd w:val="clear" w:color="auto" w:fill="auto"/>
                <w:vertAlign w:val="subscript"/>
              </w:rPr>
              <w:t>3</w:t>
            </w:r>
            <w:r>
              <w:rPr>
                <w:rFonts w:ascii="Times New Roman" w:hAnsi="Times New Roman" w:eastAsia="宋体"/>
                <w:color w:val="auto"/>
                <w:sz w:val="21"/>
                <w:szCs w:val="21"/>
                <w:shd w:val="clear" w:color="auto" w:fill="auto"/>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Ca</w:t>
            </w:r>
            <w:r>
              <w:rPr>
                <w:rFonts w:ascii="Times New Roman" w:hAnsi="Times New Roman" w:eastAsia="宋体"/>
                <w:color w:val="auto"/>
                <w:sz w:val="21"/>
                <w:szCs w:val="21"/>
                <w:shd w:val="clear" w:color="auto" w:fill="auto"/>
                <w:vertAlign w:val="superscript"/>
              </w:rPr>
              <w:t>2+</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Mg</w:t>
            </w:r>
            <w:r>
              <w:rPr>
                <w:rFonts w:ascii="Times New Roman" w:hAnsi="Times New Roman" w:eastAsia="宋体"/>
                <w:color w:val="auto"/>
                <w:sz w:val="21"/>
                <w:szCs w:val="21"/>
                <w:shd w:val="clear" w:color="auto" w:fill="auto"/>
                <w:vertAlign w:val="superscript"/>
              </w:rPr>
              <w:t>2+</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jc w:val="center"/>
              <w:rPr>
                <w:rFonts w:hint="default"/>
                <w:color w:val="auto"/>
                <w:shd w:val="clear" w:color="auto" w:fill="auto"/>
              </w:rPr>
            </w:pPr>
            <w:r>
              <w:rPr>
                <w:rFonts w:ascii="Times New Roman" w:hAnsi="Times New Roman" w:eastAsia="宋体"/>
                <w:color w:val="auto"/>
                <w:sz w:val="21"/>
                <w:szCs w:val="21"/>
                <w:shd w:val="clear" w:color="auto" w:fill="auto"/>
              </w:rPr>
              <w:t>Na</w:t>
            </w:r>
            <w:r>
              <w:rPr>
                <w:rFonts w:ascii="Times New Roman" w:hAnsi="Times New Roman" w:eastAsia="宋体"/>
                <w:color w:val="auto"/>
                <w:sz w:val="21"/>
                <w:szCs w:val="21"/>
                <w:shd w:val="clear" w:color="auto" w:fill="auto"/>
                <w:vertAlign w:val="superscript"/>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SO</w:t>
            </w:r>
            <w:r>
              <w:rPr>
                <w:rFonts w:ascii="Times New Roman" w:hAnsi="Times New Roman" w:eastAsia="宋体"/>
                <w:color w:val="auto"/>
                <w:sz w:val="21"/>
                <w:szCs w:val="21"/>
                <w:shd w:val="clear" w:color="auto" w:fill="auto"/>
                <w:vertAlign w:val="subscript"/>
              </w:rPr>
              <w:t>4</w:t>
            </w:r>
            <w:r>
              <w:rPr>
                <w:rFonts w:ascii="Times New Roman" w:hAnsi="Times New Roman" w:eastAsia="宋体"/>
                <w:color w:val="auto"/>
                <w:sz w:val="21"/>
                <w:szCs w:val="21"/>
                <w:shd w:val="clear" w:color="auto" w:fill="auto"/>
                <w:vertAlign w:val="superscript"/>
              </w:rPr>
              <w:t>2-</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氨氮</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硝酸盐</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亚硝酸盐</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挥发酚</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Ⅲ</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砷</w:t>
            </w:r>
          </w:p>
        </w:tc>
        <w:tc>
          <w:tcPr>
            <w:tcW w:w="1100" w:type="pct"/>
            <w:vAlign w:val="center"/>
          </w:tcPr>
          <w:p>
            <w:pPr>
              <w:pStyle w:val="28"/>
              <w:suppressLineNumbers w:val="0"/>
              <w:bidi w:val="0"/>
              <w:spacing w:before="0" w:after="0"/>
              <w:ind w:left="0" w:right="0"/>
              <w:jc w:val="center"/>
              <w:outlineLvl w:val="9"/>
              <w:rPr>
                <w:rFonts w:hint="default"/>
                <w:color w:val="auto"/>
                <w:shd w:val="clear" w:color="auto" w:fill="auto"/>
                <w:lang w:val="en-US"/>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color w:val="auto"/>
                <w:shd w:val="clear" w:color="auto" w:fill="auto"/>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color w:val="auto"/>
                <w:shd w:val="clear" w:color="auto" w:fill="auto"/>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ascii="Times New Roman" w:hAnsi="Times New Roman" w:eastAsia="宋体"/>
                <w:color w:val="auto"/>
                <w:sz w:val="21"/>
                <w:szCs w:val="21"/>
                <w:shd w:val="clear" w:color="auto" w:fill="auto"/>
                <w:lang w:eastAsia="zh-CN"/>
              </w:rPr>
              <w:t>氟</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hint="eastAsia" w:ascii="Times New Roman" w:hAnsi="Times New Roman" w:eastAsia="宋体" w:cstheme="minorBidi"/>
                <w:b w:val="0"/>
                <w:color w:val="auto"/>
                <w:kern w:val="2"/>
                <w:sz w:val="21"/>
                <w:szCs w:val="24"/>
                <w:shd w:val="clear" w:color="auto" w:fill="auto"/>
                <w:lang w:val="en-US" w:eastAsia="zh-CN" w:bidi="ar-SA"/>
              </w:rPr>
            </w:pPr>
            <w:r>
              <w:rPr>
                <w:rFonts w:ascii="Times New Roman" w:hAnsi="Times New Roman" w:eastAsia="宋体"/>
                <w:color w:val="auto"/>
                <w:sz w:val="21"/>
                <w:szCs w:val="21"/>
                <w:shd w:val="clear" w:color="auto" w:fill="auto"/>
              </w:rPr>
              <w:t>汞</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六价铬</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总硬度</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fldChar w:fldCharType="begin"/>
            </w:r>
            <w:r>
              <w:rPr>
                <w:rFonts w:hint="eastAsia"/>
                <w:color w:val="auto"/>
                <w:shd w:val="clear" w:color="auto" w:fill="auto"/>
                <w:lang w:val="en-US" w:eastAsia="zh-CN"/>
              </w:rPr>
              <w:instrText xml:space="preserve"> = 5 \* ROMAN \* MERGEFORMAT </w:instrText>
            </w:r>
            <w:r>
              <w:rPr>
                <w:rFonts w:hint="eastAsia"/>
                <w:color w:val="auto"/>
                <w:shd w:val="clear" w:color="auto" w:fill="auto"/>
                <w:lang w:val="en-US" w:eastAsia="zh-CN"/>
              </w:rPr>
              <w:fldChar w:fldCharType="separate"/>
            </w:r>
            <w:r>
              <w:rPr>
                <w:color w:val="auto"/>
                <w:shd w:val="clear" w:color="auto" w:fill="auto"/>
              </w:rPr>
              <w:t>V</w:t>
            </w:r>
            <w:r>
              <w:rPr>
                <w:rFonts w:hint="eastAsia"/>
                <w:color w:val="auto"/>
                <w:shd w:val="clear" w:color="auto" w:fill="auto"/>
                <w:lang w:val="en-US" w:eastAsia="zh-CN"/>
              </w:rPr>
              <w:fldChar w:fldCharType="end"/>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lang w:val="en-US" w:eastAsia="zh-CN"/>
              </w:rPr>
              <w:fldChar w:fldCharType="begin"/>
            </w:r>
            <w:r>
              <w:rPr>
                <w:rFonts w:hint="eastAsia"/>
                <w:color w:val="auto"/>
                <w:shd w:val="clear" w:color="auto" w:fill="auto"/>
                <w:lang w:val="en-US" w:eastAsia="zh-CN"/>
              </w:rPr>
              <w:instrText xml:space="preserve"> = 5 \* ROMAN \* MERGEFORMAT </w:instrText>
            </w:r>
            <w:r>
              <w:rPr>
                <w:rFonts w:hint="eastAsia"/>
                <w:color w:val="auto"/>
                <w:shd w:val="clear" w:color="auto" w:fill="auto"/>
                <w:lang w:val="en-US" w:eastAsia="zh-CN"/>
              </w:rPr>
              <w:fldChar w:fldCharType="separate"/>
            </w:r>
            <w:r>
              <w:rPr>
                <w:color w:val="auto"/>
                <w:shd w:val="clear" w:color="auto" w:fill="auto"/>
              </w:rPr>
              <w:t>V</w:t>
            </w:r>
            <w:r>
              <w:rPr>
                <w:rFonts w:hint="eastAsia"/>
                <w:color w:val="auto"/>
                <w:shd w:val="clear" w:color="auto" w:fill="auto"/>
                <w:lang w:val="en-US" w:eastAsia="zh-CN"/>
              </w:rPr>
              <w:fldChar w:fldCharType="end"/>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Ⅳ</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高锰酸盐指数</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eastAsia" w:eastAsia="宋体"/>
                <w:color w:val="auto"/>
                <w:shd w:val="clear" w:color="auto" w:fill="auto"/>
                <w:lang w:val="en-US" w:eastAsia="zh-CN"/>
              </w:rPr>
            </w:pPr>
            <w:r>
              <w:rPr>
                <w:rFonts w:hint="eastAsia"/>
                <w:color w:val="auto"/>
                <w:shd w:val="clear" w:color="auto" w:fill="auto"/>
              </w:rPr>
              <w:t>Ⅱ</w:t>
            </w:r>
            <w:r>
              <w:rPr>
                <w:color w:val="auto"/>
                <w:shd w:val="clear" w:color="auto" w:fill="auto"/>
              </w:rPr>
              <w:t>类</w:t>
            </w:r>
            <w:r>
              <w:rPr>
                <w:rFonts w:hint="eastAsia"/>
                <w:color w:val="auto"/>
                <w:shd w:val="clear" w:color="auto" w:fill="auto"/>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总大肠菌群</w:t>
            </w:r>
          </w:p>
        </w:tc>
        <w:tc>
          <w:tcPr>
            <w:tcW w:w="1100" w:type="pct"/>
            <w:vAlign w:val="center"/>
          </w:tcPr>
          <w:p>
            <w:pPr>
              <w:pStyle w:val="28"/>
              <w:suppressLineNumbers w:val="0"/>
              <w:bidi w:val="0"/>
              <w:spacing w:before="0" w:after="0"/>
              <w:ind w:left="0" w:right="0"/>
              <w:jc w:val="center"/>
              <w:outlineLvl w:val="9"/>
              <w:rPr>
                <w:rFonts w:hint="eastAsia" w:eastAsia="宋体"/>
                <w:color w:val="auto"/>
                <w:shd w:val="clear" w:color="auto" w:fill="auto"/>
                <w:lang w:val="en-US" w:eastAsia="zh-CN"/>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right="0"/>
              <w:jc w:val="center"/>
              <w:outlineLvl w:val="9"/>
              <w:rPr>
                <w:rFonts w:hint="default"/>
                <w:color w:val="auto"/>
                <w:shd w:val="clear" w:color="auto" w:fill="auto"/>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right="0"/>
              <w:jc w:val="center"/>
              <w:outlineLvl w:val="9"/>
              <w:rPr>
                <w:rFonts w:hint="default"/>
                <w:color w:val="auto"/>
                <w:shd w:val="clear" w:color="auto" w:fill="auto"/>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hint="eastAsia" w:ascii="Times New Roman" w:hAnsi="Times New Roman" w:eastAsia="宋体"/>
                <w:color w:val="auto"/>
                <w:sz w:val="21"/>
                <w:szCs w:val="21"/>
                <w:shd w:val="clear" w:color="auto" w:fill="auto"/>
                <w:lang w:eastAsia="zh-CN"/>
              </w:rPr>
              <w:t>铅</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镉</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rPr>
              <w:t>Ⅰ</w:t>
            </w:r>
            <w:r>
              <w:rPr>
                <w:color w:val="auto"/>
                <w:shd w:val="clear" w:color="auto" w:fill="auto"/>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95" w:type="pct"/>
            <w:vAlign w:val="center"/>
          </w:tcPr>
          <w:p>
            <w:pPr>
              <w:pStyle w:val="28"/>
              <w:suppressLineNumbers w:val="0"/>
              <w:bidi w:val="0"/>
              <w:spacing w:before="0" w:after="0"/>
              <w:ind w:left="0" w:right="0" w:firstLine="0" w:firstLineChars="0"/>
              <w:jc w:val="center"/>
              <w:rPr>
                <w:rFonts w:ascii="Times New Roman" w:hAnsi="Times New Roman" w:eastAsia="宋体"/>
                <w:color w:val="auto"/>
                <w:sz w:val="21"/>
                <w:szCs w:val="21"/>
                <w:shd w:val="clear" w:color="auto" w:fill="auto"/>
              </w:rPr>
            </w:pPr>
            <w:r>
              <w:rPr>
                <w:rFonts w:ascii="Times New Roman" w:hAnsi="Times New Roman" w:eastAsia="宋体"/>
                <w:color w:val="auto"/>
                <w:sz w:val="21"/>
                <w:szCs w:val="21"/>
                <w:shd w:val="clear" w:color="auto" w:fill="auto"/>
              </w:rPr>
              <w:t>K</w:t>
            </w:r>
            <w:r>
              <w:rPr>
                <w:rFonts w:ascii="Times New Roman" w:hAnsi="Times New Roman" w:eastAsia="宋体"/>
                <w:color w:val="auto"/>
                <w:sz w:val="21"/>
                <w:szCs w:val="21"/>
                <w:shd w:val="clear" w:color="auto" w:fill="auto"/>
                <w:vertAlign w:val="superscript"/>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0"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c>
          <w:tcPr>
            <w:tcW w:w="1104" w:type="pct"/>
            <w:vAlign w:val="center"/>
          </w:tcPr>
          <w:p>
            <w:pPr>
              <w:pStyle w:val="28"/>
              <w:suppressLineNumbers w:val="0"/>
              <w:bidi w:val="0"/>
              <w:spacing w:before="0" w:after="0"/>
              <w:ind w:left="0" w:leftChars="0" w:right="0" w:rightChars="0" w:firstLine="0" w:firstLineChars="0"/>
              <w:jc w:val="center"/>
              <w:outlineLvl w:val="9"/>
              <w:rPr>
                <w:rFonts w:hint="default" w:ascii="Times New Roman" w:hAnsi="Times New Roman" w:eastAsia="宋体" w:cstheme="minorBidi"/>
                <w:b w:val="0"/>
                <w:color w:val="auto"/>
                <w:kern w:val="2"/>
                <w:sz w:val="21"/>
                <w:szCs w:val="24"/>
                <w:shd w:val="clear" w:color="auto" w:fill="auto"/>
                <w:lang w:val="en-US" w:eastAsia="zh-CN" w:bidi="ar-SA"/>
              </w:rPr>
            </w:pPr>
            <w:r>
              <w:rPr>
                <w:rFonts w:hint="eastAsia"/>
                <w:color w:val="auto"/>
                <w:shd w:val="clear" w:color="auto" w:fill="auto"/>
                <w:lang w:val="en-US" w:eastAsia="zh-CN"/>
              </w:rPr>
              <w:t>/</w:t>
            </w:r>
          </w:p>
        </w:tc>
      </w:tr>
    </w:tbl>
    <w:p>
      <w:pPr>
        <w:bidi w:val="0"/>
        <w:rPr>
          <w:rFonts w:hint="default"/>
        </w:rPr>
      </w:pPr>
      <w:r>
        <w:rPr>
          <w:rFonts w:hint="default" w:ascii="宋体" w:hAnsi="宋体" w:eastAsia="宋体"/>
          <w:color w:val="000000"/>
          <w:sz w:val="28"/>
        </w:rPr>
        <w:t>地下水监测因子中</w:t>
      </w:r>
      <w:r>
        <w:rPr>
          <w:rFonts w:hint="default" w:ascii="Times New Roman" w:hAnsi="Times New Roman" w:eastAsia="Times New Roman"/>
          <w:color w:val="000000"/>
          <w:sz w:val="28"/>
        </w:rPr>
        <w:t>pH</w:t>
      </w:r>
      <w:r>
        <w:rPr>
          <w:rFonts w:hint="default" w:ascii="宋体" w:hAnsi="宋体" w:eastAsia="宋体"/>
          <w:color w:val="000000"/>
          <w:sz w:val="28"/>
        </w:rPr>
        <w:t>、</w:t>
      </w:r>
      <w:r>
        <w:rPr>
          <w:rFonts w:hint="eastAsia" w:ascii="宋体" w:hAnsi="宋体"/>
          <w:color w:val="000000"/>
          <w:sz w:val="28"/>
          <w:lang w:eastAsia="zh-CN"/>
        </w:rPr>
        <w:t>硝酸盐、砷、氟、汞、六价铬、总大肠菌群、铅、镉</w:t>
      </w:r>
      <w:r>
        <w:rPr>
          <w:rFonts w:hint="default" w:ascii="宋体" w:hAnsi="宋体" w:eastAsia="宋体"/>
          <w:color w:val="000000"/>
          <w:sz w:val="28"/>
        </w:rPr>
        <w:t>可满足《地下水质量标准》</w:t>
      </w:r>
      <w:r>
        <w:rPr>
          <w:rFonts w:hint="default" w:ascii="Times New Roman" w:hAnsi="Times New Roman" w:eastAsia="Times New Roman"/>
          <w:color w:val="000000"/>
          <w:sz w:val="28"/>
        </w:rPr>
        <w:t>GB/T14848-2017</w:t>
      </w:r>
      <w:r>
        <w:rPr>
          <w:rFonts w:hint="default" w:ascii="宋体" w:hAnsi="宋体" w:eastAsia="宋体"/>
          <w:color w:val="000000"/>
          <w:sz w:val="28"/>
        </w:rPr>
        <w:t>Ⅰ类水质标准；</w:t>
      </w:r>
      <w:r>
        <w:rPr>
          <w:rFonts w:hint="eastAsia" w:ascii="宋体" w:hAnsi="宋体"/>
          <w:color w:val="000000"/>
          <w:sz w:val="28"/>
          <w:lang w:eastAsia="zh-CN"/>
        </w:rPr>
        <w:t>高锰酸盐</w:t>
      </w:r>
      <w:r>
        <w:rPr>
          <w:rFonts w:hint="default" w:ascii="宋体" w:hAnsi="宋体" w:eastAsia="宋体"/>
          <w:color w:val="000000"/>
          <w:sz w:val="28"/>
        </w:rPr>
        <w:t>可满足《地下水质量标准》</w:t>
      </w:r>
      <w:r>
        <w:rPr>
          <w:rFonts w:hint="default" w:ascii="Times New Roman" w:hAnsi="Times New Roman" w:eastAsia="Times New Roman"/>
          <w:color w:val="000000"/>
          <w:sz w:val="28"/>
        </w:rPr>
        <w:t>GB/T14848-2017</w:t>
      </w:r>
      <w:r>
        <w:rPr>
          <w:rFonts w:hint="default" w:ascii="宋体" w:hAnsi="宋体" w:eastAsia="宋体"/>
          <w:color w:val="000000"/>
          <w:sz w:val="28"/>
        </w:rPr>
        <w:fldChar w:fldCharType="begin"/>
      </w:r>
      <w:r>
        <w:rPr>
          <w:rFonts w:hint="default" w:ascii="宋体" w:hAnsi="宋体" w:eastAsia="宋体"/>
          <w:color w:val="000000"/>
          <w:sz w:val="28"/>
        </w:rPr>
        <w:instrText xml:space="preserve"> = 2 \* ROMAN \* MERGEFORMAT </w:instrText>
      </w:r>
      <w:r>
        <w:rPr>
          <w:rFonts w:hint="default" w:ascii="宋体" w:hAnsi="宋体" w:eastAsia="宋体"/>
          <w:color w:val="000000"/>
          <w:sz w:val="28"/>
        </w:rPr>
        <w:fldChar w:fldCharType="separate"/>
      </w:r>
      <w:r>
        <w:t>II</w:t>
      </w:r>
      <w:r>
        <w:rPr>
          <w:rFonts w:hint="default" w:ascii="宋体" w:hAnsi="宋体" w:eastAsia="宋体"/>
          <w:color w:val="000000"/>
          <w:sz w:val="28"/>
        </w:rPr>
        <w:fldChar w:fldCharType="end"/>
      </w:r>
      <w:r>
        <w:rPr>
          <w:rFonts w:hint="default" w:ascii="宋体" w:hAnsi="宋体" w:eastAsia="宋体"/>
          <w:color w:val="000000"/>
          <w:sz w:val="28"/>
        </w:rPr>
        <w:t>类水质标准；</w:t>
      </w:r>
      <w:r>
        <w:rPr>
          <w:rFonts w:hint="eastAsia" w:ascii="宋体" w:hAnsi="宋体"/>
          <w:color w:val="000000"/>
          <w:sz w:val="28"/>
          <w:lang w:eastAsia="zh-CN"/>
        </w:rPr>
        <w:t>硫酸根、氨氮、亚硝酸盐、挥发酚</w:t>
      </w:r>
      <w:r>
        <w:rPr>
          <w:rFonts w:hint="default" w:ascii="宋体" w:hAnsi="宋体" w:eastAsia="宋体"/>
          <w:color w:val="000000"/>
          <w:sz w:val="28"/>
        </w:rPr>
        <w:t>可满足《地下水质量标准》</w:t>
      </w:r>
      <w:r>
        <w:rPr>
          <w:rFonts w:hint="default" w:ascii="Times New Roman" w:hAnsi="Times New Roman" w:eastAsia="Times New Roman"/>
          <w:color w:val="000000"/>
          <w:sz w:val="28"/>
        </w:rPr>
        <w:t>GB/T14848-2017</w:t>
      </w:r>
      <w:r>
        <w:rPr>
          <w:rFonts w:hint="default" w:ascii="宋体" w:hAnsi="宋体" w:eastAsia="宋体"/>
          <w:color w:val="000000"/>
          <w:sz w:val="28"/>
        </w:rPr>
        <w:t>Ⅲ类水质标准；</w:t>
      </w:r>
      <w:r>
        <w:rPr>
          <w:rFonts w:hint="eastAsia" w:ascii="宋体" w:hAnsi="宋体"/>
          <w:color w:val="000000"/>
          <w:sz w:val="28"/>
          <w:lang w:eastAsia="zh-CN"/>
        </w:rPr>
        <w:t>溶解性总固体、氯化物</w:t>
      </w:r>
      <w:r>
        <w:rPr>
          <w:rFonts w:hint="default" w:ascii="宋体" w:hAnsi="宋体" w:eastAsia="宋体"/>
          <w:color w:val="000000"/>
          <w:sz w:val="28"/>
        </w:rPr>
        <w:t>可满足《地下水质量标准》</w:t>
      </w:r>
      <w:r>
        <w:rPr>
          <w:rFonts w:hint="default" w:ascii="Times New Roman" w:hAnsi="Times New Roman" w:eastAsia="Times New Roman"/>
          <w:color w:val="000000"/>
          <w:sz w:val="28"/>
        </w:rPr>
        <w:t>GB/T14848-2017</w:t>
      </w:r>
      <w:r>
        <w:rPr>
          <w:rFonts w:hint="default" w:ascii="宋体" w:hAnsi="宋体" w:eastAsia="宋体"/>
          <w:color w:val="000000"/>
          <w:sz w:val="28"/>
        </w:rPr>
        <w:t>Ⅳ类水质标准；总硬度可满足《地下水质量标准》</w:t>
      </w:r>
      <w:r>
        <w:rPr>
          <w:rFonts w:hint="default" w:ascii="Times New Roman" w:hAnsi="Times New Roman" w:eastAsia="Times New Roman"/>
          <w:color w:val="000000"/>
          <w:sz w:val="28"/>
        </w:rPr>
        <w:t>GB/T14848-2017</w:t>
      </w:r>
      <w:r>
        <w:rPr>
          <w:rFonts w:hint="default" w:ascii="宋体" w:hAnsi="宋体" w:eastAsia="宋体"/>
          <w:color w:val="000000"/>
          <w:sz w:val="28"/>
        </w:rPr>
        <w:t>Ⅴ类水质标准。</w:t>
      </w:r>
    </w:p>
    <w:p>
      <w:pPr>
        <w:pStyle w:val="4"/>
        <w:bidi w:val="0"/>
        <w:rPr>
          <w:rFonts w:hint="default"/>
        </w:rPr>
      </w:pPr>
      <w:bookmarkStart w:id="60" w:name="_Toc13241"/>
      <w:r>
        <w:rPr>
          <w:rFonts w:hint="eastAsia"/>
          <w:lang w:val="en-US" w:eastAsia="zh-CN"/>
        </w:rPr>
        <w:t>4.4</w:t>
      </w:r>
      <w:r>
        <w:rPr>
          <w:rFonts w:hint="default"/>
        </w:rPr>
        <w:t>区域污染源调查</w:t>
      </w:r>
      <w:bookmarkEnd w:id="60"/>
    </w:p>
    <w:p>
      <w:pPr>
        <w:pStyle w:val="5"/>
        <w:bidi w:val="0"/>
      </w:pPr>
      <w:bookmarkStart w:id="61" w:name="_Toc322259630"/>
      <w:bookmarkStart w:id="62" w:name="_Toc317838808"/>
      <w:r>
        <w:rPr>
          <w:rFonts w:hint="eastAsia"/>
          <w:lang w:eastAsia="zh-CN"/>
        </w:rPr>
        <w:t>4</w:t>
      </w:r>
      <w:r>
        <w:t>.4.</w:t>
      </w:r>
      <w:r>
        <w:rPr>
          <w:rFonts w:hint="eastAsia"/>
          <w:lang w:eastAsia="zh-CN"/>
        </w:rPr>
        <w:t>1</w:t>
      </w:r>
      <w:r>
        <w:rPr>
          <w:lang w:eastAsia="zh-CN"/>
        </w:rPr>
        <w:t xml:space="preserve">  </w:t>
      </w:r>
      <w:r>
        <w:t>大气污染源调查结果及评价</w:t>
      </w:r>
      <w:bookmarkEnd w:id="61"/>
      <w:bookmarkEnd w:id="62"/>
    </w:p>
    <w:p>
      <w:pPr>
        <w:bidi w:val="0"/>
        <w:rPr>
          <w:rFonts w:hint="eastAsia"/>
        </w:rPr>
      </w:pPr>
      <w:r>
        <w:rPr>
          <w:rFonts w:hint="eastAsia"/>
        </w:rPr>
        <w:t>本项目大气环境评价等级为</w:t>
      </w:r>
      <w:r>
        <w:rPr>
          <w:rFonts w:hint="eastAsia"/>
          <w:lang w:eastAsia="zh-CN"/>
        </w:rPr>
        <w:t>二</w:t>
      </w:r>
      <w:r>
        <w:rPr>
          <w:rFonts w:hint="eastAsia"/>
        </w:rPr>
        <w:t>级，根据《环境影响评价技术导则</w:t>
      </w:r>
      <w:r>
        <w:t xml:space="preserve"> </w:t>
      </w:r>
      <w:r>
        <w:rPr>
          <w:rFonts w:hint="eastAsia"/>
        </w:rPr>
        <w:t>大气环境》（</w:t>
      </w:r>
      <w:r>
        <w:t>HJ2.2-20</w:t>
      </w:r>
      <w:r>
        <w:rPr>
          <w:rFonts w:hint="eastAsia"/>
          <w:lang w:val="en-US" w:eastAsia="zh-CN"/>
        </w:rPr>
        <w:t>1</w:t>
      </w:r>
      <w:r>
        <w:t>8</w:t>
      </w:r>
      <w:r>
        <w:rPr>
          <w:rFonts w:hint="eastAsia"/>
        </w:rPr>
        <w:t>）对污染源调查的要求，只需要调查本项目</w:t>
      </w:r>
      <w:r>
        <w:rPr>
          <w:rFonts w:hint="eastAsia"/>
          <w:lang w:eastAsia="zh-CN"/>
        </w:rPr>
        <w:t>新增污染源和拟被替代污染源</w:t>
      </w:r>
      <w:r>
        <w:rPr>
          <w:rFonts w:hint="eastAsia"/>
        </w:rPr>
        <w:t>，建设项目废气污染源详见表</w:t>
      </w:r>
      <w:r>
        <w:rPr>
          <w:rFonts w:hint="eastAsia"/>
          <w:lang w:val="en-US" w:eastAsia="zh-CN"/>
        </w:rPr>
        <w:t>4.4.1-1</w:t>
      </w:r>
      <w:r>
        <w:rPr>
          <w:rFonts w:hint="eastAsia"/>
        </w:rPr>
        <w:t>。</w:t>
      </w:r>
    </w:p>
    <w:p>
      <w:pPr>
        <w:bidi w:val="0"/>
        <w:rPr>
          <w:rFonts w:hint="eastAsia"/>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27"/>
        <w:bidi w:val="0"/>
        <w:rPr>
          <w:rFonts w:hint="eastAsia"/>
          <w:lang w:val="en-US" w:eastAsia="zh-CN"/>
        </w:rPr>
      </w:pPr>
      <w:bookmarkStart w:id="63" w:name="_Toc317838807"/>
      <w:bookmarkStart w:id="64" w:name="_Toc322259629"/>
      <w:r>
        <w:rPr>
          <w:rFonts w:hint="eastAsia"/>
          <w:lang w:eastAsia="zh-CN"/>
        </w:rPr>
        <w:t>表</w:t>
      </w:r>
      <w:r>
        <w:rPr>
          <w:rFonts w:hint="eastAsia"/>
          <w:lang w:val="en-US" w:eastAsia="zh-CN"/>
        </w:rPr>
        <w:t>4.4.1-1 有组织点源参数表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490"/>
        <w:gridCol w:w="1206"/>
        <w:gridCol w:w="1110"/>
        <w:gridCol w:w="1718"/>
        <w:gridCol w:w="1110"/>
        <w:gridCol w:w="1414"/>
        <w:gridCol w:w="1502"/>
        <w:gridCol w:w="1005"/>
        <w:gridCol w:w="1217"/>
        <w:gridCol w:w="794"/>
        <w:gridCol w:w="785"/>
        <w:gridCol w:w="7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编号</w:t>
            </w:r>
          </w:p>
        </w:tc>
        <w:tc>
          <w:tcPr>
            <w:tcW w:w="167"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名称</w:t>
            </w:r>
          </w:p>
        </w:tc>
        <w:tc>
          <w:tcPr>
            <w:tcW w:w="788" w:type="pct"/>
            <w:gridSpan w:val="2"/>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排气筒底部中心坐标/m</w:t>
            </w:r>
          </w:p>
        </w:tc>
        <w:tc>
          <w:tcPr>
            <w:tcW w:w="585"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排气筒底部海拔高度/m</w:t>
            </w:r>
          </w:p>
        </w:tc>
        <w:tc>
          <w:tcPr>
            <w:tcW w:w="378"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排气筒高度/m</w:t>
            </w:r>
          </w:p>
        </w:tc>
        <w:tc>
          <w:tcPr>
            <w:tcW w:w="481"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排气筒出口内径/m</w:t>
            </w:r>
          </w:p>
        </w:tc>
        <w:tc>
          <w:tcPr>
            <w:tcW w:w="511"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烟气流速/（m/s）</w:t>
            </w:r>
          </w:p>
        </w:tc>
        <w:tc>
          <w:tcPr>
            <w:tcW w:w="342"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烟气温度/</w:t>
            </w:r>
            <w:r>
              <w:rPr>
                <w:rFonts w:hint="eastAsia" w:ascii="宋体" w:hAnsi="宋体" w:eastAsia="宋体" w:cs="宋体"/>
                <w:lang w:val="en-US" w:eastAsia="zh-CN"/>
              </w:rPr>
              <w:t>℃</w:t>
            </w:r>
          </w:p>
        </w:tc>
        <w:tc>
          <w:tcPr>
            <w:tcW w:w="414"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年排放小时数/h</w:t>
            </w:r>
          </w:p>
        </w:tc>
        <w:tc>
          <w:tcPr>
            <w:tcW w:w="270"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排放工况</w:t>
            </w:r>
          </w:p>
        </w:tc>
        <w:tc>
          <w:tcPr>
            <w:tcW w:w="773" w:type="pct"/>
            <w:gridSpan w:val="3"/>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84"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167"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410"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X</w:t>
            </w:r>
          </w:p>
        </w:tc>
        <w:tc>
          <w:tcPr>
            <w:tcW w:w="377" w:type="pct"/>
            <w:vMerge w:val="restar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Y</w:t>
            </w:r>
          </w:p>
        </w:tc>
        <w:tc>
          <w:tcPr>
            <w:tcW w:w="58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78"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1"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11"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4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14"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270"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773" w:type="pct"/>
            <w:gridSpan w:val="3"/>
            <w:vMerge w:val="continue"/>
            <w:vAlign w:val="center"/>
          </w:tcPr>
          <w:p>
            <w:pPr>
              <w:pStyle w:val="28"/>
              <w:suppressLineNumbers w:val="0"/>
              <w:bidi w:val="0"/>
              <w:spacing w:before="0" w:after="0"/>
              <w:ind w:left="0" w:right="0"/>
              <w:jc w:val="center"/>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167"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410"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377" w:type="pct"/>
            <w:vMerge w:val="continue"/>
            <w:vAlign w:val="center"/>
          </w:tcPr>
          <w:p>
            <w:pPr>
              <w:pStyle w:val="28"/>
              <w:suppressLineNumbers w:val="0"/>
              <w:bidi w:val="0"/>
              <w:spacing w:before="0" w:after="0"/>
              <w:ind w:left="0" w:right="0"/>
              <w:jc w:val="center"/>
              <w:outlineLvl w:val="9"/>
              <w:rPr>
                <w:rFonts w:hint="eastAsia"/>
                <w:lang w:val="en-US" w:eastAsia="zh-CN"/>
              </w:rPr>
            </w:pPr>
          </w:p>
        </w:tc>
        <w:tc>
          <w:tcPr>
            <w:tcW w:w="585"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78"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81"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511"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342"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414"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270" w:type="pct"/>
            <w:vMerge w:val="continue"/>
            <w:vAlign w:val="center"/>
          </w:tcPr>
          <w:p>
            <w:pPr>
              <w:pStyle w:val="28"/>
              <w:suppressLineNumbers w:val="0"/>
              <w:bidi w:val="0"/>
              <w:spacing w:before="0" w:after="0"/>
              <w:ind w:left="0" w:right="0"/>
              <w:jc w:val="center"/>
              <w:outlineLvl w:val="9"/>
              <w:rPr>
                <w:rFonts w:hint="default"/>
                <w:lang w:val="en-US" w:eastAsia="zh-CN"/>
              </w:rPr>
            </w:pPr>
          </w:p>
        </w:tc>
        <w:tc>
          <w:tcPr>
            <w:tcW w:w="267"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NOx</w:t>
            </w:r>
          </w:p>
        </w:tc>
        <w:tc>
          <w:tcPr>
            <w:tcW w:w="27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SO2</w:t>
            </w:r>
          </w:p>
        </w:tc>
        <w:tc>
          <w:tcPr>
            <w:tcW w:w="235"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DA001</w:t>
            </w:r>
          </w:p>
        </w:tc>
        <w:tc>
          <w:tcPr>
            <w:tcW w:w="167"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排气筒</w:t>
            </w:r>
          </w:p>
        </w:tc>
        <w:tc>
          <w:tcPr>
            <w:tcW w:w="41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118.842766</w:t>
            </w:r>
          </w:p>
        </w:tc>
        <w:tc>
          <w:tcPr>
            <w:tcW w:w="377"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34.658197</w:t>
            </w:r>
          </w:p>
        </w:tc>
        <w:tc>
          <w:tcPr>
            <w:tcW w:w="585"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8.00</w:t>
            </w:r>
          </w:p>
        </w:tc>
        <w:tc>
          <w:tcPr>
            <w:tcW w:w="37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35</w:t>
            </w:r>
          </w:p>
        </w:tc>
        <w:tc>
          <w:tcPr>
            <w:tcW w:w="48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1.3</w:t>
            </w:r>
          </w:p>
        </w:tc>
        <w:tc>
          <w:tcPr>
            <w:tcW w:w="511"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24.01</w:t>
            </w:r>
          </w:p>
        </w:tc>
        <w:tc>
          <w:tcPr>
            <w:tcW w:w="342"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50</w:t>
            </w:r>
          </w:p>
        </w:tc>
        <w:tc>
          <w:tcPr>
            <w:tcW w:w="414"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7920</w:t>
            </w:r>
          </w:p>
        </w:tc>
        <w:tc>
          <w:tcPr>
            <w:tcW w:w="270" w:type="pct"/>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正常</w:t>
            </w:r>
          </w:p>
        </w:tc>
        <w:tc>
          <w:tcPr>
            <w:tcW w:w="267"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3.78</w:t>
            </w:r>
          </w:p>
        </w:tc>
        <w:tc>
          <w:tcPr>
            <w:tcW w:w="270"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4.0400</w:t>
            </w:r>
          </w:p>
        </w:tc>
        <w:tc>
          <w:tcPr>
            <w:tcW w:w="235"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0.492</w:t>
            </w:r>
          </w:p>
        </w:tc>
      </w:tr>
    </w:tbl>
    <w:p>
      <w:pPr>
        <w:pStyle w:val="27"/>
        <w:bidi w:val="0"/>
        <w:rPr>
          <w:rFonts w:hint="eastAsia"/>
          <w:lang w:val="en-US" w:eastAsia="zh-CN"/>
        </w:rPr>
      </w:pPr>
      <w:r>
        <w:rPr>
          <w:rFonts w:hint="eastAsia"/>
          <w:lang w:eastAsia="zh-CN"/>
        </w:rPr>
        <w:t>表</w:t>
      </w:r>
      <w:r>
        <w:rPr>
          <w:rFonts w:hint="eastAsia"/>
          <w:lang w:val="en-US" w:eastAsia="zh-CN"/>
        </w:rPr>
        <w:t>4.4.1-2 无组织点源参数表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1377"/>
        <w:gridCol w:w="1268"/>
        <w:gridCol w:w="1940"/>
        <w:gridCol w:w="2419"/>
        <w:gridCol w:w="1873"/>
        <w:gridCol w:w="1206"/>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名称</w:t>
            </w:r>
          </w:p>
        </w:tc>
        <w:tc>
          <w:tcPr>
            <w:tcW w:w="901" w:type="pct"/>
            <w:gridSpan w:val="2"/>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面源各顶点坐标/m</w:t>
            </w:r>
          </w:p>
        </w:tc>
        <w:tc>
          <w:tcPr>
            <w:tcW w:w="661"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面源海拔高度/m</w:t>
            </w:r>
          </w:p>
        </w:tc>
        <w:tc>
          <w:tcPr>
            <w:tcW w:w="824"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面源有效排放高度/m</w:t>
            </w:r>
          </w:p>
        </w:tc>
        <w:tc>
          <w:tcPr>
            <w:tcW w:w="638"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年排放小时数/h</w:t>
            </w:r>
          </w:p>
        </w:tc>
        <w:tc>
          <w:tcPr>
            <w:tcW w:w="411"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排放工况</w:t>
            </w:r>
          </w:p>
        </w:tc>
        <w:tc>
          <w:tcPr>
            <w:tcW w:w="988"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74"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lang w:val="en-US" w:eastAsia="zh-CN"/>
              </w:rPr>
            </w:pPr>
          </w:p>
        </w:tc>
        <w:tc>
          <w:tcPr>
            <w:tcW w:w="469"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X</w:t>
            </w:r>
          </w:p>
        </w:tc>
        <w:tc>
          <w:tcPr>
            <w:tcW w:w="431" w:type="pct"/>
            <w:vMerge w:val="restar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Y</w:t>
            </w:r>
          </w:p>
        </w:tc>
        <w:tc>
          <w:tcPr>
            <w:tcW w:w="661"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824"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638"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411"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988"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lang w:val="en-US" w:eastAsia="zh-CN"/>
              </w:rPr>
            </w:pPr>
          </w:p>
        </w:tc>
        <w:tc>
          <w:tcPr>
            <w:tcW w:w="469"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lang w:val="en-US" w:eastAsia="zh-CN"/>
              </w:rPr>
            </w:pPr>
          </w:p>
        </w:tc>
        <w:tc>
          <w:tcPr>
            <w:tcW w:w="431"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lang w:val="en-US" w:eastAsia="zh-CN"/>
              </w:rPr>
            </w:pPr>
          </w:p>
        </w:tc>
        <w:tc>
          <w:tcPr>
            <w:tcW w:w="661"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824"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638"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411" w:type="pct"/>
            <w:vMerge w:val="continue"/>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default"/>
                <w:lang w:val="en-US" w:eastAsia="zh-CN"/>
              </w:rPr>
            </w:pPr>
          </w:p>
        </w:tc>
        <w:tc>
          <w:tcPr>
            <w:tcW w:w="98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车间二</w:t>
            </w:r>
          </w:p>
        </w:tc>
        <w:tc>
          <w:tcPr>
            <w:tcW w:w="469"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118.841994</w:t>
            </w:r>
          </w:p>
        </w:tc>
        <w:tc>
          <w:tcPr>
            <w:tcW w:w="43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34.658656</w:t>
            </w:r>
          </w:p>
        </w:tc>
        <w:tc>
          <w:tcPr>
            <w:tcW w:w="66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7.00</w:t>
            </w:r>
          </w:p>
        </w:tc>
        <w:tc>
          <w:tcPr>
            <w:tcW w:w="82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15.00</w:t>
            </w:r>
          </w:p>
        </w:tc>
        <w:tc>
          <w:tcPr>
            <w:tcW w:w="63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5280</w:t>
            </w:r>
          </w:p>
        </w:tc>
        <w:tc>
          <w:tcPr>
            <w:tcW w:w="41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正常</w:t>
            </w:r>
          </w:p>
        </w:tc>
        <w:tc>
          <w:tcPr>
            <w:tcW w:w="98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车间一</w:t>
            </w:r>
          </w:p>
        </w:tc>
        <w:tc>
          <w:tcPr>
            <w:tcW w:w="469"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118.841929</w:t>
            </w:r>
          </w:p>
        </w:tc>
        <w:tc>
          <w:tcPr>
            <w:tcW w:w="43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34.658374</w:t>
            </w:r>
          </w:p>
        </w:tc>
        <w:tc>
          <w:tcPr>
            <w:tcW w:w="66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7.00</w:t>
            </w:r>
          </w:p>
        </w:tc>
        <w:tc>
          <w:tcPr>
            <w:tcW w:w="82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15.00</w:t>
            </w:r>
          </w:p>
        </w:tc>
        <w:tc>
          <w:tcPr>
            <w:tcW w:w="63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5280</w:t>
            </w:r>
          </w:p>
        </w:tc>
        <w:tc>
          <w:tcPr>
            <w:tcW w:w="41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正常</w:t>
            </w:r>
          </w:p>
        </w:tc>
        <w:tc>
          <w:tcPr>
            <w:tcW w:w="98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筛分破碎车间</w:t>
            </w:r>
          </w:p>
        </w:tc>
        <w:tc>
          <w:tcPr>
            <w:tcW w:w="469"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118.841865</w:t>
            </w:r>
          </w:p>
        </w:tc>
        <w:tc>
          <w:tcPr>
            <w:tcW w:w="43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34.657809</w:t>
            </w:r>
          </w:p>
        </w:tc>
        <w:tc>
          <w:tcPr>
            <w:tcW w:w="66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7.00</w:t>
            </w:r>
          </w:p>
        </w:tc>
        <w:tc>
          <w:tcPr>
            <w:tcW w:w="824"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15.00</w:t>
            </w:r>
          </w:p>
        </w:tc>
        <w:tc>
          <w:tcPr>
            <w:tcW w:w="63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5280</w:t>
            </w:r>
          </w:p>
        </w:tc>
        <w:tc>
          <w:tcPr>
            <w:tcW w:w="411"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lang w:val="en-US" w:eastAsia="zh-CN"/>
              </w:rPr>
            </w:pPr>
            <w:r>
              <w:rPr>
                <w:rFonts w:hint="eastAsia"/>
                <w:lang w:val="en-US" w:eastAsia="zh-CN"/>
              </w:rPr>
              <w:t>正常</w:t>
            </w:r>
          </w:p>
        </w:tc>
        <w:tc>
          <w:tcPr>
            <w:tcW w:w="988" w:type="pct"/>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0.2000</w:t>
            </w:r>
          </w:p>
        </w:tc>
      </w:tr>
    </w:tbl>
    <w:p>
      <w:pPr>
        <w:rPr>
          <w:rFonts w:hint="default"/>
          <w:lang w:val="en-US" w:eastAsia="zh-CN"/>
        </w:rPr>
        <w:sectPr>
          <w:pgSz w:w="17338" w:h="11906" w:orient="landscape"/>
          <w:pgMar w:top="1080" w:right="1440" w:bottom="1080" w:left="144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5"/>
        <w:bidi w:val="0"/>
      </w:pPr>
      <w:r>
        <w:rPr>
          <w:rFonts w:hint="eastAsia"/>
          <w:lang w:eastAsia="zh-CN"/>
        </w:rPr>
        <w:t>4</w:t>
      </w:r>
      <w:r>
        <w:t>.4.</w:t>
      </w:r>
      <w:r>
        <w:rPr>
          <w:rFonts w:hint="eastAsia"/>
          <w:lang w:eastAsia="zh-CN"/>
        </w:rPr>
        <w:t>2</w:t>
      </w:r>
      <w:r>
        <w:rPr>
          <w:lang w:eastAsia="zh-CN"/>
        </w:rPr>
        <w:t xml:space="preserve">  </w:t>
      </w:r>
      <w:r>
        <w:t>水污染源调查结果及评价</w:t>
      </w:r>
      <w:bookmarkEnd w:id="63"/>
      <w:bookmarkEnd w:id="64"/>
    </w:p>
    <w:p>
      <w:pPr>
        <w:bidi w:val="0"/>
        <w:rPr>
          <w:rFonts w:hint="eastAsia"/>
          <w:lang w:eastAsia="zh-CN"/>
        </w:rPr>
      </w:pPr>
      <w:r>
        <w:rPr>
          <w:lang w:eastAsia="zh-CN"/>
        </w:rPr>
        <w:t>根据调查统计，评价区域内</w:t>
      </w:r>
      <w:r>
        <w:rPr>
          <w:rFonts w:hint="eastAsia"/>
          <w:lang w:eastAsia="zh-CN"/>
        </w:rPr>
        <w:t>已实现污水集中处理，青湖镇联村污水处理厂已建成投运，区域内企业的工业废水、生活污水已实现接管进行集中处理</w:t>
      </w:r>
      <w:r>
        <w:rPr>
          <w:lang w:eastAsia="zh-CN"/>
        </w:rPr>
        <w:t>，</w:t>
      </w:r>
      <w:r>
        <w:rPr>
          <w:rFonts w:hint="eastAsia"/>
          <w:lang w:eastAsia="zh-CN"/>
        </w:rPr>
        <w:t>评价区域内仅青湖镇联村污水处理厂设有污水排污口。</w:t>
      </w:r>
      <w:r>
        <w:rPr>
          <w:lang w:eastAsia="zh-CN"/>
        </w:rPr>
        <w:t>污染源排放状况见表</w:t>
      </w:r>
      <w:r>
        <w:rPr>
          <w:rFonts w:hint="eastAsia"/>
          <w:lang w:eastAsia="zh-CN"/>
        </w:rPr>
        <w:t>4</w:t>
      </w:r>
      <w:r>
        <w:rPr>
          <w:lang w:eastAsia="zh-CN"/>
        </w:rPr>
        <w:t>.4</w:t>
      </w:r>
      <w:r>
        <w:rPr>
          <w:rFonts w:hint="eastAsia"/>
          <w:lang w:val="en-US" w:eastAsia="zh-CN"/>
        </w:rPr>
        <w:t>.2</w:t>
      </w:r>
      <w:r>
        <w:rPr>
          <w:lang w:eastAsia="zh-CN"/>
        </w:rPr>
        <w:t>-</w:t>
      </w:r>
      <w:r>
        <w:rPr>
          <w:rFonts w:hint="eastAsia"/>
          <w:lang w:eastAsia="zh-CN"/>
        </w:rPr>
        <w:t>1</w:t>
      </w:r>
      <w:r>
        <w:rPr>
          <w:lang w:eastAsia="zh-CN"/>
        </w:rPr>
        <w:t>。</w:t>
      </w:r>
    </w:p>
    <w:p>
      <w:pPr>
        <w:pStyle w:val="27"/>
        <w:bidi w:val="0"/>
        <w:rPr>
          <w:rFonts w:hint="eastAsia"/>
          <w:lang w:eastAsia="zh-CN"/>
        </w:rPr>
      </w:pPr>
      <w:r>
        <w:rPr>
          <w:lang w:eastAsia="zh-CN"/>
        </w:rPr>
        <w:t>表</w:t>
      </w:r>
      <w:r>
        <w:rPr>
          <w:rFonts w:hint="eastAsia"/>
          <w:lang w:val="en-US" w:eastAsia="zh-CN"/>
        </w:rPr>
        <w:t>4.4.2-1</w:t>
      </w:r>
      <w:r>
        <w:rPr>
          <w:lang w:eastAsia="zh-CN"/>
        </w:rPr>
        <w:t xml:space="preserve">  区域主要水污染源排放状况</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3311"/>
        <w:gridCol w:w="940"/>
        <w:gridCol w:w="797"/>
        <w:gridCol w:w="869"/>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90" w:type="pct"/>
            <w:vMerge w:val="restart"/>
            <w:tcBorders>
              <w:tl2br w:val="nil"/>
              <w:tr2bl w:val="nil"/>
            </w:tcBorders>
            <w:noWrap w:val="0"/>
            <w:vAlign w:val="center"/>
          </w:tcPr>
          <w:p>
            <w:pPr>
              <w:pStyle w:val="28"/>
              <w:suppressLineNumbers w:val="0"/>
              <w:bidi w:val="0"/>
              <w:spacing w:before="0" w:after="0"/>
              <w:ind w:left="0" w:right="0"/>
            </w:pPr>
            <w:r>
              <w:t>类别</w:t>
            </w:r>
          </w:p>
        </w:tc>
        <w:tc>
          <w:tcPr>
            <w:tcW w:w="1662" w:type="pct"/>
            <w:vMerge w:val="restart"/>
            <w:tcBorders>
              <w:tl2br w:val="nil"/>
              <w:tr2bl w:val="nil"/>
            </w:tcBorders>
            <w:noWrap w:val="0"/>
            <w:vAlign w:val="center"/>
          </w:tcPr>
          <w:p>
            <w:pPr>
              <w:pStyle w:val="28"/>
              <w:suppressLineNumbers w:val="0"/>
              <w:bidi w:val="0"/>
              <w:spacing w:before="0" w:after="0"/>
              <w:ind w:left="0" w:right="0"/>
            </w:pPr>
            <w:r>
              <w:t>污水排放量（</w:t>
            </w:r>
            <w:r>
              <w:rPr>
                <w:rFonts w:hint="eastAsia"/>
                <w:lang w:eastAsia="zh-CN"/>
              </w:rPr>
              <w:t>10</w:t>
            </w:r>
            <w:r>
              <w:rPr>
                <w:rFonts w:hint="eastAsia"/>
                <w:vertAlign w:val="superscript"/>
                <w:lang w:eastAsia="zh-CN"/>
              </w:rPr>
              <w:t>4</w:t>
            </w:r>
            <w:r>
              <w:t>m</w:t>
            </w:r>
            <w:r>
              <w:rPr>
                <w:vertAlign w:val="superscript"/>
              </w:rPr>
              <w:t>3</w:t>
            </w:r>
            <w:r>
              <w:t>/a）</w:t>
            </w:r>
          </w:p>
        </w:tc>
        <w:tc>
          <w:tcPr>
            <w:tcW w:w="1747" w:type="pct"/>
            <w:gridSpan w:val="4"/>
            <w:tcBorders>
              <w:tl2br w:val="nil"/>
              <w:tr2bl w:val="nil"/>
            </w:tcBorders>
            <w:noWrap w:val="0"/>
            <w:vAlign w:val="center"/>
          </w:tcPr>
          <w:p>
            <w:pPr>
              <w:pStyle w:val="28"/>
              <w:suppressLineNumbers w:val="0"/>
              <w:bidi w:val="0"/>
              <w:spacing w:before="0" w:after="0"/>
              <w:ind w:left="0" w:right="0"/>
            </w:pPr>
            <w: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90" w:type="pct"/>
            <w:vMerge w:val="continue"/>
            <w:tcBorders>
              <w:tl2br w:val="nil"/>
              <w:tr2bl w:val="nil"/>
            </w:tcBorders>
            <w:noWrap w:val="0"/>
            <w:vAlign w:val="center"/>
          </w:tcPr>
          <w:p>
            <w:pPr>
              <w:pStyle w:val="28"/>
              <w:suppressLineNumbers w:val="0"/>
              <w:bidi w:val="0"/>
              <w:spacing w:before="0" w:after="0"/>
              <w:ind w:left="0" w:right="0"/>
              <w:outlineLvl w:val="9"/>
            </w:pPr>
          </w:p>
        </w:tc>
        <w:tc>
          <w:tcPr>
            <w:tcW w:w="1662" w:type="pct"/>
            <w:vMerge w:val="continue"/>
            <w:tcBorders>
              <w:tl2br w:val="nil"/>
              <w:tr2bl w:val="nil"/>
            </w:tcBorders>
            <w:noWrap w:val="0"/>
            <w:vAlign w:val="center"/>
          </w:tcPr>
          <w:p>
            <w:pPr>
              <w:pStyle w:val="28"/>
              <w:suppressLineNumbers w:val="0"/>
              <w:bidi w:val="0"/>
              <w:spacing w:before="0" w:after="0"/>
              <w:ind w:left="0" w:right="0"/>
              <w:outlineLvl w:val="9"/>
            </w:pPr>
          </w:p>
        </w:tc>
        <w:tc>
          <w:tcPr>
            <w:tcW w:w="472" w:type="pct"/>
            <w:tcBorders>
              <w:tl2br w:val="nil"/>
              <w:tr2bl w:val="nil"/>
            </w:tcBorders>
            <w:noWrap w:val="0"/>
            <w:vAlign w:val="center"/>
          </w:tcPr>
          <w:p>
            <w:pPr>
              <w:pStyle w:val="28"/>
              <w:suppressLineNumbers w:val="0"/>
              <w:bidi w:val="0"/>
              <w:spacing w:before="0" w:after="0"/>
              <w:ind w:left="0" w:right="0"/>
            </w:pPr>
            <w:r>
              <w:t>COD</w:t>
            </w:r>
          </w:p>
        </w:tc>
        <w:tc>
          <w:tcPr>
            <w:tcW w:w="400" w:type="pct"/>
            <w:tcBorders>
              <w:tl2br w:val="nil"/>
              <w:tr2bl w:val="nil"/>
            </w:tcBorders>
            <w:noWrap w:val="0"/>
            <w:vAlign w:val="center"/>
          </w:tcPr>
          <w:p>
            <w:pPr>
              <w:pStyle w:val="28"/>
              <w:suppressLineNumbers w:val="0"/>
              <w:bidi w:val="0"/>
              <w:spacing w:before="0" w:after="0"/>
              <w:ind w:left="0" w:right="0"/>
            </w:pPr>
            <w:r>
              <w:t>SS</w:t>
            </w:r>
          </w:p>
        </w:tc>
        <w:tc>
          <w:tcPr>
            <w:tcW w:w="436" w:type="pct"/>
            <w:tcBorders>
              <w:tl2br w:val="nil"/>
              <w:tr2bl w:val="nil"/>
            </w:tcBorders>
            <w:noWrap w:val="0"/>
            <w:vAlign w:val="center"/>
          </w:tcPr>
          <w:p>
            <w:pPr>
              <w:pStyle w:val="28"/>
              <w:suppressLineNumbers w:val="0"/>
              <w:bidi w:val="0"/>
              <w:spacing w:before="0" w:after="0"/>
              <w:ind w:left="0" w:right="0"/>
            </w:pPr>
            <w:r>
              <w:t>氨氮</w:t>
            </w:r>
          </w:p>
        </w:tc>
        <w:tc>
          <w:tcPr>
            <w:tcW w:w="437" w:type="pct"/>
            <w:tcBorders>
              <w:tl2br w:val="nil"/>
              <w:tr2bl w:val="nil"/>
            </w:tcBorders>
            <w:noWrap w:val="0"/>
            <w:vAlign w:val="center"/>
          </w:tcPr>
          <w:p>
            <w:pPr>
              <w:pStyle w:val="28"/>
              <w:suppressLineNumbers w:val="0"/>
              <w:bidi w:val="0"/>
              <w:spacing w:before="0" w:after="0"/>
              <w:ind w:left="0" w:right="0"/>
            </w:pPr>
            <w: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90"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青湖镇联村污水处理厂</w:t>
            </w:r>
          </w:p>
        </w:tc>
        <w:tc>
          <w:tcPr>
            <w:tcW w:w="1662" w:type="pct"/>
            <w:tcBorders>
              <w:tl2br w:val="nil"/>
              <w:tr2bl w:val="nil"/>
            </w:tcBorders>
            <w:noWrap w:val="0"/>
            <w:vAlign w:val="center"/>
          </w:tcPr>
          <w:p>
            <w:pPr>
              <w:pStyle w:val="28"/>
              <w:suppressLineNumbers w:val="0"/>
              <w:bidi w:val="0"/>
              <w:spacing w:before="0" w:after="0"/>
              <w:ind w:left="0" w:right="0"/>
            </w:pPr>
            <w:r>
              <w:rPr>
                <w:rFonts w:hint="eastAsia"/>
                <w:lang w:eastAsia="zh-CN"/>
              </w:rPr>
              <w:t>438</w:t>
            </w:r>
          </w:p>
        </w:tc>
        <w:tc>
          <w:tcPr>
            <w:tcW w:w="47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219</w:t>
            </w:r>
          </w:p>
        </w:tc>
        <w:tc>
          <w:tcPr>
            <w:tcW w:w="400"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43.8</w:t>
            </w:r>
          </w:p>
        </w:tc>
        <w:tc>
          <w:tcPr>
            <w:tcW w:w="43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21.9</w:t>
            </w:r>
          </w:p>
        </w:tc>
        <w:tc>
          <w:tcPr>
            <w:tcW w:w="43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90" w:type="pct"/>
            <w:tcBorders>
              <w:tl2br w:val="nil"/>
              <w:tr2bl w:val="nil"/>
            </w:tcBorders>
            <w:noWrap w:val="0"/>
            <w:vAlign w:val="center"/>
          </w:tcPr>
          <w:p>
            <w:pPr>
              <w:pStyle w:val="28"/>
              <w:suppressLineNumbers w:val="0"/>
              <w:bidi w:val="0"/>
              <w:spacing w:before="0" w:after="0"/>
              <w:ind w:left="0" w:right="0"/>
            </w:pPr>
            <w:r>
              <w:t>农业灌溉</w:t>
            </w:r>
          </w:p>
        </w:tc>
        <w:tc>
          <w:tcPr>
            <w:tcW w:w="166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47</w:t>
            </w:r>
          </w:p>
        </w:tc>
        <w:tc>
          <w:tcPr>
            <w:tcW w:w="47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117.5</w:t>
            </w:r>
          </w:p>
        </w:tc>
        <w:tc>
          <w:tcPr>
            <w:tcW w:w="400"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36.5</w:t>
            </w:r>
          </w:p>
        </w:tc>
        <w:tc>
          <w:tcPr>
            <w:tcW w:w="43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9.4</w:t>
            </w:r>
          </w:p>
        </w:tc>
        <w:tc>
          <w:tcPr>
            <w:tcW w:w="43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90" w:type="pct"/>
            <w:tcBorders>
              <w:tl2br w:val="nil"/>
              <w:tr2bl w:val="nil"/>
            </w:tcBorders>
            <w:noWrap w:val="0"/>
            <w:vAlign w:val="center"/>
          </w:tcPr>
          <w:p>
            <w:pPr>
              <w:pStyle w:val="28"/>
              <w:suppressLineNumbers w:val="0"/>
              <w:bidi w:val="0"/>
              <w:spacing w:before="0" w:after="0"/>
              <w:ind w:left="0" w:right="0"/>
            </w:pPr>
            <w:r>
              <w:t>合计</w:t>
            </w:r>
          </w:p>
        </w:tc>
        <w:tc>
          <w:tcPr>
            <w:tcW w:w="166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485</w:t>
            </w:r>
          </w:p>
        </w:tc>
        <w:tc>
          <w:tcPr>
            <w:tcW w:w="472"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336.5</w:t>
            </w:r>
          </w:p>
        </w:tc>
        <w:tc>
          <w:tcPr>
            <w:tcW w:w="400"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80.3</w:t>
            </w:r>
          </w:p>
        </w:tc>
        <w:tc>
          <w:tcPr>
            <w:tcW w:w="43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31.3</w:t>
            </w:r>
          </w:p>
        </w:tc>
        <w:tc>
          <w:tcPr>
            <w:tcW w:w="437"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4.07</w:t>
            </w:r>
          </w:p>
        </w:tc>
      </w:tr>
    </w:tbl>
    <w:p>
      <w:pPr>
        <w:pStyle w:val="6"/>
        <w:bidi w:val="0"/>
        <w:rPr>
          <w:lang w:val="zh-CN" w:eastAsia="zh-CN"/>
        </w:rPr>
      </w:pPr>
      <w:r>
        <w:rPr>
          <w:rFonts w:hint="eastAsia"/>
          <w:lang w:val="zh-CN" w:eastAsia="zh-CN"/>
        </w:rPr>
        <w:t>4</w:t>
      </w:r>
      <w:r>
        <w:rPr>
          <w:lang w:val="zh-CN" w:eastAsia="zh-CN"/>
        </w:rPr>
        <w:t>.4.</w:t>
      </w:r>
      <w:r>
        <w:rPr>
          <w:rFonts w:hint="eastAsia"/>
          <w:lang w:val="zh-CN" w:eastAsia="zh-CN"/>
        </w:rPr>
        <w:t>2</w:t>
      </w:r>
      <w:r>
        <w:rPr>
          <w:lang w:val="zh-CN" w:eastAsia="zh-CN"/>
        </w:rPr>
        <w:t>.1  评价方法</w:t>
      </w:r>
    </w:p>
    <w:p>
      <w:pPr>
        <w:adjustRightInd w:val="0"/>
        <w:snapToGrid w:val="0"/>
        <w:spacing w:line="360" w:lineRule="auto"/>
        <w:ind w:firstLine="560" w:firstLineChars="200"/>
        <w:jc w:val="both"/>
        <w:rPr>
          <w:rFonts w:ascii="Times New Roman" w:hAnsi="Times New Roman"/>
          <w:lang w:eastAsia="zh-CN"/>
        </w:rPr>
      </w:pPr>
      <w:r>
        <w:rPr>
          <w:rFonts w:ascii="Times New Roman" w:hAnsi="Times New Roman"/>
          <w:lang w:eastAsia="zh-CN"/>
        </w:rPr>
        <w:t>采用等标污染负荷法及污染负荷比法进行分析。</w:t>
      </w:r>
    </w:p>
    <w:p>
      <w:pPr>
        <w:adjustRightInd w:val="0"/>
        <w:snapToGrid w:val="0"/>
        <w:spacing w:line="360" w:lineRule="auto"/>
        <w:ind w:firstLine="560" w:firstLineChars="200"/>
        <w:jc w:val="both"/>
        <w:rPr>
          <w:rFonts w:ascii="Times New Roman" w:hAnsi="Times New Roman"/>
          <w:lang w:eastAsia="zh-CN"/>
        </w:rPr>
      </w:pPr>
      <w:r>
        <w:rPr>
          <w:rFonts w:ascii="Times New Roman" w:hAnsi="Times New Roman"/>
          <w:lang w:eastAsia="zh-CN"/>
        </w:rPr>
        <w:t>（1）废水中某污染物的等标污染负荷P</w:t>
      </w:r>
      <w:r>
        <w:rPr>
          <w:rFonts w:ascii="Times New Roman" w:hAnsi="Times New Roman"/>
          <w:vertAlign w:val="subscript"/>
          <w:lang w:eastAsia="zh-CN"/>
        </w:rPr>
        <w:t>i</w:t>
      </w:r>
    </w:p>
    <w:p>
      <w:pPr>
        <w:spacing w:line="360" w:lineRule="auto"/>
        <w:ind w:firstLine="560" w:firstLineChars="200"/>
        <w:jc w:val="center"/>
        <w:rPr>
          <w:rFonts w:ascii="Times New Roman" w:hAnsi="Times New Roman"/>
        </w:rPr>
      </w:pPr>
      <w:r>
        <w:rPr>
          <w:rFonts w:ascii="Times New Roman" w:hAnsi="Times New Roman"/>
        </w:rPr>
        <w:object>
          <v:shape id="_x0000_i1025" o:spt="75" type="#_x0000_t75" style="height:36pt;width:72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p>
    <w:p>
      <w:pPr>
        <w:spacing w:line="360" w:lineRule="auto"/>
        <w:ind w:firstLine="560" w:firstLineChars="200"/>
        <w:rPr>
          <w:rFonts w:ascii="Times New Roman" w:hAnsi="Times New Roman"/>
          <w:lang w:eastAsia="zh-CN"/>
        </w:rPr>
      </w:pPr>
      <w:r>
        <w:rPr>
          <w:rFonts w:ascii="Times New Roman" w:hAnsi="Times New Roman"/>
          <w:lang w:eastAsia="zh-CN"/>
        </w:rPr>
        <w:t xml:space="preserve">      式中：Q</w:t>
      </w:r>
      <w:r>
        <w:rPr>
          <w:rFonts w:ascii="Times New Roman" w:hAnsi="Times New Roman"/>
          <w:vertAlign w:val="subscript"/>
          <w:lang w:eastAsia="zh-CN"/>
        </w:rPr>
        <w:t>i</w:t>
      </w:r>
      <w:r>
        <w:rPr>
          <w:rFonts w:ascii="Times New Roman" w:hAnsi="Times New Roman"/>
          <w:lang w:eastAsia="zh-CN"/>
        </w:rPr>
        <w:t>——废水中某污染物的排放量（t/a）</w:t>
      </w:r>
    </w:p>
    <w:p>
      <w:pPr>
        <w:spacing w:line="360" w:lineRule="auto"/>
        <w:ind w:firstLine="560" w:firstLineChars="200"/>
        <w:rPr>
          <w:rFonts w:ascii="Times New Roman" w:hAnsi="Times New Roman"/>
          <w:lang w:eastAsia="zh-CN"/>
        </w:rPr>
      </w:pPr>
      <w:r>
        <w:rPr>
          <w:rFonts w:ascii="Times New Roman" w:hAnsi="Times New Roman"/>
          <w:lang w:eastAsia="zh-CN"/>
        </w:rPr>
        <w:t xml:space="preserve">           C</w:t>
      </w:r>
      <w:r>
        <w:rPr>
          <w:rFonts w:ascii="Times New Roman" w:hAnsi="Times New Roman"/>
          <w:vertAlign w:val="subscript"/>
          <w:lang w:eastAsia="zh-CN"/>
        </w:rPr>
        <w:t>0i</w:t>
      </w:r>
      <w:r>
        <w:rPr>
          <w:rFonts w:ascii="Times New Roman" w:hAnsi="Times New Roman"/>
          <w:lang w:eastAsia="zh-CN"/>
        </w:rPr>
        <w:t>——某污染物的评价标准（mg/L）</w:t>
      </w:r>
    </w:p>
    <w:p>
      <w:pPr>
        <w:spacing w:line="360" w:lineRule="auto"/>
        <w:ind w:firstLine="560" w:firstLineChars="200"/>
        <w:rPr>
          <w:rFonts w:ascii="Times New Roman" w:hAnsi="Times New Roman"/>
          <w:lang w:eastAsia="zh-CN"/>
        </w:rPr>
      </w:pPr>
      <w:r>
        <w:rPr>
          <w:rFonts w:ascii="Times New Roman" w:hAnsi="Times New Roman"/>
          <w:lang w:eastAsia="zh-CN"/>
        </w:rPr>
        <w:t>（2）某污染源（工厂）的等标污染负荷P</w:t>
      </w:r>
      <w:r>
        <w:rPr>
          <w:rFonts w:ascii="Times New Roman" w:hAnsi="Times New Roman"/>
          <w:vertAlign w:val="subscript"/>
          <w:lang w:eastAsia="zh-CN"/>
        </w:rPr>
        <w:t>n</w:t>
      </w:r>
    </w:p>
    <w:p>
      <w:pPr>
        <w:spacing w:line="360" w:lineRule="auto"/>
        <w:ind w:firstLine="560" w:firstLineChars="200"/>
        <w:jc w:val="center"/>
        <w:rPr>
          <w:rFonts w:ascii="Times New Roman" w:hAnsi="Times New Roman"/>
          <w:lang w:eastAsia="zh-CN"/>
        </w:rPr>
      </w:pPr>
      <w:r>
        <w:rPr>
          <w:rFonts w:ascii="Times New Roman" w:hAnsi="Times New Roman"/>
        </w:rPr>
        <w:object>
          <v:shape id="_x0000_i1026" o:spt="75" type="#_x0000_t75" style="height:36pt;width:51.45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r>
        <w:rPr>
          <w:rFonts w:ascii="Times New Roman" w:hAnsi="Times New Roman"/>
          <w:lang w:eastAsia="zh-CN"/>
        </w:rPr>
        <w:t xml:space="preserve">        (i=1,2,… …,j)</w:t>
      </w:r>
    </w:p>
    <w:p>
      <w:pPr>
        <w:spacing w:line="360" w:lineRule="auto"/>
        <w:ind w:firstLine="560" w:firstLineChars="200"/>
        <w:rPr>
          <w:rFonts w:ascii="Times New Roman" w:hAnsi="Times New Roman"/>
          <w:lang w:eastAsia="zh-CN"/>
        </w:rPr>
      </w:pPr>
      <w:r>
        <w:rPr>
          <w:rFonts w:ascii="Times New Roman" w:hAnsi="Times New Roman"/>
          <w:lang w:eastAsia="zh-CN"/>
        </w:rPr>
        <w:t>（3）评价区内总等标污染负荷P</w:t>
      </w:r>
    </w:p>
    <w:p>
      <w:pPr>
        <w:spacing w:line="360" w:lineRule="auto"/>
        <w:ind w:firstLine="560" w:firstLineChars="200"/>
        <w:jc w:val="center"/>
        <w:rPr>
          <w:rFonts w:ascii="Times New Roman" w:hAnsi="Times New Roman"/>
          <w:lang w:eastAsia="zh-CN"/>
        </w:rPr>
      </w:pPr>
      <w:r>
        <w:rPr>
          <w:rFonts w:ascii="Times New Roman" w:hAnsi="Times New Roman"/>
        </w:rPr>
        <w:object>
          <v:shape id="_x0000_i1027" o:spt="75" type="#_x0000_t75" style="height:36pt;width:51.45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r>
        <w:rPr>
          <w:rFonts w:ascii="Times New Roman" w:hAnsi="Times New Roman"/>
          <w:lang w:eastAsia="zh-CN"/>
        </w:rPr>
        <w:t xml:space="preserve">        (n=1,2,… …,k)</w:t>
      </w:r>
    </w:p>
    <w:p>
      <w:pPr>
        <w:spacing w:line="360" w:lineRule="auto"/>
        <w:ind w:firstLine="560" w:firstLineChars="200"/>
        <w:rPr>
          <w:rFonts w:ascii="Times New Roman" w:hAnsi="Times New Roman"/>
          <w:lang w:eastAsia="zh-CN"/>
        </w:rPr>
      </w:pPr>
      <w:r>
        <w:rPr>
          <w:rFonts w:ascii="Times New Roman" w:hAnsi="Times New Roman"/>
          <w:lang w:eastAsia="zh-CN"/>
        </w:rPr>
        <w:t>（4）某污染物在污染源或评价区内的污染负荷比K</w:t>
      </w:r>
      <w:r>
        <w:rPr>
          <w:rFonts w:ascii="Times New Roman" w:hAnsi="Times New Roman"/>
          <w:vertAlign w:val="subscript"/>
          <w:lang w:eastAsia="zh-CN"/>
        </w:rPr>
        <w:t>i</w:t>
      </w:r>
    </w:p>
    <w:p>
      <w:pPr>
        <w:spacing w:line="360" w:lineRule="auto"/>
        <w:ind w:firstLine="560" w:firstLineChars="200"/>
        <w:jc w:val="center"/>
        <w:rPr>
          <w:rFonts w:ascii="Times New Roman" w:hAnsi="Times New Roman"/>
        </w:rPr>
      </w:pPr>
      <w:r>
        <w:rPr>
          <w:rFonts w:ascii="Times New Roman" w:hAnsi="Times New Roman"/>
        </w:rPr>
        <w:object>
          <v:shape id="_x0000_i1028" o:spt="75" type="#_x0000_t75" style="height:36pt;width:82.3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p>
    <w:p>
      <w:pPr>
        <w:spacing w:line="360" w:lineRule="auto"/>
        <w:ind w:firstLine="560" w:firstLineChars="200"/>
        <w:rPr>
          <w:rFonts w:ascii="Times New Roman" w:hAnsi="Times New Roman"/>
          <w:lang w:eastAsia="zh-CN"/>
        </w:rPr>
      </w:pPr>
      <w:r>
        <w:rPr>
          <w:rFonts w:ascii="Times New Roman" w:hAnsi="Times New Roman"/>
          <w:lang w:eastAsia="zh-CN"/>
        </w:rPr>
        <w:t>（5）某污染源在评价区内的污染负荷比K</w:t>
      </w:r>
      <w:r>
        <w:rPr>
          <w:rFonts w:ascii="Times New Roman" w:hAnsi="Times New Roman"/>
          <w:vertAlign w:val="subscript"/>
          <w:lang w:eastAsia="zh-CN"/>
        </w:rPr>
        <w:t>n</w:t>
      </w:r>
    </w:p>
    <w:p>
      <w:pPr>
        <w:adjustRightInd w:val="0"/>
        <w:snapToGrid w:val="0"/>
        <w:spacing w:line="360" w:lineRule="auto"/>
        <w:ind w:firstLine="560"/>
        <w:jc w:val="center"/>
        <w:rPr>
          <w:rFonts w:ascii="Times New Roman" w:hAnsi="Times New Roman"/>
          <w:sz w:val="28"/>
          <w:szCs w:val="28"/>
          <w:lang w:eastAsia="zh-CN"/>
        </w:rPr>
      </w:pPr>
      <w:r>
        <w:rPr>
          <w:rFonts w:ascii="Times New Roman" w:hAnsi="Times New Roman"/>
        </w:rPr>
        <w:object>
          <v:shape id="_x0000_i1029" o:spt="75" type="#_x0000_t75" style="height:30.85pt;width:82.35pt;" o:ole="t" filled="f" o:preferrelative="t" stroked="f" coordsize="21600,21600">
            <v:path/>
            <v:fill on="f" focussize="0,0"/>
            <v:stroke on="f"/>
            <v:imagedata r:id="rId19" o:title=""/>
            <o:lock v:ext="edit" aspectratio="t"/>
            <w10:wrap type="none"/>
            <w10:anchorlock/>
          </v:shape>
          <o:OLEObject Type="Embed" ProgID="Equation.3" ShapeID="_x0000_i1029" DrawAspect="Content" ObjectID="_1468075729" r:id="rId18">
            <o:LockedField>false</o:LockedField>
          </o:OLEObject>
        </w:object>
      </w:r>
    </w:p>
    <w:p>
      <w:pPr>
        <w:pStyle w:val="6"/>
        <w:bidi w:val="0"/>
        <w:rPr>
          <w:lang w:val="zh-CN" w:eastAsia="zh-CN"/>
        </w:rPr>
      </w:pPr>
      <w:r>
        <w:rPr>
          <w:rFonts w:hint="eastAsia"/>
          <w:lang w:val="zh-CN" w:eastAsia="zh-CN"/>
        </w:rPr>
        <w:t>4</w:t>
      </w:r>
      <w:r>
        <w:rPr>
          <w:lang w:val="zh-CN" w:eastAsia="zh-CN"/>
        </w:rPr>
        <w:t>.4.</w:t>
      </w:r>
      <w:r>
        <w:rPr>
          <w:rFonts w:hint="eastAsia"/>
          <w:lang w:val="zh-CN" w:eastAsia="zh-CN"/>
        </w:rPr>
        <w:t>2</w:t>
      </w:r>
      <w:r>
        <w:rPr>
          <w:lang w:val="zh-CN" w:eastAsia="zh-CN"/>
        </w:rPr>
        <w:t>.2  废水污染源评价标准</w:t>
      </w:r>
    </w:p>
    <w:p>
      <w:pPr>
        <w:bidi w:val="0"/>
        <w:rPr>
          <w:lang w:eastAsia="zh-CN"/>
        </w:rPr>
      </w:pPr>
      <w:r>
        <w:rPr>
          <w:lang w:eastAsia="zh-CN"/>
        </w:rPr>
        <w:t>本次废水污染源</w:t>
      </w:r>
      <w:r>
        <w:rPr>
          <w:rFonts w:hint="eastAsia"/>
          <w:lang w:eastAsia="zh-CN"/>
        </w:rPr>
        <w:t>COD、SS</w:t>
      </w:r>
      <w:r>
        <w:rPr>
          <w:lang w:eastAsia="zh-CN"/>
        </w:rPr>
        <w:t>评价标准采用《环境统计手册》第十章第二节中表10-1标准</w:t>
      </w:r>
      <w:r>
        <w:rPr>
          <w:rFonts w:hint="eastAsia"/>
          <w:lang w:eastAsia="zh-CN"/>
        </w:rPr>
        <w:t>，NH</w:t>
      </w:r>
      <w:r>
        <w:rPr>
          <w:rFonts w:hint="eastAsia"/>
          <w:vertAlign w:val="subscript"/>
          <w:lang w:eastAsia="zh-CN"/>
        </w:rPr>
        <w:t>3</w:t>
      </w:r>
      <w:r>
        <w:rPr>
          <w:rFonts w:hint="eastAsia"/>
          <w:lang w:eastAsia="zh-CN"/>
        </w:rPr>
        <w:t>-N、TN、TP评价标准采用《地表水环境质量标准》（GB3838-2002）Ⅲ类标准</w:t>
      </w:r>
      <w:r>
        <w:rPr>
          <w:lang w:eastAsia="zh-CN"/>
        </w:rPr>
        <w:t>。如表</w:t>
      </w:r>
      <w:r>
        <w:rPr>
          <w:rFonts w:hint="eastAsia"/>
          <w:lang w:val="en-US" w:eastAsia="zh-CN"/>
        </w:rPr>
        <w:t>4.4.2-2</w:t>
      </w:r>
      <w:r>
        <w:rPr>
          <w:lang w:eastAsia="zh-CN"/>
        </w:rPr>
        <w:t>所示。</w:t>
      </w:r>
    </w:p>
    <w:p>
      <w:pPr>
        <w:pStyle w:val="27"/>
        <w:bidi w:val="0"/>
      </w:pPr>
      <w:r>
        <w:t>表</w:t>
      </w:r>
      <w:r>
        <w:rPr>
          <w:rFonts w:hint="eastAsia"/>
          <w:lang w:val="en-US" w:eastAsia="zh-CN"/>
        </w:rPr>
        <w:t>4.4.2-2</w:t>
      </w:r>
      <w:r>
        <w:t xml:space="preserve">  废水污染源评价标准一览表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3289"/>
        <w:gridCol w:w="5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pPr>
              <w:pStyle w:val="28"/>
              <w:suppressLineNumbers w:val="0"/>
              <w:bidi w:val="0"/>
              <w:spacing w:before="0" w:after="0"/>
              <w:ind w:left="0" w:right="0"/>
            </w:pPr>
            <w:r>
              <w:t>编号</w:t>
            </w:r>
          </w:p>
        </w:tc>
        <w:tc>
          <w:tcPr>
            <w:tcW w:w="1651" w:type="pct"/>
            <w:tcBorders>
              <w:tl2br w:val="nil"/>
              <w:tr2bl w:val="nil"/>
            </w:tcBorders>
            <w:noWrap w:val="0"/>
            <w:vAlign w:val="center"/>
          </w:tcPr>
          <w:p>
            <w:pPr>
              <w:pStyle w:val="28"/>
              <w:suppressLineNumbers w:val="0"/>
              <w:bidi w:val="0"/>
              <w:spacing w:before="0" w:after="0"/>
              <w:ind w:left="0" w:right="0"/>
            </w:pPr>
            <w:r>
              <w:t>污染物名称</w:t>
            </w:r>
          </w:p>
        </w:tc>
        <w:tc>
          <w:tcPr>
            <w:tcW w:w="2519" w:type="pct"/>
            <w:tcBorders>
              <w:tl2br w:val="nil"/>
              <w:tr2bl w:val="nil"/>
            </w:tcBorders>
            <w:noWrap w:val="0"/>
            <w:vAlign w:val="center"/>
          </w:tcPr>
          <w:p>
            <w:pPr>
              <w:pStyle w:val="28"/>
              <w:suppressLineNumbers w:val="0"/>
              <w:bidi w:val="0"/>
              <w:spacing w:before="0" w:after="0"/>
              <w:ind w:left="0" w:right="0"/>
            </w:pPr>
            <w:r>
              <w:t>评价标准（mg/</w:t>
            </w:r>
            <w:r>
              <w:rPr>
                <w:rFonts w:hint="eastAsia"/>
                <w:lang w:eastAsia="zh-CN"/>
              </w:rPr>
              <w:t>L</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pPr>
              <w:pStyle w:val="28"/>
              <w:suppressLineNumbers w:val="0"/>
              <w:bidi w:val="0"/>
              <w:spacing w:before="0" w:after="0"/>
              <w:ind w:left="0" w:right="0"/>
            </w:pPr>
            <w:r>
              <w:t>1</w:t>
            </w:r>
          </w:p>
        </w:tc>
        <w:tc>
          <w:tcPr>
            <w:tcW w:w="1651"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COD</w:t>
            </w:r>
          </w:p>
        </w:tc>
        <w:tc>
          <w:tcPr>
            <w:tcW w:w="251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pPr>
              <w:pStyle w:val="28"/>
              <w:suppressLineNumbers w:val="0"/>
              <w:bidi w:val="0"/>
              <w:spacing w:before="0" w:after="0"/>
              <w:ind w:left="0" w:right="0"/>
            </w:pPr>
            <w:r>
              <w:t>2</w:t>
            </w:r>
          </w:p>
        </w:tc>
        <w:tc>
          <w:tcPr>
            <w:tcW w:w="1651"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SS</w:t>
            </w:r>
          </w:p>
        </w:tc>
        <w:tc>
          <w:tcPr>
            <w:tcW w:w="251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w:t>
            </w:r>
          </w:p>
        </w:tc>
        <w:tc>
          <w:tcPr>
            <w:tcW w:w="1651"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NH</w:t>
            </w:r>
            <w:r>
              <w:rPr>
                <w:rFonts w:hint="eastAsia"/>
                <w:vertAlign w:val="subscript"/>
                <w:lang w:eastAsia="zh-CN"/>
              </w:rPr>
              <w:t>3</w:t>
            </w:r>
            <w:r>
              <w:rPr>
                <w:rFonts w:hint="eastAsia"/>
                <w:lang w:eastAsia="zh-CN"/>
              </w:rPr>
              <w:t>-N</w:t>
            </w:r>
          </w:p>
        </w:tc>
        <w:tc>
          <w:tcPr>
            <w:tcW w:w="251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4</w:t>
            </w:r>
          </w:p>
        </w:tc>
        <w:tc>
          <w:tcPr>
            <w:tcW w:w="1651"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TP</w:t>
            </w:r>
          </w:p>
        </w:tc>
        <w:tc>
          <w:tcPr>
            <w:tcW w:w="2519"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0.2</w:t>
            </w:r>
          </w:p>
        </w:tc>
      </w:tr>
    </w:tbl>
    <w:p>
      <w:pPr>
        <w:pStyle w:val="6"/>
        <w:bidi w:val="0"/>
        <w:rPr>
          <w:lang w:val="zh-CN" w:eastAsia="zh-CN"/>
        </w:rPr>
      </w:pPr>
      <w:r>
        <w:rPr>
          <w:rFonts w:hint="eastAsia"/>
          <w:lang w:val="zh-CN" w:eastAsia="zh-CN"/>
        </w:rPr>
        <w:t>4</w:t>
      </w:r>
      <w:r>
        <w:rPr>
          <w:lang w:val="zh-CN" w:eastAsia="zh-CN"/>
        </w:rPr>
        <w:t>.4.</w:t>
      </w:r>
      <w:r>
        <w:rPr>
          <w:rFonts w:hint="eastAsia"/>
          <w:lang w:val="en-US" w:eastAsia="zh-CN"/>
        </w:rPr>
        <w:t>2</w:t>
      </w:r>
      <w:r>
        <w:rPr>
          <w:lang w:val="zh-CN" w:eastAsia="zh-CN"/>
        </w:rPr>
        <w:t>.3  评价结果</w:t>
      </w:r>
    </w:p>
    <w:p>
      <w:pPr>
        <w:bidi w:val="0"/>
        <w:rPr>
          <w:lang w:eastAsia="zh-CN"/>
        </w:rPr>
      </w:pPr>
      <w:r>
        <w:rPr>
          <w:lang w:eastAsia="zh-CN"/>
        </w:rPr>
        <w:t>评价区内企业等标污染负荷见表</w:t>
      </w:r>
      <w:r>
        <w:rPr>
          <w:rFonts w:hint="eastAsia"/>
          <w:lang w:val="en-US" w:eastAsia="zh-CN"/>
        </w:rPr>
        <w:t>4.4.2</w:t>
      </w:r>
      <w:r>
        <w:rPr>
          <w:lang w:eastAsia="zh-CN"/>
        </w:rPr>
        <w:t>-</w:t>
      </w:r>
      <w:r>
        <w:rPr>
          <w:rFonts w:hint="eastAsia"/>
          <w:lang w:eastAsia="zh-CN"/>
        </w:rPr>
        <w:t>3</w:t>
      </w:r>
      <w:r>
        <w:rPr>
          <w:lang w:eastAsia="zh-CN"/>
        </w:rPr>
        <w:t>。</w:t>
      </w:r>
    </w:p>
    <w:p>
      <w:pPr>
        <w:pStyle w:val="27"/>
        <w:bidi w:val="0"/>
      </w:pPr>
      <w:r>
        <w:t>表</w:t>
      </w:r>
      <w:r>
        <w:rPr>
          <w:rFonts w:hint="eastAsia"/>
          <w:lang w:val="en-US" w:eastAsia="zh-CN"/>
        </w:rPr>
        <w:t>4.4.2-3</w:t>
      </w:r>
      <w:r>
        <w:t xml:space="preserve"> 评价区域内废水污染源等标污染负荷</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1227"/>
        <w:gridCol w:w="1227"/>
        <w:gridCol w:w="1223"/>
        <w:gridCol w:w="1223"/>
        <w:gridCol w:w="1224"/>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企业名称</w:t>
            </w:r>
          </w:p>
        </w:tc>
        <w:tc>
          <w:tcPr>
            <w:tcW w:w="616" w:type="pct"/>
            <w:tcBorders>
              <w:tl2br w:val="nil"/>
              <w:tr2bl w:val="nil"/>
            </w:tcBorders>
            <w:noWrap w:val="0"/>
            <w:vAlign w:val="center"/>
          </w:tcPr>
          <w:p>
            <w:pPr>
              <w:pStyle w:val="28"/>
              <w:suppressLineNumbers w:val="0"/>
              <w:bidi w:val="0"/>
              <w:spacing w:before="0" w:after="0"/>
              <w:ind w:left="0" w:right="0"/>
              <w:rPr>
                <w:lang w:eastAsia="zh-CN"/>
              </w:rPr>
            </w:pPr>
            <w:r>
              <w:t>P</w:t>
            </w:r>
            <w:r>
              <w:rPr>
                <w:vertAlign w:val="subscript"/>
                <w:lang w:eastAsia="zh-CN"/>
              </w:rPr>
              <w:t>COD</w:t>
            </w:r>
          </w:p>
        </w:tc>
        <w:tc>
          <w:tcPr>
            <w:tcW w:w="616" w:type="pct"/>
            <w:tcBorders>
              <w:tl2br w:val="nil"/>
              <w:tr2bl w:val="nil"/>
            </w:tcBorders>
            <w:noWrap w:val="0"/>
            <w:vAlign w:val="center"/>
          </w:tcPr>
          <w:p>
            <w:pPr>
              <w:pStyle w:val="28"/>
              <w:suppressLineNumbers w:val="0"/>
              <w:bidi w:val="0"/>
              <w:spacing w:before="0" w:after="0"/>
              <w:ind w:left="0" w:right="0"/>
              <w:rPr>
                <w:lang w:eastAsia="zh-CN"/>
              </w:rPr>
            </w:pPr>
            <w:r>
              <w:t>P</w:t>
            </w:r>
            <w:r>
              <w:rPr>
                <w:vertAlign w:val="subscript"/>
                <w:lang w:eastAsia="zh-CN"/>
              </w:rPr>
              <w:t>SS</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t>P</w:t>
            </w:r>
            <w:r>
              <w:rPr>
                <w:vertAlign w:val="subscript"/>
                <w:lang w:eastAsia="zh-CN"/>
              </w:rPr>
              <w:t>NH3-N</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t>P</w:t>
            </w:r>
            <w:r>
              <w:rPr>
                <w:vertAlign w:val="subscript"/>
                <w:lang w:eastAsia="zh-CN"/>
              </w:rPr>
              <w:t>TP</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Kn（%）</w:t>
            </w:r>
          </w:p>
        </w:tc>
        <w:tc>
          <w:tcPr>
            <w:tcW w:w="612" w:type="pct"/>
            <w:tcBorders>
              <w:tl2br w:val="nil"/>
              <w:tr2bl w:val="nil"/>
            </w:tcBorders>
            <w:noWrap w:val="0"/>
            <w:vAlign w:val="center"/>
          </w:tcPr>
          <w:p>
            <w:pPr>
              <w:pStyle w:val="28"/>
              <w:suppressLineNumbers w:val="0"/>
              <w:bidi w:val="0"/>
              <w:spacing w:before="0" w:after="0"/>
              <w:ind w:left="0" w:right="0"/>
              <w:rPr>
                <w:lang w:eastAsia="zh-CN"/>
              </w:rPr>
            </w:pPr>
            <w:r>
              <w:rPr>
                <w:lang w:eastAsia="zh-CN"/>
              </w:rPr>
              <w:t>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青湖镇联村污水处理厂</w:t>
            </w:r>
          </w:p>
        </w:tc>
        <w:tc>
          <w:tcPr>
            <w:tcW w:w="616" w:type="pct"/>
            <w:tcBorders>
              <w:tl2br w:val="nil"/>
              <w:tr2bl w:val="nil"/>
            </w:tcBorders>
            <w:noWrap w:val="0"/>
            <w:vAlign w:val="center"/>
          </w:tcPr>
          <w:p>
            <w:pPr>
              <w:pStyle w:val="28"/>
              <w:suppressLineNumbers w:val="0"/>
              <w:bidi w:val="0"/>
              <w:spacing w:before="0" w:after="0"/>
              <w:ind w:left="0" w:right="0"/>
            </w:pPr>
            <w:r>
              <w:t>21.9</w:t>
            </w:r>
          </w:p>
        </w:tc>
        <w:tc>
          <w:tcPr>
            <w:tcW w:w="616" w:type="pct"/>
            <w:tcBorders>
              <w:tl2br w:val="nil"/>
              <w:tr2bl w:val="nil"/>
            </w:tcBorders>
            <w:noWrap w:val="0"/>
            <w:vAlign w:val="center"/>
          </w:tcPr>
          <w:p>
            <w:pPr>
              <w:pStyle w:val="28"/>
              <w:suppressLineNumbers w:val="0"/>
              <w:bidi w:val="0"/>
              <w:spacing w:before="0" w:after="0"/>
              <w:ind w:left="0" w:right="0"/>
            </w:pPr>
            <w:r>
              <w:t>0.876</w:t>
            </w:r>
          </w:p>
        </w:tc>
        <w:tc>
          <w:tcPr>
            <w:tcW w:w="614" w:type="pct"/>
            <w:tcBorders>
              <w:tl2br w:val="nil"/>
              <w:tr2bl w:val="nil"/>
            </w:tcBorders>
            <w:noWrap w:val="0"/>
            <w:vAlign w:val="center"/>
          </w:tcPr>
          <w:p>
            <w:pPr>
              <w:pStyle w:val="28"/>
              <w:suppressLineNumbers w:val="0"/>
              <w:bidi w:val="0"/>
              <w:spacing w:before="0" w:after="0"/>
              <w:ind w:left="0" w:right="0"/>
            </w:pPr>
            <w:r>
              <w:t>21.9</w:t>
            </w:r>
          </w:p>
        </w:tc>
        <w:tc>
          <w:tcPr>
            <w:tcW w:w="614" w:type="pct"/>
            <w:tcBorders>
              <w:tl2br w:val="nil"/>
              <w:tr2bl w:val="nil"/>
            </w:tcBorders>
            <w:noWrap w:val="0"/>
            <w:vAlign w:val="center"/>
          </w:tcPr>
          <w:p>
            <w:pPr>
              <w:pStyle w:val="28"/>
              <w:suppressLineNumbers w:val="0"/>
              <w:bidi w:val="0"/>
              <w:spacing w:before="0" w:after="0"/>
              <w:ind w:left="0" w:right="0"/>
            </w:pPr>
            <w:r>
              <w:t>10.95</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62.6</w:t>
            </w:r>
          </w:p>
        </w:tc>
        <w:tc>
          <w:tcPr>
            <w:tcW w:w="612" w:type="pct"/>
            <w:tcBorders>
              <w:tl2br w:val="nil"/>
              <w:tr2bl w:val="nil"/>
            </w:tcBorders>
            <w:noWrap w:val="0"/>
            <w:vAlign w:val="center"/>
          </w:tcPr>
          <w:p>
            <w:pPr>
              <w:pStyle w:val="28"/>
              <w:suppressLineNumbers w:val="0"/>
              <w:bidi w:val="0"/>
              <w:spacing w:before="0" w:after="0"/>
              <w:ind w:left="0" w:right="0"/>
              <w:rPr>
                <w:lang w:eastAsia="zh-CN"/>
              </w:rPr>
            </w:pPr>
            <w:r>
              <w:rPr>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农业灌溉</w:t>
            </w:r>
          </w:p>
        </w:tc>
        <w:tc>
          <w:tcPr>
            <w:tcW w:w="61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11.75</w:t>
            </w:r>
          </w:p>
        </w:tc>
        <w:tc>
          <w:tcPr>
            <w:tcW w:w="61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0.73</w:t>
            </w:r>
          </w:p>
        </w:tc>
        <w:tc>
          <w:tcPr>
            <w:tcW w:w="614"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9.4</w:t>
            </w:r>
          </w:p>
        </w:tc>
        <w:tc>
          <w:tcPr>
            <w:tcW w:w="614"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9.4</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37.4</w:t>
            </w:r>
          </w:p>
        </w:tc>
        <w:tc>
          <w:tcPr>
            <w:tcW w:w="612"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Kn（%）</w:t>
            </w:r>
          </w:p>
        </w:tc>
        <w:tc>
          <w:tcPr>
            <w:tcW w:w="61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38.8</w:t>
            </w:r>
          </w:p>
        </w:tc>
        <w:tc>
          <w:tcPr>
            <w:tcW w:w="616"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1.8</w:t>
            </w:r>
          </w:p>
        </w:tc>
        <w:tc>
          <w:tcPr>
            <w:tcW w:w="614"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36</w:t>
            </w:r>
          </w:p>
        </w:tc>
        <w:tc>
          <w:tcPr>
            <w:tcW w:w="614" w:type="pc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23.4</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100</w:t>
            </w:r>
          </w:p>
        </w:tc>
        <w:tc>
          <w:tcPr>
            <w:tcW w:w="612"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14" w:type="pct"/>
            <w:tcBorders>
              <w:tl2br w:val="nil"/>
              <w:tr2bl w:val="nil"/>
            </w:tcBorders>
            <w:noWrap w:val="0"/>
            <w:vAlign w:val="center"/>
          </w:tcPr>
          <w:p>
            <w:pPr>
              <w:pStyle w:val="28"/>
              <w:suppressLineNumbers w:val="0"/>
              <w:bidi w:val="0"/>
              <w:spacing w:before="0" w:after="0"/>
              <w:ind w:left="0" w:right="0"/>
              <w:rPr>
                <w:lang w:eastAsia="zh-CN"/>
              </w:rPr>
            </w:pPr>
            <w:r>
              <w:rPr>
                <w:lang w:eastAsia="zh-CN"/>
              </w:rPr>
              <w:t>排序</w:t>
            </w:r>
          </w:p>
        </w:tc>
        <w:tc>
          <w:tcPr>
            <w:tcW w:w="616" w:type="pct"/>
            <w:tcBorders>
              <w:tl2br w:val="nil"/>
              <w:tr2bl w:val="nil"/>
            </w:tcBorders>
            <w:noWrap w:val="0"/>
            <w:vAlign w:val="center"/>
          </w:tcPr>
          <w:p>
            <w:pPr>
              <w:pStyle w:val="28"/>
              <w:suppressLineNumbers w:val="0"/>
              <w:bidi w:val="0"/>
              <w:spacing w:before="0" w:after="0"/>
              <w:ind w:left="0" w:right="0"/>
              <w:rPr>
                <w:lang w:eastAsia="zh-CN"/>
              </w:rPr>
            </w:pPr>
            <w:r>
              <w:rPr>
                <w:lang w:eastAsia="zh-CN"/>
              </w:rPr>
              <w:t>1</w:t>
            </w:r>
          </w:p>
        </w:tc>
        <w:tc>
          <w:tcPr>
            <w:tcW w:w="616"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4</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2</w:t>
            </w:r>
          </w:p>
        </w:tc>
        <w:tc>
          <w:tcPr>
            <w:tcW w:w="614" w:type="pct"/>
            <w:tcBorders>
              <w:tl2br w:val="nil"/>
              <w:tr2bl w:val="nil"/>
            </w:tcBorders>
            <w:noWrap w:val="0"/>
            <w:vAlign w:val="center"/>
          </w:tcPr>
          <w:p>
            <w:pPr>
              <w:pStyle w:val="28"/>
              <w:suppressLineNumbers w:val="0"/>
              <w:bidi w:val="0"/>
              <w:spacing w:before="0" w:after="0"/>
              <w:ind w:left="0" w:right="0"/>
              <w:rPr>
                <w:lang w:eastAsia="zh-CN"/>
              </w:rPr>
            </w:pPr>
            <w:r>
              <w:rPr>
                <w:rFonts w:hint="eastAsia"/>
                <w:lang w:eastAsia="zh-CN"/>
              </w:rPr>
              <w:t>3</w:t>
            </w:r>
          </w:p>
        </w:tc>
        <w:tc>
          <w:tcPr>
            <w:tcW w:w="614" w:type="pct"/>
            <w:tcBorders>
              <w:tl2br w:val="nil"/>
              <w:tr2bl w:val="nil"/>
            </w:tcBorders>
            <w:noWrap w:val="0"/>
            <w:vAlign w:val="center"/>
          </w:tcPr>
          <w:p>
            <w:pPr>
              <w:pStyle w:val="28"/>
              <w:suppressLineNumbers w:val="0"/>
              <w:bidi w:val="0"/>
              <w:spacing w:before="0" w:after="0"/>
              <w:ind w:left="0" w:right="0"/>
              <w:outlineLvl w:val="9"/>
              <w:rPr>
                <w:lang w:eastAsia="zh-CN"/>
              </w:rPr>
            </w:pPr>
          </w:p>
        </w:tc>
        <w:tc>
          <w:tcPr>
            <w:tcW w:w="612" w:type="pct"/>
            <w:tcBorders>
              <w:tl2br w:val="nil"/>
              <w:tr2bl w:val="nil"/>
            </w:tcBorders>
            <w:noWrap w:val="0"/>
            <w:vAlign w:val="center"/>
          </w:tcPr>
          <w:p>
            <w:pPr>
              <w:pStyle w:val="28"/>
              <w:suppressLineNumbers w:val="0"/>
              <w:bidi w:val="0"/>
              <w:spacing w:before="0" w:after="0"/>
              <w:ind w:left="0" w:right="0"/>
              <w:outlineLvl w:val="9"/>
              <w:rPr>
                <w:lang w:eastAsia="zh-CN"/>
              </w:rPr>
            </w:pPr>
          </w:p>
        </w:tc>
      </w:tr>
    </w:tbl>
    <w:p>
      <w:pPr>
        <w:adjustRightInd w:val="0"/>
        <w:snapToGrid w:val="0"/>
        <w:spacing w:line="360" w:lineRule="auto"/>
        <w:ind w:firstLine="482"/>
        <w:rPr>
          <w:rFonts w:hint="eastAsia" w:ascii="Times New Roman" w:hAnsi="Times New Roman"/>
          <w:lang w:eastAsia="zh-CN"/>
        </w:rPr>
      </w:pPr>
      <w:r>
        <w:rPr>
          <w:rFonts w:ascii="Times New Roman" w:hAnsi="Times New Roman"/>
          <w:lang w:eastAsia="zh-CN"/>
        </w:rPr>
        <w:t>由表</w:t>
      </w:r>
      <w:r>
        <w:rPr>
          <w:rFonts w:hint="eastAsia" w:ascii="Times New Roman" w:hAnsi="Times New Roman"/>
          <w:lang w:val="en-US" w:eastAsia="zh-CN"/>
        </w:rPr>
        <w:t>4.4.2-3</w:t>
      </w:r>
      <w:r>
        <w:rPr>
          <w:rFonts w:ascii="Times New Roman" w:hAnsi="Times New Roman"/>
          <w:lang w:eastAsia="zh-CN"/>
        </w:rPr>
        <w:t>可知，评价区域内的主要污染源为</w:t>
      </w:r>
      <w:r>
        <w:rPr>
          <w:rFonts w:hint="eastAsia" w:ascii="Times New Roman" w:hAnsi="Times New Roman"/>
          <w:lang w:eastAsia="zh-CN"/>
        </w:rPr>
        <w:t>青湖镇联村污水处理厂</w:t>
      </w:r>
      <w:r>
        <w:rPr>
          <w:rFonts w:ascii="Times New Roman" w:hAnsi="Times New Roman"/>
          <w:lang w:eastAsia="zh-CN"/>
        </w:rPr>
        <w:t>，区域主要污染源为</w:t>
      </w:r>
      <w:r>
        <w:rPr>
          <w:rFonts w:hint="eastAsia" w:ascii="Times New Roman" w:hAnsi="Times New Roman"/>
          <w:lang w:eastAsia="zh-CN"/>
        </w:rPr>
        <w:t>COD、NH</w:t>
      </w:r>
      <w:r>
        <w:rPr>
          <w:rFonts w:hint="eastAsia" w:ascii="Times New Roman" w:hAnsi="Times New Roman"/>
          <w:vertAlign w:val="subscript"/>
          <w:lang w:eastAsia="zh-CN"/>
        </w:rPr>
        <w:t>3</w:t>
      </w:r>
      <w:r>
        <w:rPr>
          <w:rFonts w:hint="eastAsia" w:ascii="Times New Roman" w:hAnsi="Times New Roman"/>
          <w:lang w:eastAsia="zh-CN"/>
        </w:rPr>
        <w:t>-N</w:t>
      </w:r>
      <w:r>
        <w:rPr>
          <w:rFonts w:ascii="Times New Roman" w:hAnsi="Times New Roman"/>
          <w:lang w:eastAsia="zh-CN"/>
        </w:rPr>
        <w:t>。</w:t>
      </w:r>
    </w:p>
    <w:p>
      <w:pPr>
        <w:adjustRightInd w:val="0"/>
        <w:snapToGrid w:val="0"/>
        <w:spacing w:line="360" w:lineRule="auto"/>
        <w:ind w:firstLine="482"/>
        <w:rPr>
          <w:rFonts w:hint="eastAsia" w:ascii="Times New Roman" w:hAnsi="Times New Roman"/>
          <w:lang w:eastAsia="zh-CN"/>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3"/>
        <w:bidi w:val="0"/>
        <w:rPr>
          <w:rFonts w:hint="eastAsia"/>
          <w:lang w:val="en-US" w:eastAsia="zh-CN"/>
        </w:rPr>
      </w:pPr>
      <w:bookmarkStart w:id="65" w:name="_Toc24760"/>
      <w:r>
        <w:rPr>
          <w:rFonts w:hint="eastAsia"/>
          <w:lang w:val="en-US" w:eastAsia="zh-CN"/>
        </w:rPr>
        <w:t>5 环境影响预测与评价</w:t>
      </w:r>
      <w:bookmarkEnd w:id="65"/>
    </w:p>
    <w:p>
      <w:pPr>
        <w:pStyle w:val="3"/>
        <w:bidi w:val="0"/>
        <w:rPr>
          <w:rFonts w:hint="eastAsia"/>
          <w:lang w:val="en-US" w:eastAsia="zh-CN"/>
        </w:rPr>
      </w:pPr>
      <w:bookmarkStart w:id="66" w:name="_Toc17033"/>
      <w:r>
        <w:rPr>
          <w:rFonts w:hint="eastAsia"/>
          <w:lang w:val="en-US" w:eastAsia="zh-CN"/>
        </w:rPr>
        <w:t>5.1 大气环境影响预测及评价</w:t>
      </w:r>
      <w:bookmarkEnd w:id="66"/>
    </w:p>
    <w:p>
      <w:pPr>
        <w:pStyle w:val="5"/>
        <w:bidi w:val="0"/>
        <w:rPr>
          <w:rFonts w:hint="default"/>
          <w:lang w:val="en-US" w:eastAsia="zh-CN"/>
        </w:rPr>
      </w:pPr>
      <w:r>
        <w:rPr>
          <w:rFonts w:hint="eastAsia"/>
          <w:lang w:val="en-US" w:eastAsia="zh-CN"/>
        </w:rPr>
        <w:t>5.1.1 评价等级判定</w:t>
      </w:r>
    </w:p>
    <w:p>
      <w:pPr>
        <w:bidi w:val="0"/>
        <w:rPr>
          <w:rFonts w:hint="default"/>
          <w:lang w:val="en-US"/>
        </w:rPr>
      </w:pPr>
      <w:r>
        <w:rPr>
          <w:rFonts w:hint="eastAsia"/>
          <w:lang w:val="en-US" w:eastAsia="zh-CN"/>
        </w:rPr>
        <w:t>依据《环境影响评价技术导则</w:t>
      </w:r>
      <w:r>
        <w:rPr>
          <w:rFonts w:hint="default"/>
          <w:lang w:val="en-US" w:eastAsia="zh-CN"/>
        </w:rPr>
        <w:t>-</w:t>
      </w:r>
      <w:r>
        <w:rPr>
          <w:rFonts w:hint="eastAsia"/>
          <w:lang w:val="en-US" w:eastAsia="zh-CN"/>
        </w:rPr>
        <w:t>大气环境》</w:t>
      </w:r>
      <w:r>
        <w:rPr>
          <w:rFonts w:hint="default"/>
          <w:lang w:val="en-US" w:eastAsia="zh-CN"/>
        </w:rPr>
        <w:t>(HJ2.2-2018)</w:t>
      </w:r>
      <w:r>
        <w:rPr>
          <w:rFonts w:hint="eastAsia"/>
          <w:lang w:val="en-US" w:eastAsia="zh-CN"/>
        </w:rPr>
        <w:t>中</w:t>
      </w:r>
      <w:r>
        <w:rPr>
          <w:rFonts w:hint="default"/>
          <w:lang w:val="en-US" w:eastAsia="zh-CN"/>
        </w:rPr>
        <w:t>5.3</w:t>
      </w:r>
      <w:r>
        <w:rPr>
          <w:rFonts w:hint="eastAsia"/>
          <w:lang w:val="en-US" w:eastAsia="zh-CN"/>
        </w:rPr>
        <w:t>节工作等级的确定方法，结合项目工程分析结果，选择正常排放的主要污染物及排放参数，采用附录</w:t>
      </w:r>
      <w:r>
        <w:rPr>
          <w:rFonts w:hint="default"/>
          <w:lang w:val="en-US" w:eastAsia="zh-CN"/>
        </w:rPr>
        <w:t>A</w:t>
      </w:r>
      <w:r>
        <w:rPr>
          <w:rFonts w:hint="eastAsia"/>
          <w:lang w:val="en-US" w:eastAsia="zh-CN"/>
        </w:rPr>
        <w:t>推荐模型中的</w:t>
      </w:r>
      <w:r>
        <w:rPr>
          <w:rFonts w:hint="default"/>
          <w:lang w:val="en-US" w:eastAsia="zh-CN"/>
        </w:rPr>
        <w:t>AERSCREEN</w:t>
      </w:r>
      <w:r>
        <w:rPr>
          <w:rFonts w:hint="eastAsia"/>
          <w:lang w:val="en-US" w:eastAsia="zh-CN"/>
        </w:rPr>
        <w:t>模式计算项目污染源的最大环境影响，然后按评价工作分级判据进行分级。</w:t>
      </w:r>
    </w:p>
    <w:p>
      <w:pPr>
        <w:bidi w:val="0"/>
        <w:rPr>
          <w:rFonts w:hint="default"/>
          <w:lang w:val="en-US"/>
        </w:rPr>
      </w:pP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P</w:t>
      </w:r>
      <w:r>
        <w:rPr>
          <w:rFonts w:hint="default"/>
          <w:vertAlign w:val="subscript"/>
          <w:lang w:val="en-US" w:eastAsia="zh-CN"/>
        </w:rPr>
        <w:t>max</w:t>
      </w:r>
      <w:r>
        <w:rPr>
          <w:rFonts w:hint="eastAsia"/>
          <w:lang w:val="en-US" w:eastAsia="zh-CN"/>
        </w:rPr>
        <w:t>及</w:t>
      </w:r>
      <w:r>
        <w:rPr>
          <w:rFonts w:hint="default"/>
          <w:lang w:val="en-US" w:eastAsia="zh-CN"/>
        </w:rPr>
        <w:t>D</w:t>
      </w:r>
      <w:r>
        <w:rPr>
          <w:rFonts w:hint="default"/>
          <w:vertAlign w:val="subscript"/>
          <w:lang w:val="en-US" w:eastAsia="zh-CN"/>
        </w:rPr>
        <w:t>10%</w:t>
      </w:r>
      <w:r>
        <w:rPr>
          <w:rFonts w:hint="eastAsia"/>
          <w:lang w:val="en-US" w:eastAsia="zh-CN"/>
        </w:rPr>
        <w:t>的确定</w:t>
      </w:r>
    </w:p>
    <w:p>
      <w:pPr>
        <w:bidi w:val="0"/>
        <w:rPr>
          <w:rFonts w:hint="default"/>
          <w:lang w:val="en-US"/>
        </w:rPr>
      </w:pPr>
      <w:r>
        <w:rPr>
          <w:rFonts w:hint="eastAsia"/>
          <w:lang w:val="en-US" w:eastAsia="zh-CN"/>
        </w:rPr>
        <w:t>依据《环境影响评价技术导则</w:t>
      </w:r>
      <w:r>
        <w:rPr>
          <w:rFonts w:hint="default"/>
          <w:lang w:val="en-US" w:eastAsia="zh-CN"/>
        </w:rPr>
        <w:t xml:space="preserve"> </w:t>
      </w:r>
      <w:r>
        <w:rPr>
          <w:rFonts w:hint="eastAsia"/>
          <w:lang w:val="en-US" w:eastAsia="zh-CN"/>
        </w:rPr>
        <w:t>大气环境》</w:t>
      </w:r>
      <w:r>
        <w:rPr>
          <w:rFonts w:hint="default"/>
          <w:lang w:val="en-US" w:eastAsia="zh-CN"/>
        </w:rPr>
        <w:t>(HJ2.2-2018)</w:t>
      </w:r>
      <w:r>
        <w:rPr>
          <w:rFonts w:hint="eastAsia"/>
          <w:lang w:val="en-US" w:eastAsia="zh-CN"/>
        </w:rPr>
        <w:t>中最大地面浓度占标率</w:t>
      </w:r>
      <w:r>
        <w:rPr>
          <w:rFonts w:hint="default"/>
          <w:lang w:val="en-US" w:eastAsia="zh-CN"/>
        </w:rPr>
        <w:t>P</w:t>
      </w:r>
      <w:r>
        <w:rPr>
          <w:rFonts w:hint="default"/>
          <w:vertAlign w:val="subscript"/>
          <w:lang w:val="en-US" w:eastAsia="zh-CN"/>
        </w:rPr>
        <w:t>i</w:t>
      </w:r>
      <w:r>
        <w:rPr>
          <w:rFonts w:hint="eastAsia"/>
          <w:lang w:val="en-US" w:eastAsia="zh-CN"/>
        </w:rPr>
        <w:t>定义如下：</w:t>
      </w:r>
    </w:p>
    <w:p>
      <w:pPr>
        <w:keepNext w:val="0"/>
        <w:keepLines w:val="0"/>
        <w:widowControl w:val="0"/>
        <w:suppressLineNumbers w:val="0"/>
        <w:spacing w:before="0" w:beforeAutospacing="0" w:after="0" w:afterAutospacing="0" w:line="276" w:lineRule="auto"/>
        <w:ind w:left="0" w:right="0" w:firstLine="369" w:firstLineChars="176"/>
        <w:jc w:val="center"/>
        <w:rPr>
          <w:rFonts w:hint="default" w:ascii="Times New Roman" w:hAnsi="Times New Roman" w:cs="Times New Roman"/>
          <w:sz w:val="24"/>
          <w:szCs w:val="24"/>
          <w:lang w:val="en-US"/>
        </w:rPr>
      </w:pPr>
      <w:r>
        <w:rPr>
          <w:rFonts w:hint="default" w:ascii="Calibri" w:hAnsi="Calibri" w:eastAsia="宋体" w:cs="Times New Roman"/>
          <w:kern w:val="2"/>
          <w:sz w:val="21"/>
          <w:szCs w:val="22"/>
          <w:lang w:val="en-US" w:eastAsia="zh-CN" w:bidi="ar"/>
        </w:rPr>
        <w:drawing>
          <wp:inline distT="0" distB="0" distL="114300" distR="114300">
            <wp:extent cx="1085850" cy="371475"/>
            <wp:effectExtent l="0" t="0" r="0" b="8890"/>
            <wp:docPr id="1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1085850" cy="371475"/>
                    </a:xfrm>
                    <a:prstGeom prst="rect">
                      <a:avLst/>
                    </a:prstGeom>
                    <a:noFill/>
                    <a:ln>
                      <a:noFill/>
                    </a:ln>
                  </pic:spPr>
                </pic:pic>
              </a:graphicData>
            </a:graphic>
          </wp:inline>
        </w:drawing>
      </w:r>
    </w:p>
    <w:p>
      <w:pPr>
        <w:bidi w:val="0"/>
        <w:rPr>
          <w:rFonts w:hint="default"/>
          <w:lang w:val="en-US"/>
        </w:rPr>
      </w:pPr>
      <w:r>
        <w:rPr>
          <w:rFonts w:hint="default"/>
          <w:lang w:val="en-US" w:eastAsia="zh-CN"/>
        </w:rPr>
        <w:drawing>
          <wp:inline distT="0" distB="0" distL="114300" distR="114300">
            <wp:extent cx="123825" cy="180975"/>
            <wp:effectExtent l="0" t="0" r="9525" b="7620"/>
            <wp:docPr id="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9"/>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23825" cy="180975"/>
                    </a:xfrm>
                    <a:prstGeom prst="rect">
                      <a:avLst/>
                    </a:prstGeom>
                    <a:noFill/>
                    <a:ln>
                      <a:noFill/>
                    </a:ln>
                  </pic:spPr>
                </pic:pic>
              </a:graphicData>
            </a:graphic>
          </wp:inline>
        </w:drawing>
      </w:r>
      <w:r>
        <w:rPr>
          <w:rFonts w:hint="default"/>
          <w:lang w:val="en-US" w:eastAsia="zh-CN"/>
        </w:rPr>
        <w:t xml:space="preserve"> ——</w:t>
      </w:r>
      <w:r>
        <w:rPr>
          <w:rFonts w:hint="eastAsia"/>
          <w:lang w:val="en-US" w:eastAsia="zh-CN"/>
        </w:rPr>
        <w:t>第</w:t>
      </w:r>
      <w:r>
        <w:rPr>
          <w:rFonts w:hint="default"/>
          <w:lang w:val="en-US" w:eastAsia="zh-CN"/>
        </w:rPr>
        <w:t>i</w:t>
      </w:r>
      <w:r>
        <w:rPr>
          <w:rFonts w:hint="eastAsia"/>
          <w:lang w:val="en-US" w:eastAsia="zh-CN"/>
        </w:rPr>
        <w:t>个污染物的最大地面空气质量浓度</w:t>
      </w:r>
      <w:r>
        <w:rPr>
          <w:rFonts w:hint="default"/>
          <w:lang w:val="en-US" w:eastAsia="zh-CN"/>
        </w:rPr>
        <w:t xml:space="preserve"> </w:t>
      </w:r>
      <w:r>
        <w:rPr>
          <w:rFonts w:hint="eastAsia"/>
          <w:lang w:val="en-US" w:eastAsia="zh-CN"/>
        </w:rPr>
        <w:t>占标率，</w:t>
      </w:r>
      <w:r>
        <w:rPr>
          <w:rFonts w:hint="default"/>
          <w:lang w:val="en-US" w:eastAsia="zh-CN"/>
        </w:rPr>
        <w:t>%</w:t>
      </w:r>
      <w:r>
        <w:rPr>
          <w:rFonts w:hint="eastAsia"/>
          <w:lang w:val="en-US" w:eastAsia="zh-CN"/>
        </w:rPr>
        <w:t>；</w:t>
      </w:r>
    </w:p>
    <w:p>
      <w:pPr>
        <w:bidi w:val="0"/>
        <w:rPr>
          <w:rFonts w:hint="default"/>
          <w:lang w:val="en-US"/>
        </w:rPr>
      </w:pPr>
      <w:r>
        <w:rPr>
          <w:rFonts w:hint="default"/>
          <w:lang w:val="en-US" w:eastAsia="zh-CN"/>
        </w:rPr>
        <w:drawing>
          <wp:inline distT="0" distB="0" distL="114300" distR="114300">
            <wp:extent cx="133350" cy="180975"/>
            <wp:effectExtent l="0" t="0" r="0" b="762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133350" cy="180975"/>
                    </a:xfrm>
                    <a:prstGeom prst="rect">
                      <a:avLst/>
                    </a:prstGeom>
                    <a:noFill/>
                    <a:ln>
                      <a:noFill/>
                    </a:ln>
                  </pic:spPr>
                </pic:pic>
              </a:graphicData>
            </a:graphic>
          </wp:inline>
        </w:drawing>
      </w:r>
      <w:r>
        <w:rPr>
          <w:rFonts w:hint="default"/>
          <w:lang w:val="en-US" w:eastAsia="zh-CN"/>
        </w:rPr>
        <w:t>——</w:t>
      </w:r>
      <w:r>
        <w:rPr>
          <w:rFonts w:hint="eastAsia"/>
          <w:lang w:val="en-US" w:eastAsia="zh-CN"/>
        </w:rPr>
        <w:t>采用估算模型计算出的第</w:t>
      </w:r>
      <w:r>
        <w:rPr>
          <w:rFonts w:hint="default"/>
          <w:lang w:val="en-US" w:eastAsia="zh-CN"/>
        </w:rPr>
        <w:t>i</w:t>
      </w:r>
      <w:r>
        <w:rPr>
          <w:rFonts w:hint="eastAsia"/>
          <w:lang w:val="en-US" w:eastAsia="zh-CN"/>
        </w:rPr>
        <w:t>个污染物的最大</w:t>
      </w:r>
      <w:r>
        <w:rPr>
          <w:rFonts w:hint="default"/>
          <w:lang w:val="en-US" w:eastAsia="zh-CN"/>
        </w:rPr>
        <w:t>1h</w:t>
      </w:r>
      <w:r>
        <w:rPr>
          <w:rFonts w:hint="eastAsia"/>
          <w:lang w:val="en-US" w:eastAsia="zh-CN"/>
        </w:rPr>
        <w:t>地面空气质量浓度，</w:t>
      </w:r>
      <w:r>
        <w:rPr>
          <w:rFonts w:hint="default"/>
          <w:lang w:val="en-US" w:eastAsia="zh-CN"/>
        </w:rPr>
        <w:t>μg/m3</w:t>
      </w:r>
      <w:r>
        <w:rPr>
          <w:rFonts w:hint="eastAsia"/>
          <w:lang w:val="en-US" w:eastAsia="zh-CN"/>
        </w:rPr>
        <w:t>；</w:t>
      </w:r>
    </w:p>
    <w:p>
      <w:pPr>
        <w:bidi w:val="0"/>
        <w:rPr>
          <w:rFonts w:hint="default"/>
          <w:lang w:val="en-US"/>
        </w:rPr>
      </w:pPr>
      <w:r>
        <w:rPr>
          <w:rFonts w:hint="default"/>
          <w:lang w:val="en-US" w:eastAsia="zh-CN"/>
        </w:rPr>
        <w:drawing>
          <wp:inline distT="0" distB="0" distL="114300" distR="114300">
            <wp:extent cx="190500" cy="180975"/>
            <wp:effectExtent l="0" t="0" r="0" b="7620"/>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190500" cy="180975"/>
                    </a:xfrm>
                    <a:prstGeom prst="rect">
                      <a:avLst/>
                    </a:prstGeom>
                    <a:noFill/>
                    <a:ln>
                      <a:noFill/>
                    </a:ln>
                  </pic:spPr>
                </pic:pic>
              </a:graphicData>
            </a:graphic>
          </wp:inline>
        </w:drawing>
      </w:r>
      <w:r>
        <w:rPr>
          <w:rFonts w:hint="default"/>
          <w:lang w:val="en-US" w:eastAsia="zh-CN"/>
        </w:rPr>
        <w:t>——</w:t>
      </w:r>
      <w:r>
        <w:rPr>
          <w:rFonts w:hint="eastAsia"/>
          <w:lang w:val="en-US" w:eastAsia="zh-CN"/>
        </w:rPr>
        <w:t>第</w:t>
      </w:r>
      <w:r>
        <w:rPr>
          <w:rFonts w:hint="default"/>
          <w:lang w:val="en-US" w:eastAsia="zh-CN"/>
        </w:rPr>
        <w:t>i</w:t>
      </w:r>
      <w:r>
        <w:rPr>
          <w:rFonts w:hint="eastAsia"/>
          <w:lang w:val="en-US" w:eastAsia="zh-CN"/>
        </w:rPr>
        <w:t>个污染物的环境空气质量浓度标准，</w:t>
      </w:r>
      <w:r>
        <w:rPr>
          <w:rFonts w:hint="default"/>
          <w:lang w:val="en-US" w:eastAsia="zh-CN"/>
        </w:rPr>
        <w:t>μg/m</w:t>
      </w:r>
      <w:r>
        <w:rPr>
          <w:rFonts w:hint="default"/>
          <w:vertAlign w:val="superscript"/>
          <w:lang w:val="en-US" w:eastAsia="zh-CN"/>
        </w:rPr>
        <w:t>3</w:t>
      </w:r>
      <w:r>
        <w:rPr>
          <w:rFonts w:hint="eastAsia"/>
          <w:lang w:val="en-US" w:eastAsia="zh-CN"/>
        </w:rPr>
        <w:t>。</w:t>
      </w:r>
    </w:p>
    <w:p>
      <w:pPr>
        <w:bidi w:val="0"/>
        <w:rPr>
          <w:rFonts w:hint="default"/>
          <w:lang w:val="en-US"/>
        </w:rPr>
      </w:pPr>
      <w:r>
        <w:rPr>
          <w:rFonts w:hint="eastAsia"/>
          <w:lang w:val="en-US" w:eastAsia="zh-CN"/>
        </w:rPr>
        <w:t>（</w:t>
      </w:r>
      <w:r>
        <w:rPr>
          <w:rFonts w:hint="default"/>
          <w:lang w:val="en-US" w:eastAsia="zh-CN"/>
        </w:rPr>
        <w:t>2</w:t>
      </w:r>
      <w:r>
        <w:rPr>
          <w:rFonts w:hint="eastAsia"/>
          <w:lang w:val="en-US" w:eastAsia="zh-CN"/>
        </w:rPr>
        <w:t>）评价等级判别表</w:t>
      </w:r>
    </w:p>
    <w:p>
      <w:pPr>
        <w:bidi w:val="0"/>
        <w:rPr>
          <w:rFonts w:hint="default"/>
          <w:lang w:val="en-US"/>
        </w:rPr>
      </w:pPr>
      <w:r>
        <w:rPr>
          <w:rFonts w:hint="eastAsia"/>
          <w:lang w:val="en-US" w:eastAsia="zh-CN"/>
        </w:rPr>
        <w:t>评价等级按下表的分级判据进行划分</w:t>
      </w:r>
    </w:p>
    <w:p>
      <w:pPr>
        <w:pStyle w:val="27"/>
        <w:bidi w:val="0"/>
        <w:rPr>
          <w:rFonts w:hint="default"/>
        </w:rPr>
      </w:pPr>
      <w:r>
        <w:rPr>
          <w:rFonts w:hint="default"/>
        </w:rPr>
        <w:t>表</w:t>
      </w:r>
      <w:r>
        <w:rPr>
          <w:rFonts w:hint="eastAsia"/>
          <w:lang w:val="en-US" w:eastAsia="zh-CN"/>
        </w:rPr>
        <w:t>5.1.1</w:t>
      </w:r>
      <w:r>
        <w:rPr>
          <w:rFonts w:hint="default"/>
        </w:rPr>
        <w:t>-</w:t>
      </w:r>
      <w:r>
        <w:rPr>
          <w:rFonts w:hint="eastAsia"/>
          <w:lang w:val="en-US" w:eastAsia="zh-CN"/>
        </w:rPr>
        <w:t>1</w:t>
      </w:r>
      <w:r>
        <w:rPr>
          <w:rFonts w:hint="default"/>
        </w:rPr>
        <w:t xml:space="preserve"> 大气环境影响评价工作等级判据表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5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l2br w:val="nil"/>
              <w:tr2bl w:val="nil"/>
            </w:tcBorders>
            <w:noWrap w:val="0"/>
            <w:vAlign w:val="center"/>
          </w:tcPr>
          <w:p>
            <w:pPr>
              <w:pStyle w:val="28"/>
              <w:suppressLineNumbers w:val="0"/>
              <w:bidi w:val="0"/>
              <w:spacing w:before="0" w:after="0"/>
              <w:ind w:left="0" w:right="0"/>
            </w:pPr>
            <w:r>
              <w:t>评价工作等级</w:t>
            </w:r>
          </w:p>
        </w:tc>
        <w:tc>
          <w:tcPr>
            <w:tcW w:w="2811" w:type="pct"/>
            <w:tcBorders>
              <w:tl2br w:val="nil"/>
              <w:tr2bl w:val="nil"/>
            </w:tcBorders>
            <w:noWrap w:val="0"/>
            <w:vAlign w:val="center"/>
          </w:tcPr>
          <w:p>
            <w:pPr>
              <w:pStyle w:val="28"/>
              <w:suppressLineNumbers w:val="0"/>
              <w:bidi w:val="0"/>
              <w:spacing w:before="0" w:after="0"/>
              <w:ind w:left="0" w:right="0"/>
            </w:pPr>
            <w: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l2br w:val="nil"/>
              <w:tr2bl w:val="nil"/>
            </w:tcBorders>
            <w:noWrap w:val="0"/>
            <w:vAlign w:val="center"/>
          </w:tcPr>
          <w:p>
            <w:pPr>
              <w:pStyle w:val="28"/>
              <w:suppressLineNumbers w:val="0"/>
              <w:bidi w:val="0"/>
              <w:spacing w:before="0" w:after="0"/>
              <w:ind w:left="0" w:right="0"/>
            </w:pPr>
            <w:r>
              <w:t>一级评价</w:t>
            </w:r>
          </w:p>
        </w:tc>
        <w:tc>
          <w:tcPr>
            <w:tcW w:w="2811" w:type="pct"/>
            <w:tcBorders>
              <w:tl2br w:val="nil"/>
              <w:tr2bl w:val="nil"/>
            </w:tcBorders>
            <w:noWrap w:val="0"/>
            <w:vAlign w:val="center"/>
          </w:tcPr>
          <w:p>
            <w:pPr>
              <w:pStyle w:val="28"/>
              <w:suppressLineNumbers w:val="0"/>
              <w:bidi w:val="0"/>
              <w:spacing w:before="0" w:after="0"/>
              <w:ind w:left="0" w:right="0"/>
            </w:pPr>
            <w: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l2br w:val="nil"/>
              <w:tr2bl w:val="nil"/>
            </w:tcBorders>
            <w:noWrap w:val="0"/>
            <w:vAlign w:val="center"/>
          </w:tcPr>
          <w:p>
            <w:pPr>
              <w:pStyle w:val="28"/>
              <w:suppressLineNumbers w:val="0"/>
              <w:bidi w:val="0"/>
              <w:spacing w:before="0" w:after="0"/>
              <w:ind w:left="0" w:right="0"/>
            </w:pPr>
            <w:r>
              <w:t>二级评价</w:t>
            </w:r>
          </w:p>
        </w:tc>
        <w:tc>
          <w:tcPr>
            <w:tcW w:w="2811" w:type="pct"/>
            <w:tcBorders>
              <w:tl2br w:val="nil"/>
              <w:tr2bl w:val="nil"/>
            </w:tcBorders>
            <w:noWrap w:val="0"/>
            <w:vAlign w:val="center"/>
          </w:tcPr>
          <w:p>
            <w:pPr>
              <w:pStyle w:val="28"/>
              <w:suppressLineNumbers w:val="0"/>
              <w:bidi w:val="0"/>
              <w:spacing w:before="0" w:after="0"/>
              <w:ind w:left="0" w:right="0"/>
            </w:pPr>
            <w: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8" w:type="pct"/>
            <w:tcBorders>
              <w:tl2br w:val="nil"/>
              <w:tr2bl w:val="nil"/>
            </w:tcBorders>
            <w:noWrap w:val="0"/>
            <w:vAlign w:val="center"/>
          </w:tcPr>
          <w:p>
            <w:pPr>
              <w:pStyle w:val="28"/>
              <w:suppressLineNumbers w:val="0"/>
              <w:bidi w:val="0"/>
              <w:spacing w:before="0" w:after="0"/>
              <w:ind w:left="0" w:right="0"/>
            </w:pPr>
            <w:r>
              <w:t>三级评价</w:t>
            </w:r>
          </w:p>
        </w:tc>
        <w:tc>
          <w:tcPr>
            <w:tcW w:w="2811" w:type="pct"/>
            <w:tcBorders>
              <w:tl2br w:val="nil"/>
              <w:tr2bl w:val="nil"/>
            </w:tcBorders>
            <w:noWrap w:val="0"/>
            <w:vAlign w:val="center"/>
          </w:tcPr>
          <w:p>
            <w:pPr>
              <w:pStyle w:val="28"/>
              <w:suppressLineNumbers w:val="0"/>
              <w:bidi w:val="0"/>
              <w:spacing w:before="0" w:after="0"/>
              <w:ind w:left="0" w:right="0"/>
            </w:pPr>
            <w:r>
              <w:t>Pmax＜1%</w:t>
            </w:r>
          </w:p>
        </w:tc>
      </w:tr>
    </w:tbl>
    <w:p>
      <w:pPr>
        <w:bidi w:val="0"/>
        <w:rPr>
          <w:rFonts w:hint="default"/>
          <w:lang w:val="en-US"/>
        </w:rPr>
      </w:pPr>
      <w:r>
        <w:rPr>
          <w:rFonts w:hint="eastAsia"/>
          <w:lang w:val="en-US" w:eastAsia="zh-CN"/>
        </w:rPr>
        <w:t>（</w:t>
      </w:r>
      <w:r>
        <w:rPr>
          <w:rFonts w:hint="default"/>
          <w:lang w:val="en-US" w:eastAsia="zh-CN"/>
        </w:rPr>
        <w:t>3</w:t>
      </w:r>
      <w:r>
        <w:rPr>
          <w:rFonts w:hint="eastAsia"/>
          <w:lang w:val="en-US" w:eastAsia="zh-CN"/>
        </w:rPr>
        <w:t>）污染物评价标准</w:t>
      </w:r>
    </w:p>
    <w:p>
      <w:pPr>
        <w:bidi w:val="0"/>
        <w:rPr>
          <w:rFonts w:hint="default"/>
          <w:lang w:val="en-US"/>
        </w:rPr>
      </w:pPr>
      <w:r>
        <w:rPr>
          <w:rFonts w:hint="eastAsia"/>
          <w:lang w:val="en-US" w:eastAsia="zh-CN"/>
        </w:rPr>
        <w:t>污染物评价标准和来源见下表。</w:t>
      </w:r>
    </w:p>
    <w:p>
      <w:pPr>
        <w:pStyle w:val="27"/>
        <w:bidi w:val="0"/>
        <w:rPr>
          <w:rFonts w:hint="default"/>
        </w:rPr>
      </w:pPr>
      <w:r>
        <w:rPr>
          <w:rFonts w:hint="default"/>
        </w:rPr>
        <w:t>表</w:t>
      </w:r>
      <w:r>
        <w:rPr>
          <w:rFonts w:hint="eastAsia"/>
          <w:lang w:val="en-US" w:eastAsia="zh-CN"/>
        </w:rPr>
        <w:t>5.1.1</w:t>
      </w:r>
      <w:r>
        <w:rPr>
          <w:rFonts w:hint="default"/>
        </w:rPr>
        <w:t>-</w:t>
      </w:r>
      <w:r>
        <w:rPr>
          <w:rFonts w:hint="eastAsia"/>
          <w:lang w:val="en-US" w:eastAsia="zh-CN"/>
        </w:rPr>
        <w:t>2</w:t>
      </w:r>
      <w:r>
        <w:rPr>
          <w:rFonts w:hint="default"/>
        </w:rPr>
        <w:t xml:space="preserve"> 评价因子和评价标准表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2"/>
        <w:gridCol w:w="1992"/>
        <w:gridCol w:w="1993"/>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2" w:type="dxa"/>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污染物</w:t>
            </w:r>
          </w:p>
        </w:tc>
        <w:tc>
          <w:tcPr>
            <w:tcW w:w="5977" w:type="dxa"/>
            <w:gridSpan w:val="3"/>
            <w:vAlign w:val="center"/>
          </w:tcPr>
          <w:p>
            <w:pPr>
              <w:pStyle w:val="28"/>
              <w:suppressLineNumbers w:val="0"/>
              <w:bidi w:val="0"/>
              <w:spacing w:before="0" w:after="0"/>
              <w:ind w:left="0" w:right="0"/>
              <w:jc w:val="center"/>
              <w:rPr>
                <w:rFonts w:hint="default" w:eastAsia="宋体"/>
                <w:lang w:val="en-US" w:eastAsia="zh-CN"/>
              </w:rPr>
            </w:pPr>
            <w:r>
              <w:rPr>
                <w:rFonts w:hint="eastAsia"/>
                <w:lang w:eastAsia="zh-CN"/>
              </w:rPr>
              <w:t>浓度限值，</w:t>
            </w:r>
            <w:r>
              <w:rPr>
                <w:rFonts w:hint="eastAsia"/>
                <w:lang w:val="en-US" w:eastAsia="zh-CN"/>
              </w:rPr>
              <w:t>mg/m</w:t>
            </w:r>
            <w:r>
              <w:rPr>
                <w:rFonts w:hint="eastAsia"/>
                <w:vertAlign w:val="superscript"/>
                <w:lang w:val="en-US" w:eastAsia="zh-CN"/>
              </w:rPr>
              <w:t>3</w:t>
            </w:r>
          </w:p>
        </w:tc>
        <w:tc>
          <w:tcPr>
            <w:tcW w:w="1993" w:type="dxa"/>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2" w:type="dxa"/>
            <w:vMerge w:val="continue"/>
            <w:vAlign w:val="center"/>
          </w:tcPr>
          <w:p>
            <w:pPr>
              <w:pStyle w:val="28"/>
              <w:suppressLineNumbers w:val="0"/>
              <w:bidi w:val="0"/>
              <w:spacing w:before="0" w:after="0"/>
              <w:ind w:left="0" w:right="0"/>
              <w:jc w:val="center"/>
              <w:outlineLvl w:val="9"/>
              <w:rPr>
                <w:rFonts w:hint="default"/>
              </w:rPr>
            </w:pPr>
          </w:p>
        </w:tc>
        <w:tc>
          <w:tcPr>
            <w:tcW w:w="1992" w:type="dxa"/>
            <w:vAlign w:val="center"/>
          </w:tcPr>
          <w:p>
            <w:pPr>
              <w:pStyle w:val="28"/>
              <w:suppressLineNumbers w:val="0"/>
              <w:bidi w:val="0"/>
              <w:spacing w:before="0" w:after="0"/>
              <w:ind w:left="0" w:right="0"/>
              <w:jc w:val="center"/>
              <w:rPr>
                <w:rFonts w:hint="eastAsia" w:eastAsia="宋体"/>
                <w:lang w:eastAsia="zh-CN"/>
              </w:rPr>
            </w:pPr>
            <w:r>
              <w:rPr>
                <w:rFonts w:hint="eastAsia"/>
                <w:lang w:val="en-US" w:eastAsia="zh-CN"/>
              </w:rPr>
              <w:t>1小时平均</w:t>
            </w:r>
          </w:p>
        </w:tc>
        <w:tc>
          <w:tcPr>
            <w:tcW w:w="1992"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日平均</w:t>
            </w:r>
          </w:p>
        </w:tc>
        <w:tc>
          <w:tcPr>
            <w:tcW w:w="1993" w:type="dxa"/>
            <w:vAlign w:val="center"/>
          </w:tcPr>
          <w:p>
            <w:pPr>
              <w:pStyle w:val="28"/>
              <w:suppressLineNumbers w:val="0"/>
              <w:bidi w:val="0"/>
              <w:spacing w:before="0" w:after="0"/>
              <w:ind w:left="0" w:right="0"/>
              <w:jc w:val="center"/>
              <w:rPr>
                <w:rFonts w:hint="eastAsia" w:eastAsia="宋体"/>
                <w:lang w:val="en-US" w:eastAsia="zh-CN"/>
              </w:rPr>
            </w:pPr>
            <w:r>
              <w:rPr>
                <w:rFonts w:hint="eastAsia"/>
                <w:lang w:eastAsia="zh-CN"/>
              </w:rPr>
              <w:t>年平均</w:t>
            </w:r>
          </w:p>
        </w:tc>
        <w:tc>
          <w:tcPr>
            <w:tcW w:w="1993" w:type="dxa"/>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SO</w:t>
            </w:r>
            <w:r>
              <w:rPr>
                <w:rFonts w:hint="eastAsia"/>
                <w:vertAlign w:val="subscript"/>
                <w:lang w:val="en-US" w:eastAsia="zh-CN"/>
              </w:rPr>
              <w:t>2</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500</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150</w:t>
            </w:r>
          </w:p>
        </w:tc>
        <w:tc>
          <w:tcPr>
            <w:tcW w:w="199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60</w:t>
            </w:r>
          </w:p>
        </w:tc>
        <w:tc>
          <w:tcPr>
            <w:tcW w:w="1993" w:type="dxa"/>
            <w:vMerge w:val="restart"/>
            <w:vAlign w:val="center"/>
          </w:tcPr>
          <w:p>
            <w:pPr>
              <w:pStyle w:val="28"/>
              <w:suppressLineNumbers w:val="0"/>
              <w:bidi w:val="0"/>
              <w:spacing w:before="0" w:after="0"/>
              <w:ind w:left="0" w:right="0"/>
              <w:jc w:val="center"/>
              <w:rPr>
                <w:rFonts w:hint="default"/>
              </w:rPr>
            </w:pPr>
            <w: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2" w:type="dxa"/>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NOx</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250</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199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50</w:t>
            </w:r>
          </w:p>
        </w:tc>
        <w:tc>
          <w:tcPr>
            <w:tcW w:w="1993" w:type="dxa"/>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92" w:type="dxa"/>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颗粒物</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val="en-US" w:eastAsia="zh-CN"/>
              </w:rPr>
              <w:t>/</w:t>
            </w:r>
          </w:p>
        </w:tc>
        <w:tc>
          <w:tcPr>
            <w:tcW w:w="1992"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300</w:t>
            </w:r>
          </w:p>
        </w:tc>
        <w:tc>
          <w:tcPr>
            <w:tcW w:w="1993" w:type="dxa"/>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t>200</w:t>
            </w:r>
          </w:p>
        </w:tc>
        <w:tc>
          <w:tcPr>
            <w:tcW w:w="1993" w:type="dxa"/>
            <w:vMerge w:val="continue"/>
            <w:vAlign w:val="center"/>
          </w:tcPr>
          <w:p>
            <w:pPr>
              <w:pStyle w:val="28"/>
              <w:suppressLineNumbers w:val="0"/>
              <w:bidi w:val="0"/>
              <w:spacing w:before="0" w:after="0"/>
              <w:ind w:left="0" w:right="0"/>
              <w:jc w:val="center"/>
              <w:outlineLvl w:val="9"/>
              <w:rPr>
                <w:rFonts w:hint="default"/>
              </w:rPr>
            </w:pPr>
          </w:p>
        </w:tc>
      </w:tr>
    </w:tbl>
    <w:p>
      <w:pPr>
        <w:pStyle w:val="5"/>
        <w:bidi w:val="0"/>
        <w:rPr>
          <w:rFonts w:hint="eastAsia"/>
          <w:lang w:val="en-US" w:eastAsia="zh-CN"/>
        </w:rPr>
      </w:pPr>
      <w:r>
        <w:rPr>
          <w:rFonts w:hint="eastAsia"/>
          <w:lang w:val="en-US" w:eastAsia="zh-CN"/>
        </w:rPr>
        <w:t>5.1.2 污染源参数</w:t>
      </w:r>
    </w:p>
    <w:p>
      <w:pPr>
        <w:pStyle w:val="27"/>
        <w:bidi w:val="0"/>
      </w:pPr>
      <w:r>
        <w:rPr>
          <w:rFonts w:hint="eastAsia"/>
          <w:lang w:val="en-US" w:eastAsia="zh-CN"/>
        </w:rPr>
        <w:t xml:space="preserve">  表5.1.2-1 主要废气污染源参数一览表(点源) </w:t>
      </w:r>
    </w:p>
    <w:tbl>
      <w:tblPr>
        <w:tblStyle w:val="2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835"/>
        <w:gridCol w:w="1224"/>
        <w:gridCol w:w="1129"/>
        <w:gridCol w:w="1289"/>
        <w:gridCol w:w="778"/>
        <w:gridCol w:w="713"/>
        <w:gridCol w:w="796"/>
        <w:gridCol w:w="834"/>
        <w:gridCol w:w="784"/>
        <w:gridCol w:w="794"/>
        <w:gridCol w:w="7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378"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污染源名称</w:t>
            </w:r>
          </w:p>
        </w:tc>
        <w:tc>
          <w:tcPr>
            <w:tcW w:w="1190"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排气筒底部中心坐标(°)</w:t>
            </w:r>
          </w:p>
        </w:tc>
        <w:tc>
          <w:tcPr>
            <w:tcW w:w="651"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排气筒底部海拔高度(m)</w:t>
            </w:r>
          </w:p>
        </w:tc>
        <w:tc>
          <w:tcPr>
            <w:tcW w:w="1584" w:type="pct"/>
            <w:gridSpan w:val="4"/>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排气筒参数</w:t>
            </w:r>
          </w:p>
        </w:tc>
        <w:tc>
          <w:tcPr>
            <w:tcW w:w="1195" w:type="pct"/>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78"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rPr>
            </w:pPr>
          </w:p>
        </w:tc>
        <w:tc>
          <w:tcPr>
            <w:tcW w:w="61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经度</w:t>
            </w:r>
          </w:p>
        </w:tc>
        <w:tc>
          <w:tcPr>
            <w:tcW w:w="57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纬度</w:t>
            </w:r>
          </w:p>
        </w:tc>
        <w:tc>
          <w:tcPr>
            <w:tcW w:w="651"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rPr>
                <w:rFonts w:hint="default"/>
              </w:rPr>
            </w:pPr>
          </w:p>
        </w:tc>
        <w:tc>
          <w:tcPr>
            <w:tcW w:w="39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高度(m)</w:t>
            </w:r>
          </w:p>
        </w:tc>
        <w:tc>
          <w:tcPr>
            <w:tcW w:w="362"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内径(m)</w:t>
            </w:r>
          </w:p>
        </w:tc>
        <w:tc>
          <w:tcPr>
            <w:tcW w:w="40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温度(℃)</w:t>
            </w:r>
          </w:p>
        </w:tc>
        <w:tc>
          <w:tcPr>
            <w:tcW w:w="422"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流速(m/s)</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NOx</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SO</w:t>
            </w:r>
            <w:r>
              <w:rPr>
                <w:rFonts w:hint="eastAsia"/>
                <w:vertAlign w:val="subscript"/>
                <w:lang w:val="en-US" w:eastAsia="zh-CN"/>
              </w:rPr>
              <w:t>2</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7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lang w:val="en-US" w:eastAsia="zh-CN"/>
              </w:rPr>
            </w:pPr>
            <w:r>
              <w:rPr>
                <w:rFonts w:hint="eastAsia"/>
                <w:lang w:val="en-US" w:eastAsia="zh-CN"/>
              </w:rPr>
              <w:t>DA001</w:t>
            </w:r>
          </w:p>
        </w:tc>
        <w:tc>
          <w:tcPr>
            <w:tcW w:w="61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118.842766</w:t>
            </w:r>
          </w:p>
        </w:tc>
        <w:tc>
          <w:tcPr>
            <w:tcW w:w="57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34.658197</w:t>
            </w:r>
          </w:p>
        </w:tc>
        <w:tc>
          <w:tcPr>
            <w:tcW w:w="651"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8.00</w:t>
            </w:r>
          </w:p>
        </w:tc>
        <w:tc>
          <w:tcPr>
            <w:tcW w:w="39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rPr>
            </w:pPr>
            <w:r>
              <w:rPr>
                <w:rFonts w:hint="eastAsia"/>
                <w:lang w:val="en-US" w:eastAsia="zh-CN"/>
              </w:rPr>
              <w:t>35</w:t>
            </w:r>
          </w:p>
        </w:tc>
        <w:tc>
          <w:tcPr>
            <w:tcW w:w="362"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rPr>
            </w:pPr>
            <w:r>
              <w:rPr>
                <w:rFonts w:hint="eastAsia"/>
                <w:lang w:val="en-US" w:eastAsia="zh-CN"/>
              </w:rPr>
              <w:t>1.3</w:t>
            </w:r>
          </w:p>
        </w:tc>
        <w:tc>
          <w:tcPr>
            <w:tcW w:w="40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50.00</w:t>
            </w:r>
          </w:p>
        </w:tc>
        <w:tc>
          <w:tcPr>
            <w:tcW w:w="422"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rPr>
            </w:pPr>
            <w:r>
              <w:rPr>
                <w:rFonts w:hint="eastAsia"/>
                <w:lang w:val="en-US" w:eastAsia="zh-CN"/>
              </w:rPr>
              <w:t>24.01</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rPr>
            </w:pPr>
            <w:r>
              <w:rPr>
                <w:rFonts w:hint="eastAsia"/>
                <w:lang w:val="en-US" w:eastAsia="zh-CN"/>
              </w:rPr>
              <w:t>3.78</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rPr>
                <w:rFonts w:hint="eastAsia"/>
                <w:lang w:val="en-US" w:eastAsia="zh-CN"/>
              </w:rPr>
              <w:t>4.0400</w:t>
            </w:r>
          </w:p>
        </w:tc>
        <w:tc>
          <w:tcPr>
            <w:tcW w:w="39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rPr>
            </w:pPr>
            <w:r>
              <w:rPr>
                <w:rFonts w:hint="eastAsia"/>
                <w:lang w:val="en-US" w:eastAsia="zh-CN"/>
              </w:rPr>
              <w:t>0.492</w:t>
            </w:r>
          </w:p>
        </w:tc>
      </w:tr>
    </w:tbl>
    <w:p>
      <w:pPr>
        <w:pStyle w:val="27"/>
        <w:bidi w:val="0"/>
      </w:pPr>
      <w:r>
        <w:rPr>
          <w:rFonts w:hint="eastAsia"/>
          <w:lang w:val="en-US" w:eastAsia="zh-CN"/>
        </w:rPr>
        <w:t xml:space="preserve">  表5.1.2-2  主要废气污染源参数一览表(矩形面源) </w:t>
      </w:r>
    </w:p>
    <w:tbl>
      <w:tblPr>
        <w:tblStyle w:val="21"/>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595"/>
        <w:gridCol w:w="1270"/>
        <w:gridCol w:w="1160"/>
        <w:gridCol w:w="829"/>
        <w:gridCol w:w="1041"/>
        <w:gridCol w:w="990"/>
        <w:gridCol w:w="1420"/>
        <w:gridCol w:w="15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1595"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污染源名称</w:t>
            </w:r>
          </w:p>
        </w:tc>
        <w:tc>
          <w:tcPr>
            <w:tcW w:w="2430"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坐标(°)</w:t>
            </w:r>
          </w:p>
        </w:tc>
        <w:tc>
          <w:tcPr>
            <w:tcW w:w="82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海拔高度(m)</w:t>
            </w:r>
          </w:p>
        </w:tc>
        <w:tc>
          <w:tcPr>
            <w:tcW w:w="3451" w:type="dxa"/>
            <w:gridSpan w:val="3"/>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矩形面源</w:t>
            </w:r>
          </w:p>
        </w:tc>
        <w:tc>
          <w:tcPr>
            <w:tcW w:w="153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污染物排放速率(kg/h)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595"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127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经度</w:t>
            </w:r>
          </w:p>
        </w:tc>
        <w:tc>
          <w:tcPr>
            <w:tcW w:w="116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纬度</w:t>
            </w:r>
          </w:p>
        </w:tc>
        <w:tc>
          <w:tcPr>
            <w:tcW w:w="82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长度(m)</w:t>
            </w:r>
          </w:p>
        </w:tc>
        <w:tc>
          <w:tcPr>
            <w:tcW w:w="99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宽度(m)</w:t>
            </w:r>
          </w:p>
        </w:tc>
        <w:tc>
          <w:tcPr>
            <w:tcW w:w="14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有效高度(m)</w:t>
            </w:r>
          </w:p>
        </w:tc>
        <w:tc>
          <w:tcPr>
            <w:tcW w:w="153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TSP</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595"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车间二</w:t>
            </w:r>
          </w:p>
        </w:tc>
        <w:tc>
          <w:tcPr>
            <w:tcW w:w="127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118.841994</w:t>
            </w:r>
          </w:p>
        </w:tc>
        <w:tc>
          <w:tcPr>
            <w:tcW w:w="116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34.658656</w:t>
            </w:r>
          </w:p>
        </w:tc>
        <w:tc>
          <w:tcPr>
            <w:tcW w:w="82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7.00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118.78</w:t>
            </w:r>
          </w:p>
        </w:tc>
        <w:tc>
          <w:tcPr>
            <w:tcW w:w="99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46.98</w:t>
            </w:r>
          </w:p>
        </w:tc>
        <w:tc>
          <w:tcPr>
            <w:tcW w:w="14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15.00</w:t>
            </w:r>
          </w:p>
        </w:tc>
        <w:tc>
          <w:tcPr>
            <w:tcW w:w="153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0.1000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595"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车间一</w:t>
            </w:r>
          </w:p>
        </w:tc>
        <w:tc>
          <w:tcPr>
            <w:tcW w:w="127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118.841929</w:t>
            </w:r>
          </w:p>
        </w:tc>
        <w:tc>
          <w:tcPr>
            <w:tcW w:w="116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34.658374</w:t>
            </w:r>
          </w:p>
        </w:tc>
        <w:tc>
          <w:tcPr>
            <w:tcW w:w="82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7.00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119.78</w:t>
            </w:r>
          </w:p>
        </w:tc>
        <w:tc>
          <w:tcPr>
            <w:tcW w:w="99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34.98</w:t>
            </w:r>
          </w:p>
        </w:tc>
        <w:tc>
          <w:tcPr>
            <w:tcW w:w="14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15.00</w:t>
            </w:r>
          </w:p>
        </w:tc>
        <w:tc>
          <w:tcPr>
            <w:tcW w:w="153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0.1000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595"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筛分破碎车间</w:t>
            </w:r>
          </w:p>
        </w:tc>
        <w:tc>
          <w:tcPr>
            <w:tcW w:w="127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118.841865</w:t>
            </w:r>
          </w:p>
        </w:tc>
        <w:tc>
          <w:tcPr>
            <w:tcW w:w="116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34.657809</w:t>
            </w:r>
          </w:p>
        </w:tc>
        <w:tc>
          <w:tcPr>
            <w:tcW w:w="829"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7.00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120.78</w:t>
            </w:r>
          </w:p>
        </w:tc>
        <w:tc>
          <w:tcPr>
            <w:tcW w:w="99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51.89</w:t>
            </w:r>
          </w:p>
        </w:tc>
        <w:tc>
          <w:tcPr>
            <w:tcW w:w="142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15.00</w:t>
            </w:r>
          </w:p>
        </w:tc>
        <w:tc>
          <w:tcPr>
            <w:tcW w:w="153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0.2000</w:t>
            </w:r>
          </w:p>
        </w:tc>
      </w:tr>
    </w:tbl>
    <w:p>
      <w:pPr>
        <w:pStyle w:val="5"/>
        <w:bidi w:val="0"/>
      </w:pPr>
      <w:r>
        <w:rPr>
          <w:rFonts w:hint="eastAsia"/>
          <w:lang w:val="en-US" w:eastAsia="zh-CN"/>
        </w:rPr>
        <w:t>5.1.3</w:t>
      </w:r>
      <w:r>
        <w:rPr>
          <w:rFonts w:hint="eastAsia"/>
          <w:lang w:eastAsia="zh-CN"/>
        </w:rPr>
        <w:t>项目参数</w:t>
      </w:r>
    </w:p>
    <w:p>
      <w:pPr>
        <w:bidi w:val="0"/>
      </w:pPr>
      <w:r>
        <w:rPr>
          <w:rFonts w:hint="eastAsia"/>
          <w:lang w:val="en-US" w:eastAsia="zh-CN"/>
        </w:rPr>
        <w:t>估算模式所用参数见表</w:t>
      </w:r>
    </w:p>
    <w:p>
      <w:pPr>
        <w:pStyle w:val="27"/>
        <w:bidi w:val="0"/>
      </w:pPr>
      <w:r>
        <w:rPr>
          <w:rFonts w:hint="eastAsia"/>
          <w:lang w:val="en-US" w:eastAsia="zh-CN"/>
        </w:rPr>
        <w:t>表5.1.3-1 估算模型参数表</w:t>
      </w:r>
    </w:p>
    <w:tbl>
      <w:tblPr>
        <w:tblStyle w:val="21"/>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3786"/>
        <w:gridCol w:w="4066"/>
        <w:gridCol w:w="21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参数</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取值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城市/农村选项</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城市/农村</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农村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人口数(城市人口数)</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最高环境温度</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最低环境温度</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土地利用类型</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农田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3941" w:type="pct"/>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区域湿度条件</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中等湿度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是否考虑地形</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考虑地形</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地形数据分辨率(m)</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是否考虑岸线熏烟</w:t>
            </w: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考虑岸线熏烟</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岸线距离/m</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900"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rFonts w:hint="default"/>
              </w:rPr>
            </w:pPr>
          </w:p>
        </w:tc>
        <w:tc>
          <w:tcPr>
            <w:tcW w:w="2040"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岸线方向/°</w:t>
            </w:r>
          </w:p>
        </w:tc>
        <w:tc>
          <w:tcPr>
            <w:tcW w:w="10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pPr>
            <w:r>
              <w:rPr>
                <w:rFonts w:hint="eastAsia"/>
                <w:lang w:val="en-US" w:eastAsia="zh-CN"/>
              </w:rPr>
              <w:t>/</w:t>
            </w:r>
          </w:p>
        </w:tc>
      </w:tr>
    </w:tbl>
    <w:p>
      <w:pPr>
        <w:pStyle w:val="5"/>
        <w:bidi w:val="0"/>
      </w:pPr>
      <w:r>
        <w:rPr>
          <w:rFonts w:hint="eastAsia"/>
          <w:lang w:val="en-US" w:eastAsia="zh-CN"/>
        </w:rPr>
        <w:t>5.1.4评价工作等级确定</w:t>
      </w:r>
    </w:p>
    <w:p>
      <w:pPr>
        <w:bidi w:val="0"/>
      </w:pPr>
      <w:r>
        <w:rPr>
          <w:rFonts w:hint="eastAsia"/>
          <w:lang w:val="en-US" w:eastAsia="zh-CN"/>
        </w:rPr>
        <w:t>本项目所有污染源的正常排放的污染物的P</w:t>
      </w:r>
      <w:r>
        <w:rPr>
          <w:rFonts w:hint="eastAsia"/>
          <w:vertAlign w:val="subscript"/>
          <w:lang w:val="en-US" w:eastAsia="zh-CN"/>
        </w:rPr>
        <w:t>max</w:t>
      </w:r>
      <w:r>
        <w:rPr>
          <w:rFonts w:hint="eastAsia"/>
          <w:lang w:val="en-US" w:eastAsia="zh-CN"/>
        </w:rPr>
        <w:t>和D</w:t>
      </w:r>
      <w:r>
        <w:rPr>
          <w:rFonts w:hint="eastAsia"/>
          <w:vertAlign w:val="subscript"/>
          <w:lang w:val="en-US" w:eastAsia="zh-CN"/>
        </w:rPr>
        <w:t>10%</w:t>
      </w:r>
      <w:r>
        <w:rPr>
          <w:rFonts w:hint="eastAsia"/>
          <w:lang w:val="en-US" w:eastAsia="zh-CN"/>
        </w:rPr>
        <w:t>预测结果如下。</w:t>
      </w:r>
    </w:p>
    <w:p>
      <w:pPr>
        <w:pStyle w:val="27"/>
        <w:bidi w:val="0"/>
      </w:pPr>
      <w:r>
        <w:rPr>
          <w:rFonts w:hint="eastAsia"/>
          <w:lang w:val="en-US" w:eastAsia="zh-CN"/>
        </w:rPr>
        <w:t>表5.1.4-1  P</w:t>
      </w:r>
      <w:r>
        <w:rPr>
          <w:rFonts w:hint="eastAsia"/>
          <w:vertAlign w:val="subscript"/>
          <w:lang w:val="en-US" w:eastAsia="zh-CN"/>
        </w:rPr>
        <w:t>max</w:t>
      </w:r>
      <w:r>
        <w:rPr>
          <w:rFonts w:hint="eastAsia"/>
          <w:lang w:val="en-US" w:eastAsia="zh-CN"/>
        </w:rPr>
        <w:t>和D</w:t>
      </w:r>
      <w:r>
        <w:rPr>
          <w:rFonts w:hint="eastAsia"/>
          <w:vertAlign w:val="subscript"/>
          <w:lang w:val="en-US" w:eastAsia="zh-CN"/>
        </w:rPr>
        <w:t>10%</w:t>
      </w:r>
      <w:r>
        <w:rPr>
          <w:rFonts w:hint="eastAsia"/>
          <w:lang w:val="en-US" w:eastAsia="zh-CN"/>
        </w:rPr>
        <w:t>预测和计算结果一览表</w:t>
      </w:r>
    </w:p>
    <w:tbl>
      <w:tblPr>
        <w:tblStyle w:val="21"/>
        <w:tblW w:w="499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850"/>
        <w:gridCol w:w="1324"/>
        <w:gridCol w:w="2306"/>
        <w:gridCol w:w="1880"/>
        <w:gridCol w:w="1267"/>
        <w:gridCol w:w="132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污染源名称</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评价因子</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评价标准(μg/m³)</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Cmax(μg/m³)</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Pmax(%)</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D10%(m)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2" w:hRule="atLeast"/>
        </w:trPr>
        <w:tc>
          <w:tcPr>
            <w:tcW w:w="929" w:type="pct"/>
            <w:vMerge w:val="restart"/>
            <w:tcBorders>
              <w:top w:val="single" w:color="auto" w:sz="2" w:space="0"/>
              <w:left w:val="single" w:color="auto" w:sz="2" w:space="0"/>
              <w:right w:val="single" w:color="auto" w:sz="2" w:space="0"/>
            </w:tcBorders>
            <w:shd w:val="clear" w:color="auto" w:fill="auto"/>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DA001</w:t>
            </w: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2.8831</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0.3203</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vMerge w:val="continue"/>
            <w:tcBorders>
              <w:left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lang w:val="en-US"/>
              </w:rPr>
            </w:pP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SO</w:t>
            </w:r>
            <w:r>
              <w:rPr>
                <w:rFonts w:hint="eastAsia"/>
                <w:vertAlign w:val="subscript"/>
                <w:lang w:val="en-US" w:eastAsia="zh-CN"/>
              </w:rPr>
              <w:t>2</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500.0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23.6742</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4.7348</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vMerge w:val="continue"/>
            <w:tcBorders>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outlineLvl w:val="9"/>
              <w:rPr>
                <w:lang w:val="en-US"/>
              </w:rPr>
            </w:pPr>
          </w:p>
        </w:tc>
        <w:tc>
          <w:tcPr>
            <w:tcW w:w="1324"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NOx</w:t>
            </w:r>
          </w:p>
        </w:tc>
        <w:tc>
          <w:tcPr>
            <w:tcW w:w="230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250.0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22.1506</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8.8603</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车间二</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188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40.0190</w:t>
            </w:r>
          </w:p>
        </w:tc>
        <w:tc>
          <w:tcPr>
            <w:tcW w:w="1267" w:type="dxa"/>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rFonts w:hint="eastAsia"/>
                <w:lang w:val="en-US" w:eastAsia="zh-CN"/>
              </w:rPr>
            </w:pPr>
            <w:r>
              <w:rPr>
                <w:rFonts w:hint="eastAsia"/>
                <w:lang w:val="en-US" w:eastAsia="zh-CN"/>
              </w:rPr>
              <w:t>4.4466</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筛分破碎车间</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77.5230</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8.6137</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929"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车间一</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TSP</w:t>
            </w:r>
          </w:p>
        </w:tc>
        <w:tc>
          <w:tcPr>
            <w:tcW w:w="1158"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900.0</w:t>
            </w:r>
          </w:p>
        </w:tc>
        <w:tc>
          <w:tcPr>
            <w:tcW w:w="944"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42.7010</w:t>
            </w:r>
          </w:p>
        </w:tc>
        <w:tc>
          <w:tcPr>
            <w:tcW w:w="636"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4.7446</w:t>
            </w:r>
          </w:p>
        </w:tc>
        <w:tc>
          <w:tcPr>
            <w:tcW w:w="665" w:type="pct"/>
            <w:tcBorders>
              <w:top w:val="single" w:color="auto" w:sz="2" w:space="0"/>
              <w:left w:val="single" w:color="auto" w:sz="2" w:space="0"/>
              <w:bottom w:val="single" w:color="auto" w:sz="2" w:space="0"/>
              <w:right w:val="single" w:color="auto" w:sz="2" w:space="0"/>
            </w:tcBorders>
            <w:shd w:val="clear" w:color="auto" w:fill="auto"/>
            <w:vAlign w:val="center"/>
          </w:tcPr>
          <w:p>
            <w:pPr>
              <w:pStyle w:val="28"/>
              <w:suppressLineNumbers w:val="0"/>
              <w:bidi w:val="0"/>
              <w:spacing w:before="0" w:after="0"/>
              <w:ind w:left="0" w:right="0"/>
              <w:rPr>
                <w:lang w:val="en-US"/>
              </w:rPr>
            </w:pPr>
            <w:r>
              <w:rPr>
                <w:rFonts w:hint="eastAsia"/>
                <w:lang w:val="en-US" w:eastAsia="zh-CN"/>
              </w:rPr>
              <w:t>/</w:t>
            </w:r>
          </w:p>
        </w:tc>
      </w:tr>
    </w:tbl>
    <w:p>
      <w:pPr>
        <w:bidi w:val="0"/>
        <w:rPr>
          <w:rFonts w:hint="eastAsia"/>
        </w:rPr>
      </w:pPr>
      <w:r>
        <w:rPr>
          <w:rFonts w:hint="eastAsia"/>
        </w:rPr>
        <w:t xml:space="preserve"> 由上表可知，本项目Pmax最大值出现为DA001排放的</w:t>
      </w:r>
      <w:r>
        <w:rPr>
          <w:rFonts w:hint="eastAsia"/>
          <w:lang w:val="en-US" w:eastAsia="zh-CN"/>
        </w:rPr>
        <w:t>NOx</w:t>
      </w:r>
      <w:r>
        <w:rPr>
          <w:rFonts w:hint="eastAsia"/>
        </w:rPr>
        <w:t xml:space="preserve"> Pmax值为</w:t>
      </w:r>
      <w:r>
        <w:rPr>
          <w:rFonts w:hint="eastAsia"/>
          <w:lang w:val="en-US" w:eastAsia="zh-CN"/>
        </w:rPr>
        <w:t>8.8603</w:t>
      </w:r>
      <w:r>
        <w:rPr>
          <w:rFonts w:hint="eastAsia"/>
        </w:rPr>
        <w:t>%</w:t>
      </w:r>
      <w:r>
        <w:rPr>
          <w:rFonts w:hint="eastAsia"/>
          <w:lang w:eastAsia="zh-CN"/>
        </w:rPr>
        <w:t>，</w:t>
      </w:r>
      <w:r>
        <w:rPr>
          <w:rFonts w:hint="eastAsia"/>
        </w:rPr>
        <w:t>Cmax为</w:t>
      </w:r>
      <w:r>
        <w:rPr>
          <w:rFonts w:hint="eastAsia"/>
          <w:lang w:val="en-US" w:eastAsia="zh-CN"/>
        </w:rPr>
        <w:t>22.1506</w:t>
      </w:r>
      <w:r>
        <w:rPr>
          <w:rFonts w:hint="eastAsia"/>
        </w:rPr>
        <w:t>μg/m³，根据《环境影响评价技术导则 大气环境》（HJ2.2-2018）分级判据，确定本项目大气环境影响评价工作等级为二级。</w:t>
      </w:r>
    </w:p>
    <w:p>
      <w:pPr>
        <w:bidi w:val="0"/>
      </w:pPr>
      <w:r>
        <w:rPr>
          <w:rFonts w:hint="eastAsia"/>
        </w:rPr>
        <w:t>综上，本项目大气环境影响评级等级为二级，不进行进一步预测和评价。</w:t>
      </w:r>
    </w:p>
    <w:p>
      <w:pPr>
        <w:bidi w:val="0"/>
        <w:rPr>
          <w:rFonts w:hint="eastAsia"/>
          <w:lang w:eastAsia="zh-CN"/>
        </w:rPr>
      </w:pPr>
    </w:p>
    <w:p>
      <w:pPr>
        <w:pStyle w:val="27"/>
        <w:bidi w:val="0"/>
        <w:rPr>
          <w:rFonts w:hint="default"/>
          <w:lang w:val="en-US" w:eastAsia="zh-CN"/>
        </w:rPr>
      </w:pPr>
      <w:r>
        <w:rPr>
          <w:rFonts w:hint="eastAsia"/>
          <w:lang w:eastAsia="zh-CN"/>
        </w:rPr>
        <w:t>表</w:t>
      </w:r>
      <w:r>
        <w:rPr>
          <w:rFonts w:hint="eastAsia"/>
          <w:lang w:val="en-US" w:eastAsia="zh-CN"/>
        </w:rPr>
        <w:t>5.1.4-2 预测结果</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413"/>
        <w:gridCol w:w="1271"/>
        <w:gridCol w:w="1439"/>
        <w:gridCol w:w="1301"/>
        <w:gridCol w:w="1439"/>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vMerge w:val="restart"/>
            <w:tcBorders>
              <w:tl2br w:val="nil"/>
              <w:tr2bl w:val="nil"/>
            </w:tcBorders>
            <w:noWrap w:val="0"/>
            <w:vAlign w:val="center"/>
          </w:tcPr>
          <w:p>
            <w:pPr>
              <w:pStyle w:val="28"/>
              <w:suppressLineNumbers w:val="0"/>
              <w:bidi w:val="0"/>
              <w:spacing w:before="0" w:after="0"/>
              <w:ind w:left="0" w:right="0"/>
            </w:pPr>
            <w:r>
              <w:t>下风向距离</w:t>
            </w:r>
          </w:p>
        </w:tc>
        <w:tc>
          <w:tcPr>
            <w:tcW w:w="4097" w:type="pct"/>
            <w:gridSpan w:val="6"/>
            <w:tcBorders>
              <w:tl2br w:val="nil"/>
              <w:tr2bl w:val="nil"/>
            </w:tcBorders>
            <w:noWrap w:val="0"/>
            <w:vAlign w:val="center"/>
          </w:tcPr>
          <w:p>
            <w:pPr>
              <w:pStyle w:val="28"/>
              <w:suppressLineNumbers w:val="0"/>
              <w:bidi w:val="0"/>
              <w:spacing w:before="0" w:after="0"/>
              <w:ind w:left="0" w:right="0"/>
              <w:rPr>
                <w:rFonts w:hint="eastAsia"/>
              </w:rPr>
            </w:pPr>
            <w:r>
              <w:t>点源DA0</w:t>
            </w:r>
            <w:r>
              <w:rPr>
                <w:rFonts w:hint="eastAsi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vMerge w:val="continue"/>
            <w:tcBorders>
              <w:tl2br w:val="nil"/>
              <w:tr2bl w:val="nil"/>
            </w:tcBorders>
            <w:noWrap w:val="0"/>
            <w:vAlign w:val="center"/>
          </w:tcPr>
          <w:p>
            <w:pPr>
              <w:pStyle w:val="28"/>
              <w:suppressLineNumbers w:val="0"/>
              <w:bidi w:val="0"/>
              <w:spacing w:before="0" w:after="0"/>
              <w:ind w:left="0" w:right="0"/>
              <w:outlineLvl w:val="9"/>
            </w:pPr>
          </w:p>
        </w:tc>
        <w:tc>
          <w:tcPr>
            <w:tcW w:w="709"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TSP浓度(μg/m³)</w:t>
            </w:r>
          </w:p>
        </w:tc>
        <w:tc>
          <w:tcPr>
            <w:tcW w:w="637"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TSP占标率(%)</w:t>
            </w:r>
          </w:p>
        </w:tc>
        <w:tc>
          <w:tcPr>
            <w:tcW w:w="72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SO</w:t>
            </w:r>
            <w:r>
              <w:rPr>
                <w:rFonts w:hint="eastAsia"/>
                <w:vertAlign w:val="subscript"/>
                <w:lang w:val="en-US" w:eastAsia="zh-CN"/>
              </w:rPr>
              <w:t>2</w:t>
            </w:r>
            <w:r>
              <w:rPr>
                <w:rFonts w:hint="eastAsia"/>
                <w:lang w:val="en-US" w:eastAsia="zh-CN"/>
              </w:rPr>
              <w:t>浓度(μg/m³)</w:t>
            </w:r>
          </w:p>
        </w:tc>
        <w:tc>
          <w:tcPr>
            <w:tcW w:w="65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SO2占标率(%)</w:t>
            </w:r>
          </w:p>
        </w:tc>
        <w:tc>
          <w:tcPr>
            <w:tcW w:w="72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NOx浓度(μg/m³)</w:t>
            </w:r>
          </w:p>
        </w:tc>
        <w:tc>
          <w:tcPr>
            <w:tcW w:w="65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NOx占标率(%)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50.0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0.4850</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0.0539</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3.9823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0.7965</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3.7260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1.4904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902" w:type="pct"/>
            <w:tcBorders>
              <w:tl2br w:val="nil"/>
              <w:tr2bl w:val="nil"/>
            </w:tcBorders>
            <w:noWrap w:val="0"/>
            <w:vAlign w:val="center"/>
          </w:tcPr>
          <w:p>
            <w:pPr>
              <w:pStyle w:val="28"/>
              <w:suppressLineNumbers w:val="0"/>
              <w:bidi w:val="0"/>
              <w:spacing w:before="0" w:after="0"/>
              <w:ind w:left="0" w:right="0"/>
            </w:pPr>
            <w:r>
              <w:t>100.0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0.6716</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0.0746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5.5148</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1.1030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5.1599</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200.0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0.7649</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0.0850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6.2807</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1.2561</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5.8765</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2.3506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300.0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0.8023</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0.0891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6.5883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1.3177</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6.1643</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2.4657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400.0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1.2641</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0.1405</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10.3800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2.0760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9.7120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3.8848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500.0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1.5239</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0.1693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12.5133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2.5027</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11.7080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4.6832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600.0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1.6332</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0.1815</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13.4108</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2.6822</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12.5478</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700.0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1.6565</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0.1841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13.6022</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2.7204</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12.7268</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800.0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1.6358</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0.1818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13.4322</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2.6864</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12.5677</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900.0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1.5874</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0.1764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13.0347</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2.6069</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12.1959</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4.8784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1000.0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1.5240</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0.1693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12.5141</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2.5028</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11.7088</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4.6835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1200.0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1.3803</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0.1534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11.3342</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2.2668</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10.6047</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1400.0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1.2516</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0.1391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10.2774</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2.0555</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9.6160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3.8464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1600.0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1.1454</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0.1273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9.4053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1.8811</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8.8000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1800.0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1.0540</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0.1171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8.6548</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1.7310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8.0978</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3.2391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2000.0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0.9761</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0.1085</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8.0150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1.6030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7.4992</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2.9997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2500.0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0.8241</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0.0916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6.7668</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1.3534</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6.3313</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2.5325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3000.0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0.7147</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0.0794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5.8683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1.1737</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5.4907</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2.1963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2" w:type="pct"/>
            <w:tcBorders>
              <w:tl2br w:val="nil"/>
              <w:tr2bl w:val="nil"/>
            </w:tcBorders>
            <w:noWrap w:val="0"/>
            <w:vAlign w:val="center"/>
          </w:tcPr>
          <w:p>
            <w:pPr>
              <w:pStyle w:val="28"/>
              <w:suppressLineNumbers w:val="0"/>
              <w:bidi w:val="0"/>
              <w:spacing w:before="0" w:after="0"/>
              <w:ind w:left="0" w:right="0"/>
            </w:pPr>
            <w:r>
              <w:t>3500.0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0.6322</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0.0702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5.1912</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1.0382</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4.8571</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1.9428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4000.0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0.5682</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0.0631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4.6654</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0.9331</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4.3651</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1.7461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4500.0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0.5165</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0.0574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4.2416</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0.8483</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3.9686</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1.5874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5000.0</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0.4740</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0.0527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3.8925</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0.7785</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3.6420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1.4568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10000.0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2.0428</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0.2270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16.7742</w:t>
            </w:r>
          </w:p>
        </w:tc>
        <w:tc>
          <w:tcPr>
            <w:tcW w:w="130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3.3548</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15.6947</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lang w:val="en-US" w:eastAsia="zh-CN"/>
              </w:rPr>
              <w:t>11000.0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0.8831</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0.0981</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7.2515</w:t>
            </w:r>
          </w:p>
        </w:tc>
        <w:tc>
          <w:tcPr>
            <w:tcW w:w="130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1.4503</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6.7848</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2.7139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下风向最大浓度</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2.8831</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0.3203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23.6742</w:t>
            </w:r>
          </w:p>
        </w:tc>
        <w:tc>
          <w:tcPr>
            <w:tcW w:w="1301" w:type="dxa"/>
            <w:tcBorders>
              <w:tl2br w:val="nil"/>
              <w:tr2bl w:val="nil"/>
            </w:tcBorders>
            <w:noWrap w:val="0"/>
            <w:vAlign w:val="center"/>
          </w:tcPr>
          <w:p>
            <w:pPr>
              <w:pStyle w:val="28"/>
              <w:suppressLineNumbers w:val="0"/>
              <w:bidi w:val="0"/>
              <w:spacing w:before="0" w:after="0"/>
              <w:ind w:left="0" w:right="0"/>
              <w:rPr>
                <w:rFonts w:hint="eastAsia"/>
              </w:rPr>
            </w:pPr>
            <w:r>
              <w:rPr>
                <w:rFonts w:hint="eastAsia"/>
                <w:lang w:val="en-US" w:eastAsia="zh-CN"/>
              </w:rPr>
              <w:t>4.7348</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22.1506</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8.8603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下风向最大浓度出现距离</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10160.0</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10160.0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10160.0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10160.0</w:t>
            </w:r>
          </w:p>
        </w:tc>
        <w:tc>
          <w:tcPr>
            <w:tcW w:w="1439"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10160.0</w:t>
            </w:r>
          </w:p>
        </w:tc>
        <w:tc>
          <w:tcPr>
            <w:tcW w:w="130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D10%最远距离</w:t>
            </w: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vMerge w:val="restart"/>
            <w:tcBorders>
              <w:tl2br w:val="nil"/>
              <w:tr2bl w:val="nil"/>
            </w:tcBorders>
            <w:noWrap w:val="0"/>
            <w:vAlign w:val="center"/>
          </w:tcPr>
          <w:p>
            <w:pPr>
              <w:pStyle w:val="28"/>
              <w:suppressLineNumbers w:val="0"/>
              <w:bidi w:val="0"/>
              <w:spacing w:before="0" w:after="0"/>
              <w:ind w:left="0" w:right="0"/>
            </w:pPr>
            <w:r>
              <w:t>下风向距离</w:t>
            </w:r>
          </w:p>
        </w:tc>
        <w:tc>
          <w:tcPr>
            <w:tcW w:w="1347" w:type="pct"/>
            <w:gridSpan w:val="2"/>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车间二</w:t>
            </w:r>
          </w:p>
        </w:tc>
        <w:tc>
          <w:tcPr>
            <w:tcW w:w="1375" w:type="pct"/>
            <w:gridSpan w:val="2"/>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车间一</w:t>
            </w:r>
          </w:p>
        </w:tc>
        <w:tc>
          <w:tcPr>
            <w:tcW w:w="1375" w:type="pct"/>
            <w:gridSpan w:val="2"/>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vMerge w:val="continue"/>
            <w:tcBorders>
              <w:tl2br w:val="nil"/>
              <w:tr2bl w:val="nil"/>
            </w:tcBorders>
            <w:noWrap w:val="0"/>
            <w:vAlign w:val="center"/>
          </w:tcPr>
          <w:p>
            <w:pPr>
              <w:pStyle w:val="28"/>
              <w:suppressLineNumbers w:val="0"/>
              <w:bidi w:val="0"/>
              <w:spacing w:before="0" w:after="0"/>
              <w:ind w:left="0" w:right="0"/>
              <w:outlineLvl w:val="9"/>
            </w:pPr>
          </w:p>
        </w:tc>
        <w:tc>
          <w:tcPr>
            <w:tcW w:w="141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TSP浓度(μg/m³)</w:t>
            </w:r>
          </w:p>
        </w:tc>
        <w:tc>
          <w:tcPr>
            <w:tcW w:w="127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TSP占标率(%)</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TSP浓度(μg/m³)</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TSP占标率(%)</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TSP浓度(μg/m³)</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TSP占标率(%)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50.0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25.5040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2.8338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28.4260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3.1584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46.7780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39.1880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4.3542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42.1920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4.6880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75.3190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8.3688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200.0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29.5670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3.2852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30.3340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3.3704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58.4320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6.4924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300.0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22.3980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2.4887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22.6990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2.5221</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44.5000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400.0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18.6540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2.0727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18.6550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2.0728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37.3060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500.0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15.9150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1.7683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15.9150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1.7683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31.8270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3.5363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600.0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13.9830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1.5537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13.9830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1.5537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27.9650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700.0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12.5370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1.3930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12.5370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1.3930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25.0720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2.7858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800.0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11.4070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1.2674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11.4080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1.2676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22.8130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2.5348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900.0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10.4970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1.1663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10.4970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1.1663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20.9920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2.3324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9.7447</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1.0827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9.7448</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1.0828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19.4880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2.1653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1200.0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8.5694</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0.9522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8.5695</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0.9522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17.1380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1.9042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1400.0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7.6879</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0.8542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7.6880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0.8542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15.3750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1.7083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1600.0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6.9985</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0.7776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6.9986</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0.7776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13.9960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1.5551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1800.0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6.4422</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0.7158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6.4423</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0.7158</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12.8830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1.4314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2000.0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5.9823</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0.6647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5.9824</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0.6647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11.9640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2500.0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5.1144</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0.5683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5.1145</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0.5683</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10.2280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3000.0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4.5000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0.5000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4.5001</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0.5000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8.9993</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3500.0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4.0387</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0.4487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4.0387</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0.4487</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8.0767</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4000.0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3.6776</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0.4086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3.6776</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0.4086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7.3545</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4500.0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3.3860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0.3762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3.3860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0.3762</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6.7715</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0.7524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rPr>
                <w:rFonts w:hint="eastAsia"/>
              </w:rPr>
              <w:t>5000.0</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3.1449</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0.3494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3.1449</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0.3494</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6.2893</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0.6988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下风向最大浓度</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40.0190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4.4466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42.7010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4.7446</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77.5230</w:t>
            </w:r>
          </w:p>
        </w:tc>
        <w:tc>
          <w:tcPr>
            <w:tcW w:w="1303"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8.6137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下风向最大浓度出现距离</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112.0</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112.0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108.0</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108.0</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114.0</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tcBorders>
              <w:tl2br w:val="nil"/>
              <w:tr2bl w:val="nil"/>
            </w:tcBorders>
            <w:noWrap w:val="0"/>
            <w:vAlign w:val="center"/>
          </w:tcPr>
          <w:p>
            <w:pPr>
              <w:pStyle w:val="28"/>
              <w:suppressLineNumbers w:val="0"/>
              <w:bidi w:val="0"/>
              <w:spacing w:before="0" w:after="0"/>
              <w:ind w:left="0" w:right="0"/>
            </w:pPr>
            <w:r>
              <w:t>D10%最远距离</w:t>
            </w:r>
          </w:p>
        </w:tc>
        <w:tc>
          <w:tcPr>
            <w:tcW w:w="141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27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30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439"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130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r>
    </w:tbl>
    <w:p>
      <w:pPr>
        <w:pStyle w:val="5"/>
        <w:bidi w:val="0"/>
      </w:pPr>
      <w:r>
        <w:rPr>
          <w:rFonts w:hint="eastAsia"/>
          <w:lang w:val="en-US" w:eastAsia="zh-CN"/>
        </w:rPr>
        <w:t>5.1.5</w:t>
      </w:r>
      <w:r>
        <w:rPr>
          <w:rFonts w:hint="eastAsia"/>
        </w:rPr>
        <w:t>污染物排放量核算</w:t>
      </w:r>
    </w:p>
    <w:p>
      <w:pPr>
        <w:bidi w:val="0"/>
      </w:pPr>
      <w:r>
        <w:rPr>
          <w:rFonts w:hint="eastAsia"/>
        </w:rPr>
        <w:t>项目大气污染物有组织排放量核算详见表</w:t>
      </w:r>
      <w:r>
        <w:rPr>
          <w:rFonts w:hint="eastAsia"/>
          <w:lang w:val="en-US" w:eastAsia="zh-CN"/>
        </w:rPr>
        <w:t>5.1.5-1</w:t>
      </w:r>
      <w:r>
        <w:rPr>
          <w:rFonts w:hint="eastAsia"/>
        </w:rPr>
        <w:t>。</w:t>
      </w:r>
    </w:p>
    <w:p>
      <w:pPr>
        <w:pStyle w:val="27"/>
        <w:bidi w:val="0"/>
      </w:pPr>
      <w:r>
        <w:t>表</w:t>
      </w:r>
      <w:r>
        <w:rPr>
          <w:rFonts w:hint="eastAsia"/>
          <w:lang w:val="en-US" w:eastAsia="zh-CN"/>
        </w:rPr>
        <w:t>5.1.5-1</w:t>
      </w:r>
      <w:r>
        <w:rPr>
          <w:rFonts w:hint="eastAsia"/>
        </w:rPr>
        <w:t>大气污染物有组织排放量核算表</w:t>
      </w:r>
    </w:p>
    <w:tbl>
      <w:tblPr>
        <w:tblStyle w:val="2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5"/>
        <w:gridCol w:w="1158"/>
        <w:gridCol w:w="1156"/>
        <w:gridCol w:w="2263"/>
        <w:gridCol w:w="2341"/>
        <w:gridCol w:w="205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05" w:type="dxa"/>
            <w:tcBorders>
              <w:tl2br w:val="nil"/>
              <w:tr2bl w:val="nil"/>
            </w:tcBorders>
            <w:noWrap w:val="0"/>
            <w:vAlign w:val="center"/>
          </w:tcPr>
          <w:p>
            <w:pPr>
              <w:pStyle w:val="28"/>
              <w:suppressLineNumbers w:val="0"/>
              <w:bidi w:val="0"/>
              <w:spacing w:before="0" w:after="0"/>
              <w:ind w:left="0" w:right="0"/>
            </w:pPr>
            <w:r>
              <w:rPr>
                <w:rFonts w:hint="eastAsia"/>
              </w:rPr>
              <w:t>序</w:t>
            </w:r>
            <w:r>
              <w:t>号</w:t>
            </w:r>
          </w:p>
        </w:tc>
        <w:tc>
          <w:tcPr>
            <w:tcW w:w="1158" w:type="dxa"/>
            <w:tcBorders>
              <w:tl2br w:val="nil"/>
              <w:tr2bl w:val="nil"/>
            </w:tcBorders>
            <w:noWrap w:val="0"/>
            <w:vAlign w:val="center"/>
          </w:tcPr>
          <w:p>
            <w:pPr>
              <w:pStyle w:val="28"/>
              <w:suppressLineNumbers w:val="0"/>
              <w:bidi w:val="0"/>
              <w:spacing w:before="0" w:after="0"/>
              <w:ind w:left="0" w:right="0"/>
            </w:pPr>
            <w:r>
              <w:t>排放口编号</w:t>
            </w:r>
          </w:p>
        </w:tc>
        <w:tc>
          <w:tcPr>
            <w:tcW w:w="1156" w:type="dxa"/>
            <w:tcBorders>
              <w:tl2br w:val="nil"/>
              <w:tr2bl w:val="nil"/>
            </w:tcBorders>
            <w:noWrap w:val="0"/>
            <w:vAlign w:val="center"/>
          </w:tcPr>
          <w:p>
            <w:pPr>
              <w:pStyle w:val="28"/>
              <w:suppressLineNumbers w:val="0"/>
              <w:bidi w:val="0"/>
              <w:spacing w:before="0" w:after="0"/>
              <w:ind w:left="0" w:right="0"/>
            </w:pPr>
            <w:r>
              <w:t>污染物</w:t>
            </w:r>
          </w:p>
        </w:tc>
        <w:tc>
          <w:tcPr>
            <w:tcW w:w="2263" w:type="dxa"/>
            <w:tcBorders>
              <w:tl2br w:val="nil"/>
              <w:tr2bl w:val="nil"/>
            </w:tcBorders>
            <w:noWrap w:val="0"/>
            <w:vAlign w:val="center"/>
          </w:tcPr>
          <w:p>
            <w:pPr>
              <w:pStyle w:val="28"/>
              <w:suppressLineNumbers w:val="0"/>
              <w:bidi w:val="0"/>
              <w:spacing w:before="0" w:after="0"/>
              <w:ind w:left="0" w:right="0"/>
            </w:pPr>
            <w:r>
              <w:t>核算排放速率/（kg/h）</w:t>
            </w:r>
          </w:p>
        </w:tc>
        <w:tc>
          <w:tcPr>
            <w:tcW w:w="2341" w:type="dxa"/>
            <w:tcBorders>
              <w:tl2br w:val="nil"/>
              <w:tr2bl w:val="nil"/>
            </w:tcBorders>
            <w:noWrap w:val="0"/>
            <w:vAlign w:val="center"/>
          </w:tcPr>
          <w:p>
            <w:pPr>
              <w:pStyle w:val="28"/>
              <w:suppressLineNumbers w:val="0"/>
              <w:bidi w:val="0"/>
              <w:spacing w:before="0" w:after="0"/>
              <w:ind w:left="0" w:right="0"/>
            </w:pPr>
            <w:r>
              <w:t>核算排放浓度/（mg/m</w:t>
            </w:r>
            <w:r>
              <w:rPr>
                <w:vertAlign w:val="superscript"/>
              </w:rPr>
              <w:t>3</w:t>
            </w:r>
            <w:r>
              <w:t>）</w:t>
            </w:r>
          </w:p>
        </w:tc>
        <w:tc>
          <w:tcPr>
            <w:tcW w:w="2051" w:type="dxa"/>
            <w:tcBorders>
              <w:tl2br w:val="nil"/>
              <w:tr2bl w:val="nil"/>
            </w:tcBorders>
            <w:noWrap w:val="0"/>
            <w:vAlign w:val="center"/>
          </w:tcPr>
          <w:p>
            <w:pPr>
              <w:pStyle w:val="28"/>
              <w:suppressLineNumbers w:val="0"/>
              <w:bidi w:val="0"/>
              <w:spacing w:before="0" w:after="0"/>
              <w:ind w:left="0" w:right="0"/>
            </w:pPr>
            <w:r>
              <w:t>核算年排放量/（t/a）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674" w:type="dxa"/>
            <w:gridSpan w:val="6"/>
            <w:tcBorders>
              <w:tl2br w:val="nil"/>
              <w:tr2bl w:val="nil"/>
            </w:tcBorders>
            <w:noWrap w:val="0"/>
            <w:vAlign w:val="center"/>
          </w:tcPr>
          <w:p>
            <w:pPr>
              <w:pStyle w:val="28"/>
              <w:suppressLineNumbers w:val="0"/>
              <w:bidi w:val="0"/>
              <w:spacing w:before="0" w:after="0"/>
              <w:ind w:left="0" w:right="0"/>
            </w:pPr>
            <w:r>
              <w:t>一般排放口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 w:hRule="atLeast"/>
          <w:jc w:val="center"/>
        </w:trPr>
        <w:tc>
          <w:tcPr>
            <w:tcW w:w="705" w:type="dxa"/>
            <w:vMerge w:val="restart"/>
            <w:tcBorders>
              <w:tl2br w:val="nil"/>
              <w:tr2bl w:val="nil"/>
            </w:tcBorders>
            <w:noWrap w:val="0"/>
            <w:vAlign w:val="center"/>
          </w:tcPr>
          <w:p>
            <w:pPr>
              <w:pStyle w:val="28"/>
              <w:suppressLineNumbers w:val="0"/>
              <w:bidi w:val="0"/>
              <w:spacing w:before="0" w:after="0"/>
              <w:ind w:left="0" w:right="0"/>
              <w:rPr>
                <w:rFonts w:hint="eastAsia"/>
              </w:rPr>
            </w:pPr>
            <w:r>
              <w:rPr>
                <w:rFonts w:hint="eastAsia"/>
              </w:rPr>
              <w:t>1</w:t>
            </w:r>
          </w:p>
        </w:tc>
        <w:tc>
          <w:tcPr>
            <w:tcW w:w="1158" w:type="dxa"/>
            <w:vMerge w:val="restart"/>
            <w:tcBorders>
              <w:tl2br w:val="nil"/>
              <w:tr2bl w:val="nil"/>
            </w:tcBorders>
            <w:noWrap w:val="0"/>
            <w:vAlign w:val="center"/>
          </w:tcPr>
          <w:p>
            <w:pPr>
              <w:pStyle w:val="28"/>
              <w:suppressLineNumbers w:val="0"/>
              <w:bidi w:val="0"/>
              <w:spacing w:before="0" w:after="0"/>
              <w:ind w:left="0" w:right="0"/>
            </w:pPr>
            <w:r>
              <w:rPr>
                <w:rFonts w:hint="eastAsia"/>
              </w:rPr>
              <w:t>DA001</w:t>
            </w:r>
          </w:p>
        </w:tc>
        <w:tc>
          <w:tcPr>
            <w:tcW w:w="1156"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颗粒物</w:t>
            </w:r>
          </w:p>
        </w:tc>
        <w:tc>
          <w:tcPr>
            <w:tcW w:w="226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0.492</w:t>
            </w:r>
          </w:p>
        </w:tc>
        <w:tc>
          <w:tcPr>
            <w:tcW w:w="2341"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5.86 </w:t>
            </w:r>
          </w:p>
        </w:tc>
        <w:tc>
          <w:tcPr>
            <w:tcW w:w="2051"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0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1158"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1156"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SO</w:t>
            </w:r>
            <w:r>
              <w:rPr>
                <w:rFonts w:hint="eastAsia"/>
                <w:vertAlign w:val="subscript"/>
                <w:lang w:val="en-US" w:eastAsia="zh-CN"/>
              </w:rPr>
              <w:t>2</w:t>
            </w:r>
          </w:p>
        </w:tc>
        <w:tc>
          <w:tcPr>
            <w:tcW w:w="2263"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4.04</w:t>
            </w:r>
          </w:p>
        </w:tc>
        <w:tc>
          <w:tcPr>
            <w:tcW w:w="234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 xml:space="preserve">48.10 </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0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1158"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1156"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NOx</w:t>
            </w:r>
          </w:p>
        </w:tc>
        <w:tc>
          <w:tcPr>
            <w:tcW w:w="2263"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3.78</w:t>
            </w:r>
          </w:p>
        </w:tc>
        <w:tc>
          <w:tcPr>
            <w:tcW w:w="2341"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 xml:space="preserve">45.00 </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 w:hRule="atLeast"/>
          <w:jc w:val="center"/>
        </w:trPr>
        <w:tc>
          <w:tcPr>
            <w:tcW w:w="1863" w:type="dxa"/>
            <w:gridSpan w:val="2"/>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主要</w:t>
            </w:r>
            <w:r>
              <w:t>排放口合计</w:t>
            </w: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颗粒物</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1" w:hRule="atLeast"/>
          <w:jc w:val="center"/>
        </w:trPr>
        <w:tc>
          <w:tcPr>
            <w:tcW w:w="1863" w:type="dxa"/>
            <w:gridSpan w:val="2"/>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863" w:type="dxa"/>
            <w:gridSpan w:val="2"/>
            <w:vMerge w:val="continue"/>
            <w:tcBorders>
              <w:tl2br w:val="nil"/>
              <w:tr2bl w:val="nil"/>
            </w:tcBorders>
            <w:noWrap w:val="0"/>
            <w:vAlign w:val="center"/>
          </w:tcPr>
          <w:p>
            <w:pPr>
              <w:pStyle w:val="28"/>
              <w:suppressLineNumbers w:val="0"/>
              <w:bidi w:val="0"/>
              <w:spacing w:before="0" w:after="0"/>
              <w:ind w:left="0" w:right="0"/>
              <w:outlineLvl w:val="9"/>
            </w:pP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NOx</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9674" w:type="dxa"/>
            <w:gridSpan w:val="6"/>
            <w:tcBorders>
              <w:tl2br w:val="nil"/>
              <w:tr2bl w:val="nil"/>
            </w:tcBorders>
            <w:noWrap w:val="0"/>
            <w:vAlign w:val="center"/>
          </w:tcPr>
          <w:p>
            <w:pPr>
              <w:pStyle w:val="28"/>
              <w:suppressLineNumbers w:val="0"/>
              <w:bidi w:val="0"/>
              <w:spacing w:before="0" w:after="0"/>
              <w:ind w:left="0" w:right="0"/>
            </w:pPr>
            <w:r>
              <w:t>有组织排放总计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863" w:type="dxa"/>
            <w:gridSpan w:val="2"/>
            <w:vMerge w:val="restart"/>
            <w:tcBorders>
              <w:tl2br w:val="nil"/>
              <w:tr2bl w:val="nil"/>
            </w:tcBorders>
            <w:noWrap w:val="0"/>
            <w:vAlign w:val="center"/>
          </w:tcPr>
          <w:p>
            <w:pPr>
              <w:pStyle w:val="28"/>
              <w:suppressLineNumbers w:val="0"/>
              <w:bidi w:val="0"/>
              <w:spacing w:before="0" w:after="0"/>
              <w:ind w:left="0" w:right="0"/>
            </w:pPr>
            <w:r>
              <w:t>有组织排放总计</w:t>
            </w: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颗粒物</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863" w:type="dxa"/>
            <w:gridSpan w:val="2"/>
            <w:vMerge w:val="continue"/>
            <w:tcBorders>
              <w:tl2br w:val="nil"/>
              <w:tr2bl w:val="nil"/>
            </w:tcBorders>
            <w:noWrap w:val="0"/>
            <w:vAlign w:val="center"/>
          </w:tcPr>
          <w:p>
            <w:pPr>
              <w:pStyle w:val="28"/>
              <w:suppressLineNumbers w:val="0"/>
              <w:bidi w:val="0"/>
              <w:spacing w:before="0" w:after="0"/>
              <w:ind w:left="0" w:right="0"/>
              <w:outlineLvl w:val="9"/>
            </w:pP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SO2</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863" w:type="dxa"/>
            <w:gridSpan w:val="2"/>
            <w:vMerge w:val="continue"/>
            <w:tcBorders>
              <w:tl2br w:val="nil"/>
              <w:tr2bl w:val="nil"/>
            </w:tcBorders>
            <w:noWrap w:val="0"/>
            <w:vAlign w:val="center"/>
          </w:tcPr>
          <w:p>
            <w:pPr>
              <w:pStyle w:val="28"/>
              <w:suppressLineNumbers w:val="0"/>
              <w:bidi w:val="0"/>
              <w:spacing w:before="0" w:after="0"/>
              <w:ind w:left="0" w:right="0"/>
              <w:outlineLvl w:val="9"/>
            </w:pPr>
          </w:p>
        </w:tc>
        <w:tc>
          <w:tcPr>
            <w:tcW w:w="5760" w:type="dxa"/>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NOx</w:t>
            </w:r>
          </w:p>
        </w:tc>
        <w:tc>
          <w:tcPr>
            <w:tcW w:w="2051"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lang w:val="en-US" w:eastAsia="zh-CN"/>
              </w:rPr>
              <w:t>30</w:t>
            </w:r>
          </w:p>
        </w:tc>
      </w:tr>
    </w:tbl>
    <w:p>
      <w:pPr>
        <w:spacing w:line="500" w:lineRule="exact"/>
        <w:ind w:firstLine="480" w:firstLineChars="200"/>
        <w:rPr>
          <w:rFonts w:ascii="Times New Roman" w:hAnsi="Times New Roman" w:eastAsia="宋体"/>
          <w:sz w:val="24"/>
        </w:rPr>
      </w:pPr>
      <w:r>
        <w:rPr>
          <w:rFonts w:hint="eastAsia" w:ascii="Times New Roman" w:hAnsi="Times New Roman" w:eastAsia="宋体"/>
          <w:sz w:val="24"/>
        </w:rPr>
        <w:t>项目大气污染物无组织排放量核算详见表</w:t>
      </w:r>
      <w:r>
        <w:rPr>
          <w:rFonts w:hint="eastAsia" w:ascii="Times New Roman" w:hAnsi="Times New Roman"/>
          <w:sz w:val="24"/>
          <w:lang w:val="en-US" w:eastAsia="zh-CN"/>
        </w:rPr>
        <w:t>5.1.</w:t>
      </w:r>
      <w:r>
        <w:rPr>
          <w:rFonts w:hint="eastAsia"/>
          <w:sz w:val="24"/>
          <w:lang w:val="en-US" w:eastAsia="zh-CN"/>
        </w:rPr>
        <w:t>5-2</w:t>
      </w:r>
      <w:r>
        <w:rPr>
          <w:rFonts w:hint="eastAsia" w:ascii="Times New Roman" w:hAnsi="Times New Roman" w:eastAsia="宋体"/>
          <w:sz w:val="24"/>
        </w:rPr>
        <w:t>。</w:t>
      </w:r>
    </w:p>
    <w:p>
      <w:pPr>
        <w:pStyle w:val="27"/>
        <w:bidi w:val="0"/>
      </w:pPr>
      <w:r>
        <w:t>表</w:t>
      </w:r>
      <w:r>
        <w:rPr>
          <w:rFonts w:hint="eastAsia"/>
          <w:lang w:val="en-US" w:eastAsia="zh-CN"/>
        </w:rPr>
        <w:t xml:space="preserve">5.1.5-2 </w:t>
      </w:r>
      <w:r>
        <w:rPr>
          <w:rFonts w:hint="eastAsia"/>
        </w:rPr>
        <w:t>大气污染物无组织排放量核算表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998"/>
        <w:gridCol w:w="1070"/>
        <w:gridCol w:w="673"/>
        <w:gridCol w:w="2520"/>
        <w:gridCol w:w="1523"/>
        <w:gridCol w:w="1544"/>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序号</w:t>
            </w:r>
          </w:p>
        </w:tc>
        <w:tc>
          <w:tcPr>
            <w:tcW w:w="501"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排放口</w:t>
            </w:r>
          </w:p>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编号</w:t>
            </w:r>
          </w:p>
        </w:tc>
        <w:tc>
          <w:tcPr>
            <w:tcW w:w="537"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产污环节</w:t>
            </w:r>
          </w:p>
        </w:tc>
        <w:tc>
          <w:tcPr>
            <w:tcW w:w="336"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污染物</w:t>
            </w:r>
          </w:p>
        </w:tc>
        <w:tc>
          <w:tcPr>
            <w:tcW w:w="1265"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主要污染防治措施</w:t>
            </w:r>
          </w:p>
        </w:tc>
        <w:tc>
          <w:tcPr>
            <w:tcW w:w="1538" w:type="pct"/>
            <w:gridSpan w:val="2"/>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国家或地方污染物排放标准</w:t>
            </w:r>
          </w:p>
        </w:tc>
        <w:tc>
          <w:tcPr>
            <w:tcW w:w="570"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501"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537"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336"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1265"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764"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标准名称</w:t>
            </w:r>
          </w:p>
        </w:tc>
        <w:tc>
          <w:tcPr>
            <w:tcW w:w="773"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浓度限值/（mg/m3）</w:t>
            </w:r>
          </w:p>
        </w:tc>
        <w:tc>
          <w:tcPr>
            <w:tcW w:w="570"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1</w:t>
            </w:r>
          </w:p>
        </w:tc>
        <w:tc>
          <w:tcPr>
            <w:tcW w:w="501"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车间一</w:t>
            </w:r>
          </w:p>
        </w:tc>
        <w:tc>
          <w:tcPr>
            <w:tcW w:w="5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进料、中间包装</w:t>
            </w:r>
          </w:p>
        </w:tc>
        <w:tc>
          <w:tcPr>
            <w:tcW w:w="336"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lang w:val="en-US" w:eastAsia="zh-CN"/>
              </w:rPr>
            </w:pPr>
            <w:r>
              <w:rPr>
                <w:rFonts w:hint="eastAsia" w:ascii="Times New Roman" w:hAnsi="Times New Roman"/>
                <w:lang w:val="en-US" w:eastAsia="zh-CN"/>
              </w:rPr>
              <w:t>TSP</w:t>
            </w:r>
          </w:p>
        </w:tc>
        <w:tc>
          <w:tcPr>
            <w:tcW w:w="1265"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车间密闭，自然沉降，加强管理，从源头减少无组织粉尘产生量</w:t>
            </w:r>
          </w:p>
        </w:tc>
        <w:tc>
          <w:tcPr>
            <w:tcW w:w="764"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GB16297-1996</w:t>
            </w:r>
          </w:p>
        </w:tc>
        <w:tc>
          <w:tcPr>
            <w:tcW w:w="773" w:type="pct"/>
            <w:vMerge w:val="restar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120</w:t>
            </w:r>
          </w:p>
        </w:tc>
        <w:tc>
          <w:tcPr>
            <w:tcW w:w="570"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2</w:t>
            </w:r>
          </w:p>
        </w:tc>
        <w:tc>
          <w:tcPr>
            <w:tcW w:w="501"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车间二</w:t>
            </w:r>
          </w:p>
        </w:tc>
        <w:tc>
          <w:tcPr>
            <w:tcW w:w="5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进料、中间包装</w:t>
            </w:r>
          </w:p>
        </w:tc>
        <w:tc>
          <w:tcPr>
            <w:tcW w:w="33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TSP</w:t>
            </w:r>
          </w:p>
        </w:tc>
        <w:tc>
          <w:tcPr>
            <w:tcW w:w="1265"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764"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773"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570"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3</w:t>
            </w:r>
          </w:p>
        </w:tc>
        <w:tc>
          <w:tcPr>
            <w:tcW w:w="501"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破碎、筛分车间</w:t>
            </w:r>
          </w:p>
        </w:tc>
        <w:tc>
          <w:tcPr>
            <w:tcW w:w="537"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破碎、筛分、包装</w:t>
            </w:r>
          </w:p>
        </w:tc>
        <w:tc>
          <w:tcPr>
            <w:tcW w:w="33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TSP</w:t>
            </w:r>
          </w:p>
        </w:tc>
        <w:tc>
          <w:tcPr>
            <w:tcW w:w="1265"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764"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773" w:type="pct"/>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lang w:val="en-US" w:eastAsia="zh-CN"/>
              </w:rPr>
            </w:pPr>
          </w:p>
        </w:tc>
        <w:tc>
          <w:tcPr>
            <w:tcW w:w="570"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8"/>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5" w:type="pct"/>
            <w:gridSpan w:val="4"/>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无组织排放总计</w:t>
            </w:r>
          </w:p>
        </w:tc>
        <w:tc>
          <w:tcPr>
            <w:tcW w:w="2804" w:type="pct"/>
            <w:gridSpan w:val="3"/>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lang w:val="en-US" w:eastAsia="zh-CN"/>
              </w:rPr>
            </w:pPr>
            <w:r>
              <w:rPr>
                <w:rFonts w:hint="eastAsia" w:ascii="Times New Roman" w:hAnsi="Times New Roman"/>
                <w:lang w:val="en-US" w:eastAsia="zh-CN"/>
              </w:rPr>
              <w:t>粉尘</w:t>
            </w:r>
          </w:p>
        </w:tc>
        <w:tc>
          <w:tcPr>
            <w:tcW w:w="570" w:type="pct"/>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lang w:val="en-US" w:eastAsia="zh-CN"/>
              </w:rPr>
            </w:pPr>
            <w:r>
              <w:rPr>
                <w:rFonts w:hint="eastAsia" w:ascii="Times New Roman" w:hAnsi="Times New Roman"/>
                <w:lang w:val="en-US" w:eastAsia="zh-CN"/>
              </w:rPr>
              <w:t>2.0</w:t>
            </w:r>
          </w:p>
        </w:tc>
      </w:tr>
    </w:tbl>
    <w:p>
      <w:pPr>
        <w:bidi w:val="0"/>
      </w:pPr>
      <w:r>
        <w:rPr>
          <w:rFonts w:hint="eastAsia"/>
        </w:rPr>
        <w:t>（4）</w:t>
      </w:r>
      <w:r>
        <w:t>防护距离计算</w:t>
      </w:r>
    </w:p>
    <w:p>
      <w:pPr>
        <w:bidi w:val="0"/>
      </w:pPr>
      <w:r>
        <w:t>①大气环境防护距离计算</w:t>
      </w:r>
    </w:p>
    <w:p>
      <w:pPr>
        <w:bidi w:val="0"/>
      </w:pPr>
      <w:r>
        <w:rPr>
          <w:rFonts w:hint="eastAsia"/>
        </w:rPr>
        <w:t>本项目大气污染物下风向最大占标率为</w:t>
      </w:r>
      <w:r>
        <w:rPr>
          <w:rFonts w:hint="eastAsia"/>
          <w:lang w:val="en-US" w:eastAsia="zh-CN"/>
        </w:rPr>
        <w:t>8.8603</w:t>
      </w:r>
      <w:r>
        <w:rPr>
          <w:rFonts w:hint="eastAsia"/>
        </w:rPr>
        <w:t>%，项目厂界浓度满足大气污染物厂界浓度限值，且厂界外大气污染物短期贡献浓度不超过环境质量浓度限值，所以本项目不需要设置大气环境防护距离。</w:t>
      </w:r>
    </w:p>
    <w:p>
      <w:pPr>
        <w:bidi w:val="0"/>
      </w:pPr>
      <w:r>
        <w:rPr>
          <w:rFonts w:hint="eastAsia"/>
        </w:rPr>
        <w:t>②</w:t>
      </w:r>
      <w:r>
        <w:t>卫生防护距离计算</w:t>
      </w:r>
    </w:p>
    <w:p>
      <w:pPr>
        <w:bidi w:val="0"/>
      </w:pPr>
      <w:r>
        <w:t>卫生防护距离的划定方法为根据国家颁布的相关行业卫生防护距离标准进行划分，对国家没有颁布卫生防护距离标准的行业或者不适用于相应行业卫生防护距离标准的则按照《制定地方大气污染物排放标准的技术方法（GB/T1203-91）》所指定的方法进行计算。</w:t>
      </w:r>
    </w:p>
    <w:p>
      <w:pPr>
        <w:bidi w:val="0"/>
      </w:pPr>
      <w:r>
        <w:t>《非金属矿物制品业卫生防护距离第4 部分：石墨炭素制品业》（GB18068.4-2012）于2012年8月1日实施，该标准适用范围为“地处平原地区的石墨电极制造企业的新建、改建、扩建工程。其他石墨炭素制品生产企业和现有石墨电极制造企业可参照执行。”该标准适用的产品为石墨电极和石墨碳素制品，本项目的产品为新型增碳剂，是以</w:t>
      </w:r>
      <w:r>
        <w:rPr>
          <w:rFonts w:hint="eastAsia"/>
        </w:rPr>
        <w:t>废石墨化石油焦、废煅烧石油焦、废石墨块</w:t>
      </w:r>
      <w:r>
        <w:t>等为主要原料经破碎简单混合即得，生产过程中不需要焙烧和石墨化，不属于石墨电极，也不属于石墨碳素制品，因此不执行《非金属矿物制品业卫生防护距离第4 部分：石墨炭素制品业》（GB18068.4-2012）中规定的卫生防护距离要求，可采用《制定地方大气污染物排放标准的技术方法（GB/T1203- 91）》所指定的方法来计算确定。</w:t>
      </w:r>
    </w:p>
    <w:p>
      <w:pPr>
        <w:bidi w:val="0"/>
      </w:pPr>
      <w:r>
        <w:t>根据《制定地方大气污染物排放标准的技术方法》（GB/T13201-91）规定，无组织排放有害气体的生产单元（生产区、车间、工段）与居民区之间应设置卫生防护距离，计算公式如下：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rPr>
      </w:pPr>
      <w:r>
        <w:rPr>
          <w:rFonts w:ascii="Times New Roman" w:hAnsi="Times New Roman" w:eastAsia="宋体"/>
        </w:rPr>
        <w:object>
          <v:shape id="_x0000_i1030" o:spt="75" type="#_x0000_t75" style="height:36.3pt;width:151.5pt;" o:ole="t" fillcolor="#000011"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p>
    <w:p>
      <w:pPr>
        <w:bidi w:val="0"/>
      </w:pPr>
      <w:r>
        <w:t>式中：</w:t>
      </w:r>
    </w:p>
    <w:p>
      <w:pPr>
        <w:bidi w:val="0"/>
      </w:pPr>
      <w:r>
        <w:t>Cm为环境一次浓度标准值（毫克/米3）；</w:t>
      </w:r>
    </w:p>
    <w:p>
      <w:pPr>
        <w:bidi w:val="0"/>
      </w:pPr>
      <w:r>
        <w:t>Qc为有害气体无组织排放量可以达到的控制水平（公斤/小时）；</w:t>
      </w:r>
    </w:p>
    <w:p>
      <w:pPr>
        <w:bidi w:val="0"/>
      </w:pPr>
      <w:r>
        <w:t>r为有害气体无组织排放源所在生产单元的等效半径（米）；</w:t>
      </w:r>
    </w:p>
    <w:p>
      <w:pPr>
        <w:bidi w:val="0"/>
      </w:pPr>
      <w:r>
        <w:t>L为工业企业所需的卫生防护距离（米）；</w:t>
      </w:r>
    </w:p>
    <w:p>
      <w:pPr>
        <w:bidi w:val="0"/>
      </w:pPr>
      <w:r>
        <w:t>A、B、C、D为计算系数。根据所在地平均风速及工业企业大气污染源构成类别查取。</w:t>
      </w:r>
    </w:p>
    <w:p>
      <w:pPr>
        <w:bidi w:val="0"/>
      </w:pPr>
      <w:r>
        <w:t>无组织排放多种有害气体时，按Qc/Cm的最大值计算其所需的卫生防护距离。卫生防护距离在100m内时，级差为50m；超过100m，但小于1000m时，级差为100m。无组织排放多种有害气体的工业企业，按Qc/Cm的最大值计算其所需卫生防护距离，但当按两种或两种以上有害气体的Qc/Cm计算的卫生防护距离在同一级别时，该类工业企业的卫生防护距离提高一级。</w:t>
      </w:r>
    </w:p>
    <w:p>
      <w:pPr>
        <w:bidi w:val="0"/>
      </w:pPr>
      <w:r>
        <w:t>该地区的平均风速为2.8m/s，A、B、C、D值的选取见表</w:t>
      </w:r>
      <w:r>
        <w:rPr>
          <w:rFonts w:hint="eastAsia"/>
          <w:lang w:val="en-US" w:eastAsia="zh-CN"/>
        </w:rPr>
        <w:t>5.1.5-3</w:t>
      </w:r>
      <w:r>
        <w:t>。</w:t>
      </w:r>
    </w:p>
    <w:p>
      <w:pPr>
        <w:pStyle w:val="27"/>
        <w:bidi w:val="0"/>
      </w:pPr>
      <w:r>
        <w:t>表</w:t>
      </w:r>
      <w:r>
        <w:rPr>
          <w:rFonts w:hint="eastAsia"/>
          <w:lang w:val="en-US" w:eastAsia="zh-CN"/>
        </w:rPr>
        <w:t xml:space="preserve">5.1.5-3 </w:t>
      </w:r>
      <w:r>
        <w:t>卫生防护距离计算系数</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43"/>
        <w:gridCol w:w="1763"/>
        <w:gridCol w:w="775"/>
        <w:gridCol w:w="732"/>
        <w:gridCol w:w="733"/>
        <w:gridCol w:w="732"/>
        <w:gridCol w:w="733"/>
        <w:gridCol w:w="732"/>
        <w:gridCol w:w="732"/>
        <w:gridCol w:w="733"/>
        <w:gridCol w:w="7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restart"/>
            <w:tcBorders>
              <w:tl2br w:val="nil"/>
              <w:tr2bl w:val="nil"/>
            </w:tcBorders>
            <w:noWrap w:val="0"/>
            <w:vAlign w:val="center"/>
          </w:tcPr>
          <w:p>
            <w:pPr>
              <w:pStyle w:val="28"/>
              <w:suppressLineNumbers w:val="0"/>
              <w:bidi w:val="0"/>
              <w:spacing w:before="0" w:after="0"/>
              <w:ind w:left="0" w:right="0"/>
            </w:pPr>
            <w:r>
              <w:t>计算系数</w:t>
            </w:r>
          </w:p>
        </w:tc>
        <w:tc>
          <w:tcPr>
            <w:tcW w:w="1763" w:type="dxa"/>
            <w:vMerge w:val="restart"/>
            <w:tcBorders>
              <w:tl2br w:val="nil"/>
              <w:tr2bl w:val="nil"/>
            </w:tcBorders>
            <w:noWrap w:val="0"/>
            <w:vAlign w:val="center"/>
          </w:tcPr>
          <w:p>
            <w:pPr>
              <w:pStyle w:val="28"/>
              <w:suppressLineNumbers w:val="0"/>
              <w:bidi w:val="0"/>
              <w:spacing w:before="0" w:after="0"/>
              <w:ind w:left="0" w:right="0"/>
            </w:pPr>
            <w:r>
              <w:t>5年平均风速</w:t>
            </w:r>
          </w:p>
          <w:p>
            <w:pPr>
              <w:pStyle w:val="28"/>
              <w:suppressLineNumbers w:val="0"/>
              <w:bidi w:val="0"/>
              <w:spacing w:before="0" w:after="0"/>
              <w:ind w:left="0" w:right="0"/>
            </w:pPr>
            <w:r>
              <w:t>m/s</w:t>
            </w:r>
          </w:p>
        </w:tc>
        <w:tc>
          <w:tcPr>
            <w:tcW w:w="6631" w:type="dxa"/>
            <w:gridSpan w:val="9"/>
            <w:tcBorders>
              <w:tl2br w:val="nil"/>
              <w:tr2bl w:val="nil"/>
            </w:tcBorders>
            <w:noWrap w:val="0"/>
            <w:vAlign w:val="center"/>
          </w:tcPr>
          <w:p>
            <w:pPr>
              <w:pStyle w:val="28"/>
              <w:suppressLineNumbers w:val="0"/>
              <w:bidi w:val="0"/>
              <w:spacing w:before="0" w:after="0"/>
              <w:ind w:left="0" w:right="0"/>
            </w:pPr>
            <w:r>
              <w:t>卫生防护距离L，m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vMerge w:val="continue"/>
            <w:tcBorders>
              <w:tl2br w:val="nil"/>
              <w:tr2bl w:val="nil"/>
            </w:tcBorders>
            <w:noWrap w:val="0"/>
            <w:vAlign w:val="center"/>
          </w:tcPr>
          <w:p>
            <w:pPr>
              <w:pStyle w:val="28"/>
              <w:suppressLineNumbers w:val="0"/>
              <w:bidi w:val="0"/>
              <w:spacing w:before="0" w:after="0"/>
              <w:ind w:left="0" w:right="0"/>
              <w:outlineLvl w:val="9"/>
            </w:pPr>
          </w:p>
        </w:tc>
        <w:tc>
          <w:tcPr>
            <w:tcW w:w="2240" w:type="dxa"/>
            <w:gridSpan w:val="3"/>
            <w:tcBorders>
              <w:tl2br w:val="nil"/>
              <w:tr2bl w:val="nil"/>
            </w:tcBorders>
            <w:noWrap w:val="0"/>
            <w:vAlign w:val="center"/>
          </w:tcPr>
          <w:p>
            <w:pPr>
              <w:pStyle w:val="28"/>
              <w:suppressLineNumbers w:val="0"/>
              <w:bidi w:val="0"/>
              <w:spacing w:before="0" w:after="0"/>
              <w:ind w:left="0" w:right="0"/>
            </w:pPr>
            <w:r>
              <w:t>L≤1000</w:t>
            </w:r>
          </w:p>
        </w:tc>
        <w:tc>
          <w:tcPr>
            <w:tcW w:w="2197" w:type="dxa"/>
            <w:gridSpan w:val="3"/>
            <w:tcBorders>
              <w:tl2br w:val="nil"/>
              <w:tr2bl w:val="nil"/>
            </w:tcBorders>
            <w:noWrap w:val="0"/>
            <w:vAlign w:val="center"/>
          </w:tcPr>
          <w:p>
            <w:pPr>
              <w:pStyle w:val="28"/>
              <w:suppressLineNumbers w:val="0"/>
              <w:bidi w:val="0"/>
              <w:spacing w:before="0" w:after="0"/>
              <w:ind w:left="0" w:right="0"/>
            </w:pPr>
            <w:r>
              <w:t>1000＜L≤2000</w:t>
            </w:r>
          </w:p>
        </w:tc>
        <w:tc>
          <w:tcPr>
            <w:tcW w:w="2194" w:type="dxa"/>
            <w:gridSpan w:val="3"/>
            <w:tcBorders>
              <w:tl2br w:val="nil"/>
              <w:tr2bl w:val="nil"/>
            </w:tcBorders>
            <w:noWrap w:val="0"/>
            <w:vAlign w:val="center"/>
          </w:tcPr>
          <w:p>
            <w:pPr>
              <w:pStyle w:val="28"/>
              <w:suppressLineNumbers w:val="0"/>
              <w:bidi w:val="0"/>
              <w:spacing w:before="0" w:after="0"/>
              <w:ind w:left="0" w:right="0"/>
            </w:pPr>
            <w:r>
              <w:t>L＞2000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vMerge w:val="continue"/>
            <w:tcBorders>
              <w:tl2br w:val="nil"/>
              <w:tr2bl w:val="nil"/>
            </w:tcBorders>
            <w:noWrap w:val="0"/>
            <w:vAlign w:val="center"/>
          </w:tcPr>
          <w:p>
            <w:pPr>
              <w:pStyle w:val="28"/>
              <w:suppressLineNumbers w:val="0"/>
              <w:bidi w:val="0"/>
              <w:spacing w:before="0" w:after="0"/>
              <w:ind w:left="0" w:right="0"/>
              <w:outlineLvl w:val="9"/>
            </w:pPr>
          </w:p>
        </w:tc>
        <w:tc>
          <w:tcPr>
            <w:tcW w:w="6631" w:type="dxa"/>
            <w:gridSpan w:val="9"/>
            <w:tcBorders>
              <w:tl2br w:val="nil"/>
              <w:tr2bl w:val="nil"/>
            </w:tcBorders>
            <w:noWrap w:val="0"/>
            <w:vAlign w:val="center"/>
          </w:tcPr>
          <w:p>
            <w:pPr>
              <w:pStyle w:val="28"/>
              <w:suppressLineNumbers w:val="0"/>
              <w:bidi w:val="0"/>
              <w:spacing w:before="0" w:after="0"/>
              <w:ind w:left="0" w:right="0"/>
            </w:pPr>
            <w:r>
              <w:t>工业大气污染源构成类别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vMerge w:val="continue"/>
            <w:tcBorders>
              <w:tl2br w:val="nil"/>
              <w:tr2bl w:val="nil"/>
            </w:tcBorders>
            <w:noWrap w:val="0"/>
            <w:vAlign w:val="center"/>
          </w:tcPr>
          <w:p>
            <w:pPr>
              <w:pStyle w:val="28"/>
              <w:suppressLineNumbers w:val="0"/>
              <w:bidi w:val="0"/>
              <w:spacing w:before="0" w:after="0"/>
              <w:ind w:left="0" w:right="0"/>
              <w:outlineLvl w:val="9"/>
            </w:pPr>
          </w:p>
        </w:tc>
        <w:tc>
          <w:tcPr>
            <w:tcW w:w="775" w:type="dxa"/>
            <w:tcBorders>
              <w:tl2br w:val="nil"/>
              <w:tr2bl w:val="nil"/>
            </w:tcBorders>
            <w:noWrap w:val="0"/>
            <w:vAlign w:val="center"/>
          </w:tcPr>
          <w:p>
            <w:pPr>
              <w:pStyle w:val="28"/>
              <w:suppressLineNumbers w:val="0"/>
              <w:bidi w:val="0"/>
              <w:spacing w:before="0" w:after="0"/>
              <w:ind w:left="0" w:right="0"/>
            </w:pPr>
            <w:r>
              <w:rPr>
                <w:rFonts w:hint="eastAsia"/>
              </w:rPr>
              <w:t>Ⅰ</w:t>
            </w:r>
          </w:p>
        </w:tc>
        <w:tc>
          <w:tcPr>
            <w:tcW w:w="732" w:type="dxa"/>
            <w:tcBorders>
              <w:tl2br w:val="nil"/>
              <w:tr2bl w:val="nil"/>
            </w:tcBorders>
            <w:noWrap w:val="0"/>
            <w:vAlign w:val="center"/>
          </w:tcPr>
          <w:p>
            <w:pPr>
              <w:pStyle w:val="28"/>
              <w:suppressLineNumbers w:val="0"/>
              <w:bidi w:val="0"/>
              <w:spacing w:before="0" w:after="0"/>
              <w:ind w:left="0" w:right="0"/>
            </w:pPr>
            <w:r>
              <w:rPr>
                <w:rFonts w:hint="eastAsia"/>
              </w:rPr>
              <w:t>Ⅱ</w:t>
            </w:r>
          </w:p>
        </w:tc>
        <w:tc>
          <w:tcPr>
            <w:tcW w:w="733" w:type="dxa"/>
            <w:tcBorders>
              <w:tl2br w:val="nil"/>
              <w:tr2bl w:val="nil"/>
            </w:tcBorders>
            <w:noWrap w:val="0"/>
            <w:vAlign w:val="center"/>
          </w:tcPr>
          <w:p>
            <w:pPr>
              <w:pStyle w:val="28"/>
              <w:suppressLineNumbers w:val="0"/>
              <w:bidi w:val="0"/>
              <w:spacing w:before="0" w:after="0"/>
              <w:ind w:left="0" w:right="0"/>
            </w:pPr>
            <w:r>
              <w:rPr>
                <w:rFonts w:hint="eastAsia"/>
              </w:rPr>
              <w:t>Ⅲ</w:t>
            </w:r>
          </w:p>
        </w:tc>
        <w:tc>
          <w:tcPr>
            <w:tcW w:w="732" w:type="dxa"/>
            <w:tcBorders>
              <w:tl2br w:val="nil"/>
              <w:tr2bl w:val="nil"/>
            </w:tcBorders>
            <w:noWrap w:val="0"/>
            <w:vAlign w:val="center"/>
          </w:tcPr>
          <w:p>
            <w:pPr>
              <w:pStyle w:val="28"/>
              <w:suppressLineNumbers w:val="0"/>
              <w:bidi w:val="0"/>
              <w:spacing w:before="0" w:after="0"/>
              <w:ind w:left="0" w:right="0"/>
            </w:pPr>
            <w:r>
              <w:rPr>
                <w:rFonts w:hint="eastAsia"/>
              </w:rPr>
              <w:t>Ⅰ</w:t>
            </w:r>
          </w:p>
        </w:tc>
        <w:tc>
          <w:tcPr>
            <w:tcW w:w="733" w:type="dxa"/>
            <w:tcBorders>
              <w:tl2br w:val="nil"/>
              <w:tr2bl w:val="nil"/>
            </w:tcBorders>
            <w:noWrap w:val="0"/>
            <w:vAlign w:val="center"/>
          </w:tcPr>
          <w:p>
            <w:pPr>
              <w:pStyle w:val="28"/>
              <w:suppressLineNumbers w:val="0"/>
              <w:bidi w:val="0"/>
              <w:spacing w:before="0" w:after="0"/>
              <w:ind w:left="0" w:right="0"/>
            </w:pPr>
            <w:r>
              <w:rPr>
                <w:rFonts w:hint="eastAsia"/>
              </w:rPr>
              <w:t>Ⅱ</w:t>
            </w:r>
          </w:p>
        </w:tc>
        <w:tc>
          <w:tcPr>
            <w:tcW w:w="732" w:type="dxa"/>
            <w:tcBorders>
              <w:tl2br w:val="nil"/>
              <w:tr2bl w:val="nil"/>
            </w:tcBorders>
            <w:noWrap w:val="0"/>
            <w:vAlign w:val="center"/>
          </w:tcPr>
          <w:p>
            <w:pPr>
              <w:pStyle w:val="28"/>
              <w:suppressLineNumbers w:val="0"/>
              <w:bidi w:val="0"/>
              <w:spacing w:before="0" w:after="0"/>
              <w:ind w:left="0" w:right="0"/>
            </w:pPr>
            <w:r>
              <w:rPr>
                <w:rFonts w:hint="eastAsia"/>
              </w:rPr>
              <w:t>Ⅲ</w:t>
            </w:r>
          </w:p>
        </w:tc>
        <w:tc>
          <w:tcPr>
            <w:tcW w:w="732" w:type="dxa"/>
            <w:tcBorders>
              <w:tl2br w:val="nil"/>
              <w:tr2bl w:val="nil"/>
            </w:tcBorders>
            <w:noWrap w:val="0"/>
            <w:vAlign w:val="center"/>
          </w:tcPr>
          <w:p>
            <w:pPr>
              <w:pStyle w:val="28"/>
              <w:suppressLineNumbers w:val="0"/>
              <w:bidi w:val="0"/>
              <w:spacing w:before="0" w:after="0"/>
              <w:ind w:left="0" w:right="0"/>
            </w:pPr>
            <w:r>
              <w:rPr>
                <w:rFonts w:hint="eastAsia"/>
              </w:rPr>
              <w:t>Ⅰ</w:t>
            </w:r>
          </w:p>
        </w:tc>
        <w:tc>
          <w:tcPr>
            <w:tcW w:w="733" w:type="dxa"/>
            <w:tcBorders>
              <w:tl2br w:val="nil"/>
              <w:tr2bl w:val="nil"/>
            </w:tcBorders>
            <w:noWrap w:val="0"/>
            <w:vAlign w:val="center"/>
          </w:tcPr>
          <w:p>
            <w:pPr>
              <w:pStyle w:val="28"/>
              <w:suppressLineNumbers w:val="0"/>
              <w:bidi w:val="0"/>
              <w:spacing w:before="0" w:after="0"/>
              <w:ind w:left="0" w:right="0"/>
            </w:pPr>
            <w:r>
              <w:rPr>
                <w:rFonts w:hint="eastAsia"/>
              </w:rPr>
              <w:t>Ⅱ</w:t>
            </w:r>
          </w:p>
        </w:tc>
        <w:tc>
          <w:tcPr>
            <w:tcW w:w="729" w:type="dxa"/>
            <w:tcBorders>
              <w:tl2br w:val="nil"/>
              <w:tr2bl w:val="nil"/>
            </w:tcBorders>
            <w:noWrap w:val="0"/>
            <w:vAlign w:val="center"/>
          </w:tcPr>
          <w:p>
            <w:pPr>
              <w:pStyle w:val="28"/>
              <w:suppressLineNumbers w:val="0"/>
              <w:bidi w:val="0"/>
              <w:spacing w:before="0" w:after="0"/>
              <w:ind w:left="0" w:right="0"/>
            </w:pPr>
            <w:r>
              <w:rPr>
                <w:rFonts w:hint="eastAsia"/>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restart"/>
            <w:tcBorders>
              <w:tl2br w:val="nil"/>
              <w:tr2bl w:val="nil"/>
            </w:tcBorders>
            <w:noWrap w:val="0"/>
            <w:vAlign w:val="center"/>
          </w:tcPr>
          <w:p>
            <w:pPr>
              <w:pStyle w:val="28"/>
              <w:suppressLineNumbers w:val="0"/>
              <w:bidi w:val="0"/>
              <w:spacing w:before="0" w:after="0"/>
              <w:ind w:left="0" w:right="0"/>
            </w:pPr>
            <w:r>
              <w:t>A</w:t>
            </w: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775" w:type="dxa"/>
            <w:tcBorders>
              <w:tl2br w:val="nil"/>
              <w:tr2bl w:val="nil"/>
            </w:tcBorders>
            <w:noWrap w:val="0"/>
            <w:vAlign w:val="center"/>
          </w:tcPr>
          <w:p>
            <w:pPr>
              <w:pStyle w:val="28"/>
              <w:suppressLineNumbers w:val="0"/>
              <w:bidi w:val="0"/>
              <w:spacing w:before="0" w:after="0"/>
              <w:ind w:left="0" w:right="0"/>
            </w:pPr>
            <w:r>
              <w:t>400</w:t>
            </w:r>
          </w:p>
        </w:tc>
        <w:tc>
          <w:tcPr>
            <w:tcW w:w="732" w:type="dxa"/>
            <w:tcBorders>
              <w:tl2br w:val="nil"/>
              <w:tr2bl w:val="nil"/>
            </w:tcBorders>
            <w:noWrap w:val="0"/>
            <w:vAlign w:val="center"/>
          </w:tcPr>
          <w:p>
            <w:pPr>
              <w:pStyle w:val="28"/>
              <w:suppressLineNumbers w:val="0"/>
              <w:bidi w:val="0"/>
              <w:spacing w:before="0" w:after="0"/>
              <w:ind w:left="0" w:right="0"/>
            </w:pPr>
            <w:r>
              <w:t>400</w:t>
            </w:r>
          </w:p>
        </w:tc>
        <w:tc>
          <w:tcPr>
            <w:tcW w:w="733" w:type="dxa"/>
            <w:tcBorders>
              <w:tl2br w:val="nil"/>
              <w:tr2bl w:val="nil"/>
            </w:tcBorders>
            <w:noWrap w:val="0"/>
            <w:vAlign w:val="center"/>
          </w:tcPr>
          <w:p>
            <w:pPr>
              <w:pStyle w:val="28"/>
              <w:suppressLineNumbers w:val="0"/>
              <w:bidi w:val="0"/>
              <w:spacing w:before="0" w:after="0"/>
              <w:ind w:left="0" w:right="0"/>
            </w:pPr>
            <w:r>
              <w:t>400</w:t>
            </w:r>
          </w:p>
        </w:tc>
        <w:tc>
          <w:tcPr>
            <w:tcW w:w="732" w:type="dxa"/>
            <w:tcBorders>
              <w:tl2br w:val="nil"/>
              <w:tr2bl w:val="nil"/>
            </w:tcBorders>
            <w:noWrap w:val="0"/>
            <w:vAlign w:val="center"/>
          </w:tcPr>
          <w:p>
            <w:pPr>
              <w:pStyle w:val="28"/>
              <w:suppressLineNumbers w:val="0"/>
              <w:bidi w:val="0"/>
              <w:spacing w:before="0" w:after="0"/>
              <w:ind w:left="0" w:right="0"/>
            </w:pPr>
            <w:r>
              <w:t>400</w:t>
            </w:r>
          </w:p>
        </w:tc>
        <w:tc>
          <w:tcPr>
            <w:tcW w:w="733" w:type="dxa"/>
            <w:tcBorders>
              <w:tl2br w:val="nil"/>
              <w:tr2bl w:val="nil"/>
            </w:tcBorders>
            <w:noWrap w:val="0"/>
            <w:vAlign w:val="center"/>
          </w:tcPr>
          <w:p>
            <w:pPr>
              <w:pStyle w:val="28"/>
              <w:suppressLineNumbers w:val="0"/>
              <w:bidi w:val="0"/>
              <w:spacing w:before="0" w:after="0"/>
              <w:ind w:left="0" w:right="0"/>
            </w:pPr>
            <w:r>
              <w:t>400</w:t>
            </w:r>
          </w:p>
        </w:tc>
        <w:tc>
          <w:tcPr>
            <w:tcW w:w="732" w:type="dxa"/>
            <w:tcBorders>
              <w:tl2br w:val="nil"/>
              <w:tr2bl w:val="nil"/>
            </w:tcBorders>
            <w:noWrap w:val="0"/>
            <w:vAlign w:val="center"/>
          </w:tcPr>
          <w:p>
            <w:pPr>
              <w:pStyle w:val="28"/>
              <w:suppressLineNumbers w:val="0"/>
              <w:bidi w:val="0"/>
              <w:spacing w:before="0" w:after="0"/>
              <w:ind w:left="0" w:right="0"/>
            </w:pPr>
            <w:r>
              <w:t>400</w:t>
            </w:r>
          </w:p>
        </w:tc>
        <w:tc>
          <w:tcPr>
            <w:tcW w:w="732" w:type="dxa"/>
            <w:tcBorders>
              <w:tl2br w:val="nil"/>
              <w:tr2bl w:val="nil"/>
            </w:tcBorders>
            <w:noWrap w:val="0"/>
            <w:vAlign w:val="center"/>
          </w:tcPr>
          <w:p>
            <w:pPr>
              <w:pStyle w:val="28"/>
              <w:suppressLineNumbers w:val="0"/>
              <w:bidi w:val="0"/>
              <w:spacing w:before="0" w:after="0"/>
              <w:ind w:left="0" w:right="0"/>
            </w:pPr>
            <w:r>
              <w:t>80</w:t>
            </w:r>
          </w:p>
        </w:tc>
        <w:tc>
          <w:tcPr>
            <w:tcW w:w="733" w:type="dxa"/>
            <w:tcBorders>
              <w:tl2br w:val="nil"/>
              <w:tr2bl w:val="nil"/>
            </w:tcBorders>
            <w:noWrap w:val="0"/>
            <w:vAlign w:val="center"/>
          </w:tcPr>
          <w:p>
            <w:pPr>
              <w:pStyle w:val="28"/>
              <w:suppressLineNumbers w:val="0"/>
              <w:bidi w:val="0"/>
              <w:spacing w:before="0" w:after="0"/>
              <w:ind w:left="0" w:right="0"/>
            </w:pPr>
            <w:r>
              <w:t>80</w:t>
            </w:r>
          </w:p>
        </w:tc>
        <w:tc>
          <w:tcPr>
            <w:tcW w:w="729" w:type="dxa"/>
            <w:tcBorders>
              <w:tl2br w:val="nil"/>
              <w:tr2bl w:val="nil"/>
            </w:tcBorders>
            <w:noWrap w:val="0"/>
            <w:vAlign w:val="center"/>
          </w:tcPr>
          <w:p>
            <w:pPr>
              <w:pStyle w:val="28"/>
              <w:suppressLineNumbers w:val="0"/>
              <w:bidi w:val="0"/>
              <w:spacing w:before="0" w:after="0"/>
              <w:ind w:left="0" w:right="0"/>
            </w:pPr>
            <w: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tcBorders>
              <w:tl2br w:val="nil"/>
              <w:tr2bl w:val="nil"/>
            </w:tcBorders>
            <w:noWrap w:val="0"/>
            <w:vAlign w:val="center"/>
          </w:tcPr>
          <w:p>
            <w:pPr>
              <w:pStyle w:val="28"/>
              <w:suppressLineNumbers w:val="0"/>
              <w:bidi w:val="0"/>
              <w:spacing w:before="0" w:after="0"/>
              <w:ind w:left="0" w:right="0"/>
            </w:pPr>
            <w:r>
              <w:t>2～4</w:t>
            </w:r>
          </w:p>
        </w:tc>
        <w:tc>
          <w:tcPr>
            <w:tcW w:w="775" w:type="dxa"/>
            <w:tcBorders>
              <w:tl2br w:val="nil"/>
              <w:tr2bl w:val="nil"/>
            </w:tcBorders>
            <w:noWrap w:val="0"/>
            <w:vAlign w:val="center"/>
          </w:tcPr>
          <w:p>
            <w:pPr>
              <w:pStyle w:val="28"/>
              <w:suppressLineNumbers w:val="0"/>
              <w:bidi w:val="0"/>
              <w:spacing w:before="0" w:after="0"/>
              <w:ind w:left="0" w:right="0"/>
            </w:pPr>
            <w:r>
              <w:t>700</w:t>
            </w:r>
          </w:p>
        </w:tc>
        <w:tc>
          <w:tcPr>
            <w:tcW w:w="732" w:type="dxa"/>
            <w:tcBorders>
              <w:tl2br w:val="nil"/>
              <w:tr2bl w:val="nil"/>
            </w:tcBorders>
            <w:noWrap w:val="0"/>
            <w:vAlign w:val="center"/>
          </w:tcPr>
          <w:p>
            <w:pPr>
              <w:pStyle w:val="28"/>
              <w:suppressLineNumbers w:val="0"/>
              <w:bidi w:val="0"/>
              <w:spacing w:before="0" w:after="0"/>
              <w:ind w:left="0" w:right="0"/>
            </w:pPr>
            <w:r>
              <w:t>470</w:t>
            </w:r>
          </w:p>
        </w:tc>
        <w:tc>
          <w:tcPr>
            <w:tcW w:w="733" w:type="dxa"/>
            <w:tcBorders>
              <w:tl2br w:val="nil"/>
              <w:tr2bl w:val="nil"/>
            </w:tcBorders>
            <w:noWrap w:val="0"/>
            <w:vAlign w:val="center"/>
          </w:tcPr>
          <w:p>
            <w:pPr>
              <w:pStyle w:val="28"/>
              <w:suppressLineNumbers w:val="0"/>
              <w:bidi w:val="0"/>
              <w:spacing w:before="0" w:after="0"/>
              <w:ind w:left="0" w:right="0"/>
            </w:pPr>
            <w:r>
              <w:t>50</w:t>
            </w:r>
          </w:p>
        </w:tc>
        <w:tc>
          <w:tcPr>
            <w:tcW w:w="732" w:type="dxa"/>
            <w:tcBorders>
              <w:tl2br w:val="nil"/>
              <w:tr2bl w:val="nil"/>
            </w:tcBorders>
            <w:noWrap w:val="0"/>
            <w:vAlign w:val="center"/>
          </w:tcPr>
          <w:p>
            <w:pPr>
              <w:pStyle w:val="28"/>
              <w:suppressLineNumbers w:val="0"/>
              <w:bidi w:val="0"/>
              <w:spacing w:before="0" w:after="0"/>
              <w:ind w:left="0" w:right="0"/>
            </w:pPr>
            <w:r>
              <w:t>700</w:t>
            </w:r>
          </w:p>
        </w:tc>
        <w:tc>
          <w:tcPr>
            <w:tcW w:w="733" w:type="dxa"/>
            <w:tcBorders>
              <w:tl2br w:val="nil"/>
              <w:tr2bl w:val="nil"/>
            </w:tcBorders>
            <w:noWrap w:val="0"/>
            <w:vAlign w:val="center"/>
          </w:tcPr>
          <w:p>
            <w:pPr>
              <w:pStyle w:val="28"/>
              <w:suppressLineNumbers w:val="0"/>
              <w:bidi w:val="0"/>
              <w:spacing w:before="0" w:after="0"/>
              <w:ind w:left="0" w:right="0"/>
            </w:pPr>
            <w:r>
              <w:t>470</w:t>
            </w:r>
          </w:p>
        </w:tc>
        <w:tc>
          <w:tcPr>
            <w:tcW w:w="732" w:type="dxa"/>
            <w:tcBorders>
              <w:tl2br w:val="nil"/>
              <w:tr2bl w:val="nil"/>
            </w:tcBorders>
            <w:noWrap w:val="0"/>
            <w:vAlign w:val="center"/>
          </w:tcPr>
          <w:p>
            <w:pPr>
              <w:pStyle w:val="28"/>
              <w:suppressLineNumbers w:val="0"/>
              <w:bidi w:val="0"/>
              <w:spacing w:before="0" w:after="0"/>
              <w:ind w:left="0" w:right="0"/>
            </w:pPr>
            <w:r>
              <w:t>350</w:t>
            </w:r>
          </w:p>
        </w:tc>
        <w:tc>
          <w:tcPr>
            <w:tcW w:w="732" w:type="dxa"/>
            <w:tcBorders>
              <w:tl2br w:val="nil"/>
              <w:tr2bl w:val="nil"/>
            </w:tcBorders>
            <w:noWrap w:val="0"/>
            <w:vAlign w:val="center"/>
          </w:tcPr>
          <w:p>
            <w:pPr>
              <w:pStyle w:val="28"/>
              <w:suppressLineNumbers w:val="0"/>
              <w:bidi w:val="0"/>
              <w:spacing w:before="0" w:after="0"/>
              <w:ind w:left="0" w:right="0"/>
            </w:pPr>
            <w:r>
              <w:t>380</w:t>
            </w:r>
          </w:p>
        </w:tc>
        <w:tc>
          <w:tcPr>
            <w:tcW w:w="733" w:type="dxa"/>
            <w:tcBorders>
              <w:tl2br w:val="nil"/>
              <w:tr2bl w:val="nil"/>
            </w:tcBorders>
            <w:noWrap w:val="0"/>
            <w:vAlign w:val="center"/>
          </w:tcPr>
          <w:p>
            <w:pPr>
              <w:pStyle w:val="28"/>
              <w:suppressLineNumbers w:val="0"/>
              <w:bidi w:val="0"/>
              <w:spacing w:before="0" w:after="0"/>
              <w:ind w:left="0" w:right="0"/>
            </w:pPr>
            <w:r>
              <w:t>250</w:t>
            </w:r>
          </w:p>
        </w:tc>
        <w:tc>
          <w:tcPr>
            <w:tcW w:w="729" w:type="dxa"/>
            <w:tcBorders>
              <w:tl2br w:val="nil"/>
              <w:tr2bl w:val="nil"/>
            </w:tcBorders>
            <w:noWrap w:val="0"/>
            <w:vAlign w:val="center"/>
          </w:tcPr>
          <w:p>
            <w:pPr>
              <w:pStyle w:val="28"/>
              <w:suppressLineNumbers w:val="0"/>
              <w:bidi w:val="0"/>
              <w:spacing w:before="0" w:after="0"/>
              <w:ind w:left="0" w:right="0"/>
            </w:pPr>
            <w: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tcBorders>
              <w:tl2br w:val="nil"/>
              <w:tr2bl w:val="nil"/>
            </w:tcBorders>
            <w:noWrap w:val="0"/>
            <w:vAlign w:val="center"/>
          </w:tcPr>
          <w:p>
            <w:pPr>
              <w:pStyle w:val="28"/>
              <w:suppressLineNumbers w:val="0"/>
              <w:bidi w:val="0"/>
              <w:spacing w:before="0" w:after="0"/>
              <w:ind w:left="0" w:right="0"/>
            </w:pPr>
            <w:r>
              <w:t>＞4</w:t>
            </w:r>
          </w:p>
        </w:tc>
        <w:tc>
          <w:tcPr>
            <w:tcW w:w="775" w:type="dxa"/>
            <w:tcBorders>
              <w:tl2br w:val="nil"/>
              <w:tr2bl w:val="nil"/>
            </w:tcBorders>
            <w:noWrap w:val="0"/>
            <w:vAlign w:val="center"/>
          </w:tcPr>
          <w:p>
            <w:pPr>
              <w:pStyle w:val="28"/>
              <w:suppressLineNumbers w:val="0"/>
              <w:bidi w:val="0"/>
              <w:spacing w:before="0" w:after="0"/>
              <w:ind w:left="0" w:right="0"/>
            </w:pPr>
            <w:r>
              <w:t>530</w:t>
            </w:r>
          </w:p>
        </w:tc>
        <w:tc>
          <w:tcPr>
            <w:tcW w:w="732" w:type="dxa"/>
            <w:tcBorders>
              <w:tl2br w:val="nil"/>
              <w:tr2bl w:val="nil"/>
            </w:tcBorders>
            <w:noWrap w:val="0"/>
            <w:vAlign w:val="center"/>
          </w:tcPr>
          <w:p>
            <w:pPr>
              <w:pStyle w:val="28"/>
              <w:suppressLineNumbers w:val="0"/>
              <w:bidi w:val="0"/>
              <w:spacing w:before="0" w:after="0"/>
              <w:ind w:left="0" w:right="0"/>
            </w:pPr>
            <w:r>
              <w:t>350</w:t>
            </w:r>
          </w:p>
        </w:tc>
        <w:tc>
          <w:tcPr>
            <w:tcW w:w="733" w:type="dxa"/>
            <w:tcBorders>
              <w:tl2br w:val="nil"/>
              <w:tr2bl w:val="nil"/>
            </w:tcBorders>
            <w:noWrap w:val="0"/>
            <w:vAlign w:val="center"/>
          </w:tcPr>
          <w:p>
            <w:pPr>
              <w:pStyle w:val="28"/>
              <w:suppressLineNumbers w:val="0"/>
              <w:bidi w:val="0"/>
              <w:spacing w:before="0" w:after="0"/>
              <w:ind w:left="0" w:right="0"/>
            </w:pPr>
            <w:r>
              <w:t>260</w:t>
            </w:r>
          </w:p>
        </w:tc>
        <w:tc>
          <w:tcPr>
            <w:tcW w:w="732" w:type="dxa"/>
            <w:tcBorders>
              <w:tl2br w:val="nil"/>
              <w:tr2bl w:val="nil"/>
            </w:tcBorders>
            <w:noWrap w:val="0"/>
            <w:vAlign w:val="center"/>
          </w:tcPr>
          <w:p>
            <w:pPr>
              <w:pStyle w:val="28"/>
              <w:suppressLineNumbers w:val="0"/>
              <w:bidi w:val="0"/>
              <w:spacing w:before="0" w:after="0"/>
              <w:ind w:left="0" w:right="0"/>
            </w:pPr>
            <w:r>
              <w:t>530</w:t>
            </w:r>
          </w:p>
        </w:tc>
        <w:tc>
          <w:tcPr>
            <w:tcW w:w="733" w:type="dxa"/>
            <w:tcBorders>
              <w:tl2br w:val="nil"/>
              <w:tr2bl w:val="nil"/>
            </w:tcBorders>
            <w:noWrap w:val="0"/>
            <w:vAlign w:val="center"/>
          </w:tcPr>
          <w:p>
            <w:pPr>
              <w:pStyle w:val="28"/>
              <w:suppressLineNumbers w:val="0"/>
              <w:bidi w:val="0"/>
              <w:spacing w:before="0" w:after="0"/>
              <w:ind w:left="0" w:right="0"/>
            </w:pPr>
            <w:r>
              <w:t>350</w:t>
            </w:r>
          </w:p>
        </w:tc>
        <w:tc>
          <w:tcPr>
            <w:tcW w:w="732" w:type="dxa"/>
            <w:tcBorders>
              <w:tl2br w:val="nil"/>
              <w:tr2bl w:val="nil"/>
            </w:tcBorders>
            <w:noWrap w:val="0"/>
            <w:vAlign w:val="center"/>
          </w:tcPr>
          <w:p>
            <w:pPr>
              <w:pStyle w:val="28"/>
              <w:suppressLineNumbers w:val="0"/>
              <w:bidi w:val="0"/>
              <w:spacing w:before="0" w:after="0"/>
              <w:ind w:left="0" w:right="0"/>
            </w:pPr>
            <w:r>
              <w:t>260</w:t>
            </w:r>
          </w:p>
        </w:tc>
        <w:tc>
          <w:tcPr>
            <w:tcW w:w="732" w:type="dxa"/>
            <w:tcBorders>
              <w:tl2br w:val="nil"/>
              <w:tr2bl w:val="nil"/>
            </w:tcBorders>
            <w:noWrap w:val="0"/>
            <w:vAlign w:val="center"/>
          </w:tcPr>
          <w:p>
            <w:pPr>
              <w:pStyle w:val="28"/>
              <w:suppressLineNumbers w:val="0"/>
              <w:bidi w:val="0"/>
              <w:spacing w:before="0" w:after="0"/>
              <w:ind w:left="0" w:right="0"/>
            </w:pPr>
            <w:r>
              <w:t>290</w:t>
            </w:r>
          </w:p>
        </w:tc>
        <w:tc>
          <w:tcPr>
            <w:tcW w:w="733" w:type="dxa"/>
            <w:tcBorders>
              <w:tl2br w:val="nil"/>
              <w:tr2bl w:val="nil"/>
            </w:tcBorders>
            <w:noWrap w:val="0"/>
            <w:vAlign w:val="center"/>
          </w:tcPr>
          <w:p>
            <w:pPr>
              <w:pStyle w:val="28"/>
              <w:suppressLineNumbers w:val="0"/>
              <w:bidi w:val="0"/>
              <w:spacing w:before="0" w:after="0"/>
              <w:ind w:left="0" w:right="0"/>
            </w:pPr>
            <w:r>
              <w:t>190</w:t>
            </w:r>
          </w:p>
        </w:tc>
        <w:tc>
          <w:tcPr>
            <w:tcW w:w="729" w:type="dxa"/>
            <w:tcBorders>
              <w:tl2br w:val="nil"/>
              <w:tr2bl w:val="nil"/>
            </w:tcBorders>
            <w:noWrap w:val="0"/>
            <w:vAlign w:val="center"/>
          </w:tcPr>
          <w:p>
            <w:pPr>
              <w:pStyle w:val="28"/>
              <w:suppressLineNumbers w:val="0"/>
              <w:bidi w:val="0"/>
              <w:spacing w:before="0" w:after="0"/>
              <w:ind w:left="0" w:right="0"/>
            </w:pPr>
            <w: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restart"/>
            <w:tcBorders>
              <w:tl2br w:val="nil"/>
              <w:tr2bl w:val="nil"/>
            </w:tcBorders>
            <w:noWrap w:val="0"/>
            <w:vAlign w:val="center"/>
          </w:tcPr>
          <w:p>
            <w:pPr>
              <w:pStyle w:val="28"/>
              <w:suppressLineNumbers w:val="0"/>
              <w:bidi w:val="0"/>
              <w:spacing w:before="0" w:after="0"/>
              <w:ind w:left="0" w:right="0"/>
            </w:pPr>
            <w:r>
              <w:t>B</w:t>
            </w: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0.01</w:t>
            </w:r>
          </w:p>
        </w:tc>
        <w:tc>
          <w:tcPr>
            <w:tcW w:w="2197" w:type="dxa"/>
            <w:gridSpan w:val="3"/>
            <w:tcBorders>
              <w:tl2br w:val="nil"/>
              <w:tr2bl w:val="nil"/>
            </w:tcBorders>
            <w:noWrap w:val="0"/>
            <w:vAlign w:val="center"/>
          </w:tcPr>
          <w:p>
            <w:pPr>
              <w:pStyle w:val="28"/>
              <w:suppressLineNumbers w:val="0"/>
              <w:bidi w:val="0"/>
              <w:spacing w:before="0" w:after="0"/>
              <w:ind w:left="0" w:right="0"/>
            </w:pPr>
            <w:r>
              <w:t>0.015</w:t>
            </w:r>
          </w:p>
        </w:tc>
        <w:tc>
          <w:tcPr>
            <w:tcW w:w="2194" w:type="dxa"/>
            <w:gridSpan w:val="3"/>
            <w:tcBorders>
              <w:tl2br w:val="nil"/>
              <w:tr2bl w:val="nil"/>
            </w:tcBorders>
            <w:noWrap w:val="0"/>
            <w:vAlign w:val="center"/>
          </w:tcPr>
          <w:p>
            <w:pPr>
              <w:pStyle w:val="28"/>
              <w:suppressLineNumbers w:val="0"/>
              <w:bidi w:val="0"/>
              <w:spacing w:before="0" w:after="0"/>
              <w:ind w:left="0" w:right="0"/>
            </w:pPr>
            <w: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0.021</w:t>
            </w:r>
          </w:p>
        </w:tc>
        <w:tc>
          <w:tcPr>
            <w:tcW w:w="2197" w:type="dxa"/>
            <w:gridSpan w:val="3"/>
            <w:tcBorders>
              <w:tl2br w:val="nil"/>
              <w:tr2bl w:val="nil"/>
            </w:tcBorders>
            <w:noWrap w:val="0"/>
            <w:vAlign w:val="center"/>
          </w:tcPr>
          <w:p>
            <w:pPr>
              <w:pStyle w:val="28"/>
              <w:suppressLineNumbers w:val="0"/>
              <w:bidi w:val="0"/>
              <w:spacing w:before="0" w:after="0"/>
              <w:ind w:left="0" w:right="0"/>
            </w:pPr>
            <w:r>
              <w:t>0.036</w:t>
            </w:r>
          </w:p>
        </w:tc>
        <w:tc>
          <w:tcPr>
            <w:tcW w:w="2194" w:type="dxa"/>
            <w:gridSpan w:val="3"/>
            <w:tcBorders>
              <w:tl2br w:val="nil"/>
              <w:tr2bl w:val="nil"/>
            </w:tcBorders>
            <w:noWrap w:val="0"/>
            <w:vAlign w:val="center"/>
          </w:tcPr>
          <w:p>
            <w:pPr>
              <w:pStyle w:val="28"/>
              <w:suppressLineNumbers w:val="0"/>
              <w:bidi w:val="0"/>
              <w:spacing w:before="0" w:after="0"/>
              <w:ind w:left="0" w:right="0"/>
            </w:pPr>
            <w: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restart"/>
            <w:tcBorders>
              <w:tl2br w:val="nil"/>
              <w:tr2bl w:val="nil"/>
            </w:tcBorders>
            <w:noWrap w:val="0"/>
            <w:vAlign w:val="center"/>
          </w:tcPr>
          <w:p>
            <w:pPr>
              <w:pStyle w:val="28"/>
              <w:suppressLineNumbers w:val="0"/>
              <w:bidi w:val="0"/>
              <w:spacing w:before="0" w:after="0"/>
              <w:ind w:left="0" w:right="0"/>
            </w:pPr>
            <w:r>
              <w:t>C</w:t>
            </w: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1.85</w:t>
            </w:r>
          </w:p>
        </w:tc>
        <w:tc>
          <w:tcPr>
            <w:tcW w:w="2197" w:type="dxa"/>
            <w:gridSpan w:val="3"/>
            <w:tcBorders>
              <w:tl2br w:val="nil"/>
              <w:tr2bl w:val="nil"/>
            </w:tcBorders>
            <w:noWrap w:val="0"/>
            <w:vAlign w:val="center"/>
          </w:tcPr>
          <w:p>
            <w:pPr>
              <w:pStyle w:val="28"/>
              <w:suppressLineNumbers w:val="0"/>
              <w:bidi w:val="0"/>
              <w:spacing w:before="0" w:after="0"/>
              <w:ind w:left="0" w:right="0"/>
            </w:pPr>
            <w:r>
              <w:t>1.79</w:t>
            </w:r>
          </w:p>
        </w:tc>
        <w:tc>
          <w:tcPr>
            <w:tcW w:w="2194" w:type="dxa"/>
            <w:gridSpan w:val="3"/>
            <w:tcBorders>
              <w:tl2br w:val="nil"/>
              <w:tr2bl w:val="nil"/>
            </w:tcBorders>
            <w:noWrap w:val="0"/>
            <w:vAlign w:val="center"/>
          </w:tcPr>
          <w:p>
            <w:pPr>
              <w:pStyle w:val="28"/>
              <w:suppressLineNumbers w:val="0"/>
              <w:bidi w:val="0"/>
              <w:spacing w:before="0" w:after="0"/>
              <w:ind w:left="0" w:right="0"/>
            </w:pPr>
            <w: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1.85</w:t>
            </w:r>
          </w:p>
        </w:tc>
        <w:tc>
          <w:tcPr>
            <w:tcW w:w="2197" w:type="dxa"/>
            <w:gridSpan w:val="3"/>
            <w:tcBorders>
              <w:tl2br w:val="nil"/>
              <w:tr2bl w:val="nil"/>
            </w:tcBorders>
            <w:noWrap w:val="0"/>
            <w:vAlign w:val="center"/>
          </w:tcPr>
          <w:p>
            <w:pPr>
              <w:pStyle w:val="28"/>
              <w:suppressLineNumbers w:val="0"/>
              <w:bidi w:val="0"/>
              <w:spacing w:before="0" w:after="0"/>
              <w:ind w:left="0" w:right="0"/>
            </w:pPr>
            <w:r>
              <w:t>1.77</w:t>
            </w:r>
          </w:p>
        </w:tc>
        <w:tc>
          <w:tcPr>
            <w:tcW w:w="2194" w:type="dxa"/>
            <w:gridSpan w:val="3"/>
            <w:tcBorders>
              <w:tl2br w:val="nil"/>
              <w:tr2bl w:val="nil"/>
            </w:tcBorders>
            <w:noWrap w:val="0"/>
            <w:vAlign w:val="center"/>
          </w:tcPr>
          <w:p>
            <w:pPr>
              <w:pStyle w:val="28"/>
              <w:suppressLineNumbers w:val="0"/>
              <w:bidi w:val="0"/>
              <w:spacing w:before="0" w:after="0"/>
              <w:ind w:left="0" w:right="0"/>
            </w:pPr>
            <w:r>
              <w:t>1.77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restart"/>
            <w:tcBorders>
              <w:tl2br w:val="nil"/>
              <w:tr2bl w:val="nil"/>
            </w:tcBorders>
            <w:noWrap w:val="0"/>
            <w:vAlign w:val="center"/>
          </w:tcPr>
          <w:p>
            <w:pPr>
              <w:pStyle w:val="28"/>
              <w:suppressLineNumbers w:val="0"/>
              <w:bidi w:val="0"/>
              <w:spacing w:before="0" w:after="0"/>
              <w:ind w:left="0" w:right="0"/>
            </w:pPr>
            <w:r>
              <w:t>D</w:t>
            </w: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0.78</w:t>
            </w:r>
          </w:p>
        </w:tc>
        <w:tc>
          <w:tcPr>
            <w:tcW w:w="2197" w:type="dxa"/>
            <w:gridSpan w:val="3"/>
            <w:tcBorders>
              <w:tl2br w:val="nil"/>
              <w:tr2bl w:val="nil"/>
            </w:tcBorders>
            <w:noWrap w:val="0"/>
            <w:vAlign w:val="center"/>
          </w:tcPr>
          <w:p>
            <w:pPr>
              <w:pStyle w:val="28"/>
              <w:suppressLineNumbers w:val="0"/>
              <w:bidi w:val="0"/>
              <w:spacing w:before="0" w:after="0"/>
              <w:ind w:left="0" w:right="0"/>
            </w:pPr>
            <w:r>
              <w:t>0.78</w:t>
            </w:r>
          </w:p>
        </w:tc>
        <w:tc>
          <w:tcPr>
            <w:tcW w:w="2194" w:type="dxa"/>
            <w:gridSpan w:val="3"/>
            <w:tcBorders>
              <w:tl2br w:val="nil"/>
              <w:tr2bl w:val="nil"/>
            </w:tcBorders>
            <w:noWrap w:val="0"/>
            <w:vAlign w:val="center"/>
          </w:tcPr>
          <w:p>
            <w:pPr>
              <w:pStyle w:val="28"/>
              <w:suppressLineNumbers w:val="0"/>
              <w:bidi w:val="0"/>
              <w:spacing w:before="0" w:after="0"/>
              <w:ind w:left="0" w:right="0"/>
            </w:pPr>
            <w: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43" w:type="dxa"/>
            <w:vMerge w:val="continue"/>
            <w:tcBorders>
              <w:tl2br w:val="nil"/>
              <w:tr2bl w:val="nil"/>
            </w:tcBorders>
            <w:noWrap w:val="0"/>
            <w:vAlign w:val="center"/>
          </w:tcPr>
          <w:p>
            <w:pPr>
              <w:pStyle w:val="28"/>
              <w:suppressLineNumbers w:val="0"/>
              <w:bidi w:val="0"/>
              <w:spacing w:before="0" w:after="0"/>
              <w:ind w:left="0" w:right="0"/>
              <w:outlineLvl w:val="9"/>
            </w:pPr>
          </w:p>
        </w:tc>
        <w:tc>
          <w:tcPr>
            <w:tcW w:w="1763" w:type="dxa"/>
            <w:tcBorders>
              <w:tl2br w:val="nil"/>
              <w:tr2bl w:val="nil"/>
            </w:tcBorders>
            <w:noWrap w:val="0"/>
            <w:vAlign w:val="center"/>
          </w:tcPr>
          <w:p>
            <w:pPr>
              <w:pStyle w:val="28"/>
              <w:suppressLineNumbers w:val="0"/>
              <w:bidi w:val="0"/>
              <w:spacing w:before="0" w:after="0"/>
              <w:ind w:left="0" w:right="0"/>
            </w:pPr>
            <w:r>
              <w:t>＞2</w:t>
            </w:r>
          </w:p>
        </w:tc>
        <w:tc>
          <w:tcPr>
            <w:tcW w:w="2240" w:type="dxa"/>
            <w:gridSpan w:val="3"/>
            <w:tcBorders>
              <w:tl2br w:val="nil"/>
              <w:tr2bl w:val="nil"/>
            </w:tcBorders>
            <w:noWrap w:val="0"/>
            <w:vAlign w:val="center"/>
          </w:tcPr>
          <w:p>
            <w:pPr>
              <w:pStyle w:val="28"/>
              <w:suppressLineNumbers w:val="0"/>
              <w:bidi w:val="0"/>
              <w:spacing w:before="0" w:after="0"/>
              <w:ind w:left="0" w:right="0"/>
            </w:pPr>
            <w:r>
              <w:t>0.84</w:t>
            </w:r>
          </w:p>
        </w:tc>
        <w:tc>
          <w:tcPr>
            <w:tcW w:w="2197" w:type="dxa"/>
            <w:gridSpan w:val="3"/>
            <w:tcBorders>
              <w:tl2br w:val="nil"/>
              <w:tr2bl w:val="nil"/>
            </w:tcBorders>
            <w:noWrap w:val="0"/>
            <w:vAlign w:val="center"/>
          </w:tcPr>
          <w:p>
            <w:pPr>
              <w:pStyle w:val="28"/>
              <w:suppressLineNumbers w:val="0"/>
              <w:bidi w:val="0"/>
              <w:spacing w:before="0" w:after="0"/>
              <w:ind w:left="0" w:right="0"/>
            </w:pPr>
            <w:r>
              <w:t>0.84</w:t>
            </w:r>
          </w:p>
        </w:tc>
        <w:tc>
          <w:tcPr>
            <w:tcW w:w="2194" w:type="dxa"/>
            <w:gridSpan w:val="3"/>
            <w:tcBorders>
              <w:tl2br w:val="nil"/>
              <w:tr2bl w:val="nil"/>
            </w:tcBorders>
            <w:noWrap w:val="0"/>
            <w:vAlign w:val="center"/>
          </w:tcPr>
          <w:p>
            <w:pPr>
              <w:pStyle w:val="28"/>
              <w:suppressLineNumbers w:val="0"/>
              <w:bidi w:val="0"/>
              <w:spacing w:before="0" w:after="0"/>
              <w:ind w:left="0" w:right="0"/>
            </w:pPr>
            <w:r>
              <w:t>0.76</w:t>
            </w:r>
          </w:p>
        </w:tc>
      </w:tr>
    </w:tbl>
    <w:p>
      <w:pPr>
        <w:bidi w:val="0"/>
      </w:pPr>
      <w:r>
        <w:t>本项目无组织污染物排放的卫生防护距离计算结果见表</w:t>
      </w:r>
      <w:r>
        <w:rPr>
          <w:rFonts w:hint="eastAsia"/>
          <w:lang w:val="en-US" w:eastAsia="zh-CN"/>
        </w:rPr>
        <w:t>5.1.5-4</w:t>
      </w:r>
      <w:r>
        <w:t>。</w:t>
      </w:r>
    </w:p>
    <w:p>
      <w:pPr>
        <w:pStyle w:val="27"/>
        <w:bidi w:val="0"/>
      </w:pPr>
      <w:r>
        <w:t>表</w:t>
      </w:r>
      <w:r>
        <w:rPr>
          <w:rFonts w:hint="eastAsia"/>
          <w:lang w:val="en-US" w:eastAsia="zh-CN"/>
        </w:rPr>
        <w:t>5.1.5-4</w:t>
      </w:r>
      <w:r>
        <w:t xml:space="preserve"> 各无组织单元卫生防护距离计算结果</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789"/>
        <w:gridCol w:w="1285"/>
        <w:gridCol w:w="1735"/>
        <w:gridCol w:w="1735"/>
        <w:gridCol w:w="1483"/>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trPr>
        <w:tc>
          <w:tcPr>
            <w:tcW w:w="916" w:type="pct"/>
            <w:tcBorders>
              <w:tl2br w:val="nil"/>
              <w:tr2bl w:val="nil"/>
            </w:tcBorders>
            <w:noWrap w:val="0"/>
            <w:vAlign w:val="center"/>
          </w:tcPr>
          <w:p>
            <w:pPr>
              <w:pStyle w:val="28"/>
              <w:suppressLineNumbers w:val="0"/>
              <w:bidi w:val="0"/>
              <w:spacing w:before="0" w:after="0"/>
              <w:ind w:left="0" w:right="0"/>
            </w:pPr>
            <w:r>
              <w:t>位置</w:t>
            </w:r>
          </w:p>
        </w:tc>
        <w:tc>
          <w:tcPr>
            <w:tcW w:w="658" w:type="pct"/>
            <w:tcBorders>
              <w:tl2br w:val="nil"/>
              <w:tr2bl w:val="nil"/>
            </w:tcBorders>
            <w:noWrap w:val="0"/>
            <w:vAlign w:val="center"/>
          </w:tcPr>
          <w:p>
            <w:pPr>
              <w:pStyle w:val="28"/>
              <w:suppressLineNumbers w:val="0"/>
              <w:bidi w:val="0"/>
              <w:spacing w:before="0" w:after="0"/>
              <w:ind w:left="0" w:right="0"/>
            </w:pPr>
            <w:r>
              <w:t>污染物名称</w:t>
            </w:r>
          </w:p>
        </w:tc>
        <w:tc>
          <w:tcPr>
            <w:tcW w:w="888" w:type="pct"/>
            <w:tcBorders>
              <w:tl2br w:val="nil"/>
              <w:tr2bl w:val="nil"/>
            </w:tcBorders>
            <w:noWrap w:val="0"/>
            <w:vAlign w:val="center"/>
          </w:tcPr>
          <w:p>
            <w:pPr>
              <w:pStyle w:val="28"/>
              <w:suppressLineNumbers w:val="0"/>
              <w:bidi w:val="0"/>
              <w:spacing w:before="0" w:after="0"/>
              <w:ind w:left="0" w:right="0"/>
            </w:pPr>
            <w:r>
              <w:t>排放量（kg/h）</w:t>
            </w:r>
          </w:p>
        </w:tc>
        <w:tc>
          <w:tcPr>
            <w:tcW w:w="888" w:type="pct"/>
            <w:tcBorders>
              <w:tl2br w:val="nil"/>
              <w:tr2bl w:val="nil"/>
            </w:tcBorders>
            <w:noWrap w:val="0"/>
            <w:vAlign w:val="center"/>
          </w:tcPr>
          <w:p>
            <w:pPr>
              <w:pStyle w:val="28"/>
              <w:suppressLineNumbers w:val="0"/>
              <w:bidi w:val="0"/>
              <w:spacing w:before="0" w:after="0"/>
              <w:ind w:left="0" w:right="0"/>
            </w:pPr>
            <w:r>
              <w:t>计算距离（m）</w:t>
            </w:r>
          </w:p>
        </w:tc>
        <w:tc>
          <w:tcPr>
            <w:tcW w:w="759" w:type="pct"/>
            <w:tcBorders>
              <w:tl2br w:val="nil"/>
              <w:tr2bl w:val="nil"/>
            </w:tcBorders>
            <w:noWrap w:val="0"/>
            <w:vAlign w:val="center"/>
          </w:tcPr>
          <w:p>
            <w:pPr>
              <w:pStyle w:val="28"/>
              <w:suppressLineNumbers w:val="0"/>
              <w:bidi w:val="0"/>
              <w:spacing w:before="0" w:after="0"/>
              <w:ind w:left="0" w:right="0"/>
            </w:pPr>
            <w:r>
              <w:t>确认值（m）</w:t>
            </w:r>
          </w:p>
        </w:tc>
        <w:tc>
          <w:tcPr>
            <w:tcW w:w="888" w:type="pct"/>
            <w:tcBorders>
              <w:tl2br w:val="nil"/>
              <w:tr2bl w:val="nil"/>
            </w:tcBorders>
            <w:noWrap w:val="0"/>
            <w:vAlign w:val="center"/>
          </w:tcPr>
          <w:p>
            <w:pPr>
              <w:pStyle w:val="28"/>
              <w:suppressLineNumbers w:val="0"/>
              <w:bidi w:val="0"/>
              <w:spacing w:before="0" w:after="0"/>
              <w:ind w:left="0" w:right="0"/>
            </w:pPr>
            <w:r>
              <w:t>单元取值（m）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trPr>
        <w:tc>
          <w:tcPr>
            <w:tcW w:w="91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车间一</w:t>
            </w:r>
          </w:p>
        </w:tc>
        <w:tc>
          <w:tcPr>
            <w:tcW w:w="65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TSP</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0.10</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2.458</w:t>
            </w:r>
          </w:p>
        </w:tc>
        <w:tc>
          <w:tcPr>
            <w:tcW w:w="759" w:type="pct"/>
            <w:tcBorders>
              <w:tl2br w:val="nil"/>
              <w:tr2bl w:val="nil"/>
            </w:tcBorders>
            <w:noWrap w:val="0"/>
            <w:vAlign w:val="center"/>
          </w:tcPr>
          <w:p>
            <w:pPr>
              <w:pStyle w:val="28"/>
              <w:suppressLineNumbers w:val="0"/>
              <w:bidi w:val="0"/>
              <w:spacing w:before="0" w:after="0"/>
              <w:ind w:left="0" w:right="0"/>
            </w:pPr>
            <w:r>
              <w:rPr>
                <w:rFonts w:hint="eastAsia"/>
              </w:rPr>
              <w:t>50</w:t>
            </w:r>
          </w:p>
        </w:tc>
        <w:tc>
          <w:tcPr>
            <w:tcW w:w="888" w:type="pct"/>
            <w:vMerge w:val="restart"/>
            <w:tcBorders>
              <w:tl2br w:val="nil"/>
              <w:tr2bl w:val="nil"/>
            </w:tcBorders>
            <w:noWrap w:val="0"/>
            <w:vAlign w:val="center"/>
          </w:tcPr>
          <w:p>
            <w:pPr>
              <w:pStyle w:val="28"/>
              <w:suppressLineNumbers w:val="0"/>
              <w:bidi w:val="0"/>
              <w:spacing w:before="0" w:after="0"/>
              <w:ind w:left="0" w:right="0"/>
            </w:pPr>
            <w:r>
              <w:rPr>
                <w:rFonts w:hint="eastAsi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trPr>
        <w:tc>
          <w:tcPr>
            <w:tcW w:w="91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车间二</w:t>
            </w:r>
          </w:p>
        </w:tc>
        <w:tc>
          <w:tcPr>
            <w:tcW w:w="658" w:type="pct"/>
            <w:tcBorders>
              <w:tl2br w:val="nil"/>
              <w:tr2bl w:val="nil"/>
            </w:tcBorders>
            <w:noWrap w:val="0"/>
            <w:vAlign w:val="center"/>
          </w:tcPr>
          <w:p>
            <w:pPr>
              <w:pStyle w:val="28"/>
              <w:suppressLineNumbers w:val="0"/>
              <w:bidi w:val="0"/>
              <w:spacing w:before="0" w:after="0"/>
              <w:ind w:left="0" w:right="0"/>
              <w:rPr>
                <w:rFonts w:hint="eastAsia"/>
              </w:rPr>
            </w:pPr>
            <w:r>
              <w:rPr>
                <w:rFonts w:hint="eastAsia"/>
                <w:lang w:val="en-US" w:eastAsia="zh-CN"/>
              </w:rPr>
              <w:t>TSP</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0.10</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2.074</w:t>
            </w:r>
          </w:p>
        </w:tc>
        <w:tc>
          <w:tcPr>
            <w:tcW w:w="759" w:type="pct"/>
            <w:tcBorders>
              <w:tl2br w:val="nil"/>
              <w:tr2bl w:val="nil"/>
            </w:tcBorders>
            <w:noWrap w:val="0"/>
            <w:vAlign w:val="center"/>
          </w:tcPr>
          <w:p>
            <w:pPr>
              <w:pStyle w:val="28"/>
              <w:suppressLineNumbers w:val="0"/>
              <w:bidi w:val="0"/>
              <w:spacing w:before="0" w:after="0"/>
              <w:ind w:left="0" w:right="0"/>
              <w:rPr>
                <w:rFonts w:hint="eastAsia"/>
              </w:rPr>
            </w:pPr>
            <w:r>
              <w:rPr>
                <w:rFonts w:hint="eastAsia"/>
              </w:rPr>
              <w:t>50</w:t>
            </w:r>
          </w:p>
        </w:tc>
        <w:tc>
          <w:tcPr>
            <w:tcW w:w="888" w:type="pct"/>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trPr>
        <w:tc>
          <w:tcPr>
            <w:tcW w:w="916" w:type="pct"/>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破碎、筛分车间</w:t>
            </w:r>
          </w:p>
        </w:tc>
        <w:tc>
          <w:tcPr>
            <w:tcW w:w="658" w:type="pct"/>
            <w:tcBorders>
              <w:tl2br w:val="nil"/>
              <w:tr2bl w:val="nil"/>
            </w:tcBorders>
            <w:noWrap w:val="0"/>
            <w:vAlign w:val="center"/>
          </w:tcPr>
          <w:p>
            <w:pPr>
              <w:pStyle w:val="28"/>
              <w:suppressLineNumbers w:val="0"/>
              <w:bidi w:val="0"/>
              <w:spacing w:before="0" w:after="0"/>
              <w:ind w:left="0" w:right="0"/>
              <w:rPr>
                <w:rFonts w:hint="eastAsia"/>
              </w:rPr>
            </w:pPr>
            <w:r>
              <w:rPr>
                <w:rFonts w:hint="eastAsia"/>
                <w:lang w:val="en-US" w:eastAsia="zh-CN"/>
              </w:rPr>
              <w:t>TSP</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0.20</w:t>
            </w:r>
          </w:p>
        </w:tc>
        <w:tc>
          <w:tcPr>
            <w:tcW w:w="888"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4.415</w:t>
            </w:r>
          </w:p>
        </w:tc>
        <w:tc>
          <w:tcPr>
            <w:tcW w:w="759" w:type="pc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50</w:t>
            </w:r>
          </w:p>
        </w:tc>
        <w:tc>
          <w:tcPr>
            <w:tcW w:w="888" w:type="pct"/>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r>
    </w:tbl>
    <w:p>
      <w:pPr>
        <w:bidi w:val="0"/>
      </w:pPr>
      <w:r>
        <w:t>由上表所计算结果，本项目卫生防护距离为</w:t>
      </w:r>
      <w:r>
        <w:rPr>
          <w:rFonts w:hint="eastAsia"/>
        </w:rPr>
        <w:t>分别以</w:t>
      </w:r>
      <w:r>
        <w:rPr>
          <w:rFonts w:hint="eastAsia"/>
          <w:lang w:eastAsia="zh-CN"/>
        </w:rPr>
        <w:t>车间一</w:t>
      </w:r>
      <w:r>
        <w:rPr>
          <w:rFonts w:hint="eastAsia"/>
        </w:rPr>
        <w:t>、</w:t>
      </w:r>
      <w:r>
        <w:rPr>
          <w:rFonts w:hint="eastAsia"/>
          <w:lang w:eastAsia="zh-CN"/>
        </w:rPr>
        <w:t>车间二、破碎筛分车间</w:t>
      </w:r>
      <w:r>
        <w:t>边界设置</w:t>
      </w:r>
      <w:r>
        <w:rPr>
          <w:rFonts w:hint="eastAsia"/>
        </w:rPr>
        <w:t>50</w:t>
      </w:r>
      <w:r>
        <w:t>米。经调查，该范围内无居民等敏感目标，因此本项目满足卫生防护距离要求。</w:t>
      </w:r>
    </w:p>
    <w:p>
      <w:pPr>
        <w:bidi w:val="0"/>
      </w:pPr>
    </w:p>
    <w:p>
      <w:pPr>
        <w:pStyle w:val="27"/>
        <w:bidi w:val="0"/>
        <w:rPr>
          <w:rFonts w:hint="eastAsia"/>
        </w:rPr>
      </w:pPr>
      <w:r>
        <w:rPr>
          <w:rFonts w:hint="eastAsia"/>
        </w:rPr>
        <w:t>表</w:t>
      </w:r>
      <w:r>
        <w:rPr>
          <w:rFonts w:hint="eastAsia"/>
          <w:lang w:val="en-US" w:eastAsia="zh-CN"/>
        </w:rPr>
        <w:t>5.1.5-5</w:t>
      </w:r>
      <w:r>
        <w:rPr>
          <w:rFonts w:hint="eastAsia"/>
        </w:rPr>
        <w:t>建设项目大气环境影响评价自查表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5"/>
        <w:gridCol w:w="1669"/>
        <w:gridCol w:w="1006"/>
        <w:gridCol w:w="378"/>
        <w:gridCol w:w="382"/>
        <w:gridCol w:w="128"/>
        <w:gridCol w:w="349"/>
        <w:gridCol w:w="395"/>
        <w:gridCol w:w="377"/>
        <w:gridCol w:w="167"/>
        <w:gridCol w:w="500"/>
        <w:gridCol w:w="758"/>
        <w:gridCol w:w="897"/>
        <w:gridCol w:w="82"/>
        <w:gridCol w:w="168"/>
        <w:gridCol w:w="234"/>
        <w:gridCol w:w="488"/>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2634" w:type="dxa"/>
            <w:gridSpan w:val="2"/>
            <w:tcBorders>
              <w:tl2br w:val="nil"/>
              <w:tr2bl w:val="nil"/>
            </w:tcBorders>
            <w:noWrap w:val="0"/>
            <w:vAlign w:val="center"/>
          </w:tcPr>
          <w:p>
            <w:pPr>
              <w:pStyle w:val="28"/>
              <w:suppressLineNumbers w:val="0"/>
              <w:bidi w:val="0"/>
              <w:spacing w:before="0" w:after="0"/>
              <w:ind w:left="0" w:right="0"/>
            </w:pPr>
            <w:r>
              <w:t>工作内容</w:t>
            </w:r>
          </w:p>
        </w:tc>
        <w:tc>
          <w:tcPr>
            <w:tcW w:w="7040" w:type="dxa"/>
            <w:gridSpan w:val="16"/>
            <w:tcBorders>
              <w:tl2br w:val="nil"/>
              <w:tr2bl w:val="nil"/>
            </w:tcBorders>
            <w:noWrap w:val="0"/>
            <w:vAlign w:val="center"/>
          </w:tcPr>
          <w:p>
            <w:pPr>
              <w:pStyle w:val="28"/>
              <w:suppressLineNumbers w:val="0"/>
              <w:bidi w:val="0"/>
              <w:spacing w:before="0" w:after="0"/>
              <w:ind w:left="0" w:right="0"/>
            </w:pPr>
            <w: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评价等级与范围</w:t>
            </w:r>
          </w:p>
        </w:tc>
        <w:tc>
          <w:tcPr>
            <w:tcW w:w="1669" w:type="dxa"/>
            <w:tcBorders>
              <w:tl2br w:val="nil"/>
              <w:tr2bl w:val="nil"/>
            </w:tcBorders>
            <w:noWrap w:val="0"/>
            <w:vAlign w:val="center"/>
          </w:tcPr>
          <w:p>
            <w:pPr>
              <w:pStyle w:val="28"/>
              <w:suppressLineNumbers w:val="0"/>
              <w:bidi w:val="0"/>
              <w:spacing w:before="0" w:after="0"/>
              <w:ind w:left="0" w:right="0"/>
            </w:pPr>
            <w:r>
              <w:t>评价等级</w:t>
            </w:r>
          </w:p>
        </w:tc>
        <w:tc>
          <w:tcPr>
            <w:tcW w:w="2638" w:type="dxa"/>
            <w:gridSpan w:val="6"/>
            <w:tcBorders>
              <w:tl2br w:val="nil"/>
              <w:tr2bl w:val="nil"/>
            </w:tcBorders>
            <w:noWrap w:val="0"/>
            <w:vAlign w:val="center"/>
          </w:tcPr>
          <w:p>
            <w:pPr>
              <w:pStyle w:val="28"/>
              <w:suppressLineNumbers w:val="0"/>
              <w:bidi w:val="0"/>
              <w:spacing w:before="0" w:after="0"/>
              <w:ind w:left="0" w:right="0"/>
            </w:pPr>
            <w:r>
              <w:t>一级□</w:t>
            </w:r>
          </w:p>
        </w:tc>
        <w:tc>
          <w:tcPr>
            <w:tcW w:w="2781" w:type="dxa"/>
            <w:gridSpan w:val="6"/>
            <w:tcBorders>
              <w:tl2br w:val="nil"/>
              <w:tr2bl w:val="nil"/>
            </w:tcBorders>
            <w:noWrap w:val="0"/>
            <w:vAlign w:val="center"/>
          </w:tcPr>
          <w:p>
            <w:pPr>
              <w:pStyle w:val="28"/>
              <w:suppressLineNumbers w:val="0"/>
              <w:bidi w:val="0"/>
              <w:spacing w:before="0" w:after="0"/>
              <w:ind w:left="0" w:right="0"/>
              <w:rPr>
                <w:rFonts w:hint="eastAsia" w:eastAsia="宋体"/>
                <w:lang w:eastAsia="zh-CN"/>
              </w:rPr>
            </w:pPr>
            <w:r>
              <w:t>二级</w:t>
            </w:r>
            <w:r>
              <w:rPr>
                <w:rFonts w:hint="eastAsia"/>
                <w:lang w:eastAsia="zh-CN"/>
              </w:rPr>
              <w:t>☑</w:t>
            </w:r>
          </w:p>
        </w:tc>
        <w:tc>
          <w:tcPr>
            <w:tcW w:w="1621" w:type="dxa"/>
            <w:gridSpan w:val="4"/>
            <w:tcBorders>
              <w:tl2br w:val="nil"/>
              <w:tr2bl w:val="nil"/>
            </w:tcBorders>
            <w:noWrap w:val="0"/>
            <w:vAlign w:val="center"/>
          </w:tcPr>
          <w:p>
            <w:pPr>
              <w:pStyle w:val="28"/>
              <w:suppressLineNumbers w:val="0"/>
              <w:bidi w:val="0"/>
              <w:spacing w:before="0" w:after="0"/>
              <w:ind w:left="0" w:right="0"/>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评价范围</w:t>
            </w:r>
          </w:p>
        </w:tc>
        <w:tc>
          <w:tcPr>
            <w:tcW w:w="2638" w:type="dxa"/>
            <w:gridSpan w:val="6"/>
            <w:tcBorders>
              <w:tl2br w:val="nil"/>
              <w:tr2bl w:val="nil"/>
            </w:tcBorders>
            <w:noWrap w:val="0"/>
            <w:vAlign w:val="center"/>
          </w:tcPr>
          <w:p>
            <w:pPr>
              <w:pStyle w:val="28"/>
              <w:suppressLineNumbers w:val="0"/>
              <w:bidi w:val="0"/>
              <w:spacing w:before="0" w:after="0"/>
              <w:ind w:left="0" w:right="0"/>
            </w:pPr>
            <w:r>
              <w:t>边长=50km□</w:t>
            </w:r>
          </w:p>
        </w:tc>
        <w:tc>
          <w:tcPr>
            <w:tcW w:w="2781" w:type="dxa"/>
            <w:gridSpan w:val="6"/>
            <w:tcBorders>
              <w:tl2br w:val="nil"/>
              <w:tr2bl w:val="nil"/>
            </w:tcBorders>
            <w:noWrap w:val="0"/>
            <w:vAlign w:val="center"/>
          </w:tcPr>
          <w:p>
            <w:pPr>
              <w:pStyle w:val="28"/>
              <w:suppressLineNumbers w:val="0"/>
              <w:bidi w:val="0"/>
              <w:spacing w:before="0" w:after="0"/>
              <w:ind w:left="0" w:right="0"/>
            </w:pPr>
            <w:r>
              <w:t>边长5～</w:t>
            </w:r>
          </w:p>
          <w:p>
            <w:pPr>
              <w:pStyle w:val="28"/>
              <w:suppressLineNumbers w:val="0"/>
              <w:bidi w:val="0"/>
              <w:spacing w:before="0" w:after="0"/>
              <w:ind w:left="0" w:right="0"/>
            </w:pPr>
            <w:r>
              <w:t>50km□</w:t>
            </w:r>
          </w:p>
        </w:tc>
        <w:tc>
          <w:tcPr>
            <w:tcW w:w="1621" w:type="dxa"/>
            <w:gridSpan w:val="4"/>
            <w:tcBorders>
              <w:tl2br w:val="nil"/>
              <w:tr2bl w:val="nil"/>
            </w:tcBorders>
            <w:noWrap w:val="0"/>
            <w:vAlign w:val="center"/>
          </w:tcPr>
          <w:p>
            <w:pPr>
              <w:pStyle w:val="28"/>
              <w:suppressLineNumbers w:val="0"/>
              <w:bidi w:val="0"/>
              <w:spacing w:before="0" w:after="0"/>
              <w:ind w:left="0" w:right="0"/>
              <w:rPr>
                <w:rFonts w:hint="eastAsia" w:eastAsia="宋体"/>
                <w:lang w:eastAsia="zh-CN"/>
              </w:rPr>
            </w:pPr>
            <w:r>
              <w:t>边长=5 km</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评价因子</w:t>
            </w:r>
          </w:p>
        </w:tc>
        <w:tc>
          <w:tcPr>
            <w:tcW w:w="1669" w:type="dxa"/>
            <w:tcBorders>
              <w:tl2br w:val="nil"/>
              <w:tr2bl w:val="nil"/>
            </w:tcBorders>
            <w:noWrap w:val="0"/>
            <w:vAlign w:val="center"/>
          </w:tcPr>
          <w:p>
            <w:pPr>
              <w:pStyle w:val="28"/>
              <w:suppressLineNumbers w:val="0"/>
              <w:bidi w:val="0"/>
              <w:spacing w:before="0" w:after="0"/>
              <w:ind w:left="0" w:right="0"/>
            </w:pPr>
            <w:r>
              <w:t>SO</w:t>
            </w:r>
            <w:r>
              <w:rPr>
                <w:vertAlign w:val="subscript"/>
              </w:rPr>
              <w:t>2</w:t>
            </w:r>
            <w:r>
              <w:t xml:space="preserve"> +NOx排放量</w:t>
            </w:r>
          </w:p>
        </w:tc>
        <w:tc>
          <w:tcPr>
            <w:tcW w:w="1384" w:type="dxa"/>
            <w:gridSpan w:val="2"/>
            <w:tcBorders>
              <w:tl2br w:val="nil"/>
              <w:tr2bl w:val="nil"/>
            </w:tcBorders>
            <w:noWrap w:val="0"/>
            <w:vAlign w:val="center"/>
          </w:tcPr>
          <w:p>
            <w:pPr>
              <w:pStyle w:val="28"/>
              <w:suppressLineNumbers w:val="0"/>
              <w:bidi w:val="0"/>
              <w:spacing w:before="0" w:after="0"/>
              <w:ind w:left="0" w:right="0"/>
            </w:pPr>
            <w:r>
              <w:t>≥ 2000t/a□</w:t>
            </w:r>
          </w:p>
        </w:tc>
        <w:tc>
          <w:tcPr>
            <w:tcW w:w="4035" w:type="dxa"/>
            <w:gridSpan w:val="10"/>
            <w:tcBorders>
              <w:tl2br w:val="nil"/>
              <w:tr2bl w:val="nil"/>
            </w:tcBorders>
            <w:noWrap w:val="0"/>
            <w:vAlign w:val="center"/>
          </w:tcPr>
          <w:p>
            <w:pPr>
              <w:pStyle w:val="28"/>
              <w:suppressLineNumbers w:val="0"/>
              <w:bidi w:val="0"/>
              <w:spacing w:before="0" w:after="0"/>
              <w:ind w:left="0" w:right="0"/>
            </w:pPr>
            <w:r>
              <w:t>500 ~ 2000t/a□</w:t>
            </w:r>
          </w:p>
        </w:tc>
        <w:tc>
          <w:tcPr>
            <w:tcW w:w="1621" w:type="dxa"/>
            <w:gridSpan w:val="4"/>
            <w:tcBorders>
              <w:tl2br w:val="nil"/>
              <w:tr2bl w:val="nil"/>
            </w:tcBorders>
            <w:noWrap w:val="0"/>
            <w:vAlign w:val="center"/>
          </w:tcPr>
          <w:p>
            <w:pPr>
              <w:pStyle w:val="28"/>
              <w:suppressLineNumbers w:val="0"/>
              <w:bidi w:val="0"/>
              <w:spacing w:before="0" w:after="0"/>
              <w:ind w:left="0" w:right="0"/>
            </w:pPr>
            <w:r>
              <w:t>＜500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评价因子</w:t>
            </w:r>
          </w:p>
        </w:tc>
        <w:tc>
          <w:tcPr>
            <w:tcW w:w="3682" w:type="dxa"/>
            <w:gridSpan w:val="9"/>
            <w:tcBorders>
              <w:tl2br w:val="nil"/>
              <w:tr2bl w:val="nil"/>
            </w:tcBorders>
            <w:noWrap w:val="0"/>
            <w:vAlign w:val="center"/>
          </w:tcPr>
          <w:p>
            <w:pPr>
              <w:pStyle w:val="28"/>
              <w:suppressLineNumbers w:val="0"/>
              <w:bidi w:val="0"/>
              <w:spacing w:before="0" w:after="0"/>
              <w:ind w:left="0" w:right="0"/>
            </w:pPr>
            <w:r>
              <w:t>基本污染物 (</w:t>
            </w:r>
            <w:r>
              <w:rPr>
                <w:rFonts w:hint="eastAsia"/>
              </w:rPr>
              <w:t xml:space="preserve">  </w:t>
            </w:r>
            <w:r>
              <w:t>)</w:t>
            </w:r>
          </w:p>
          <w:p>
            <w:pPr>
              <w:pStyle w:val="28"/>
              <w:suppressLineNumbers w:val="0"/>
              <w:bidi w:val="0"/>
              <w:spacing w:before="0" w:after="0"/>
              <w:ind w:left="0" w:right="0"/>
            </w:pPr>
            <w:r>
              <w:t>其他污染物 (</w:t>
            </w:r>
            <w:r>
              <w:rPr>
                <w:rFonts w:hint="eastAsia"/>
              </w:rPr>
              <w:t>SO</w:t>
            </w:r>
            <w:r>
              <w:rPr>
                <w:rFonts w:hint="eastAsia"/>
                <w:vertAlign w:val="subscript"/>
              </w:rPr>
              <w:t>2</w:t>
            </w:r>
            <w:r>
              <w:rPr>
                <w:rFonts w:hint="eastAsia"/>
              </w:rPr>
              <w:t>、NOx、</w:t>
            </w:r>
            <w:r>
              <w:rPr>
                <w:rFonts w:hint="eastAsia"/>
                <w:lang w:eastAsia="zh-CN"/>
              </w:rPr>
              <w:t>颗粒物</w:t>
            </w:r>
            <w:r>
              <w:t>)</w:t>
            </w:r>
          </w:p>
        </w:tc>
        <w:tc>
          <w:tcPr>
            <w:tcW w:w="3358" w:type="dxa"/>
            <w:gridSpan w:val="7"/>
            <w:tcBorders>
              <w:tl2br w:val="nil"/>
              <w:tr2bl w:val="nil"/>
            </w:tcBorders>
            <w:noWrap w:val="0"/>
            <w:vAlign w:val="center"/>
          </w:tcPr>
          <w:p>
            <w:pPr>
              <w:pStyle w:val="28"/>
              <w:suppressLineNumbers w:val="0"/>
              <w:bidi w:val="0"/>
              <w:spacing w:before="0" w:after="0"/>
              <w:ind w:left="0" w:right="0"/>
            </w:pPr>
            <w:r>
              <w:t>包括二次PM2.5□</w:t>
            </w:r>
          </w:p>
          <w:p>
            <w:pPr>
              <w:pStyle w:val="28"/>
              <w:suppressLineNumbers w:val="0"/>
              <w:bidi w:val="0"/>
              <w:spacing w:before="0" w:after="0"/>
              <w:ind w:left="0" w:right="0"/>
              <w:rPr>
                <w:rFonts w:hint="eastAsia" w:eastAsia="宋体"/>
                <w:lang w:eastAsia="zh-CN"/>
              </w:rPr>
            </w:pPr>
            <w:r>
              <w:t>不包括二次PM2.</w:t>
            </w:r>
            <w:r>
              <w:rPr>
                <w:rFonts w:hint="eastAsia"/>
                <w:lang w:val="en-US" w:eastAsia="zh-CN"/>
              </w:rPr>
              <w:t>5</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tcBorders>
              <w:tl2br w:val="nil"/>
              <w:tr2bl w:val="nil"/>
            </w:tcBorders>
            <w:noWrap w:val="0"/>
            <w:vAlign w:val="center"/>
          </w:tcPr>
          <w:p>
            <w:pPr>
              <w:pStyle w:val="28"/>
              <w:suppressLineNumbers w:val="0"/>
              <w:bidi w:val="0"/>
              <w:spacing w:before="0" w:after="0"/>
              <w:ind w:left="0" w:right="0"/>
            </w:pPr>
            <w:r>
              <w:t>评价标准</w:t>
            </w:r>
          </w:p>
        </w:tc>
        <w:tc>
          <w:tcPr>
            <w:tcW w:w="1669" w:type="dxa"/>
            <w:tcBorders>
              <w:tl2br w:val="nil"/>
              <w:tr2bl w:val="nil"/>
            </w:tcBorders>
            <w:noWrap w:val="0"/>
            <w:vAlign w:val="center"/>
          </w:tcPr>
          <w:p>
            <w:pPr>
              <w:pStyle w:val="28"/>
              <w:suppressLineNumbers w:val="0"/>
              <w:bidi w:val="0"/>
              <w:spacing w:before="0" w:after="0"/>
              <w:ind w:left="0" w:right="0"/>
            </w:pPr>
            <w:r>
              <w:t>评价标准</w:t>
            </w:r>
          </w:p>
        </w:tc>
        <w:tc>
          <w:tcPr>
            <w:tcW w:w="2243" w:type="dxa"/>
            <w:gridSpan w:val="5"/>
            <w:tcBorders>
              <w:tl2br w:val="nil"/>
              <w:tr2bl w:val="nil"/>
            </w:tcBorders>
            <w:noWrap w:val="0"/>
            <w:vAlign w:val="center"/>
          </w:tcPr>
          <w:p>
            <w:pPr>
              <w:pStyle w:val="28"/>
              <w:suppressLineNumbers w:val="0"/>
              <w:bidi w:val="0"/>
              <w:spacing w:before="0" w:after="0"/>
              <w:ind w:left="0" w:right="0"/>
              <w:rPr>
                <w:rFonts w:hint="eastAsia" w:eastAsia="宋体"/>
                <w:lang w:eastAsia="zh-CN"/>
              </w:rPr>
            </w:pPr>
            <w:r>
              <w:t>国家标准</w:t>
            </w:r>
            <w:r>
              <w:rPr>
                <w:rFonts w:hint="eastAsia"/>
                <w:lang w:eastAsia="zh-CN"/>
              </w:rPr>
              <w:t>☑</w:t>
            </w:r>
          </w:p>
        </w:tc>
        <w:tc>
          <w:tcPr>
            <w:tcW w:w="1439" w:type="dxa"/>
            <w:gridSpan w:val="4"/>
            <w:tcBorders>
              <w:tl2br w:val="nil"/>
              <w:tr2bl w:val="nil"/>
            </w:tcBorders>
            <w:noWrap w:val="0"/>
            <w:vAlign w:val="center"/>
          </w:tcPr>
          <w:p>
            <w:pPr>
              <w:pStyle w:val="28"/>
              <w:suppressLineNumbers w:val="0"/>
              <w:bidi w:val="0"/>
              <w:spacing w:before="0" w:after="0"/>
              <w:ind w:left="0" w:right="0"/>
              <w:rPr>
                <w:rFonts w:hint="eastAsia" w:eastAsia="宋体"/>
                <w:lang w:eastAsia="zh-CN"/>
              </w:rPr>
            </w:pPr>
            <w:r>
              <w:t>地方标准</w:t>
            </w:r>
            <w:r>
              <w:rPr>
                <w:rFonts w:hint="eastAsia"/>
                <w:lang w:eastAsia="zh-CN"/>
              </w:rPr>
              <w:t>☑</w:t>
            </w:r>
          </w:p>
        </w:tc>
        <w:tc>
          <w:tcPr>
            <w:tcW w:w="2139" w:type="dxa"/>
            <w:gridSpan w:val="5"/>
            <w:tcBorders>
              <w:tl2br w:val="nil"/>
              <w:tr2bl w:val="nil"/>
            </w:tcBorders>
            <w:noWrap w:val="0"/>
            <w:vAlign w:val="center"/>
          </w:tcPr>
          <w:p>
            <w:pPr>
              <w:pStyle w:val="28"/>
              <w:suppressLineNumbers w:val="0"/>
              <w:bidi w:val="0"/>
              <w:spacing w:before="0" w:after="0"/>
              <w:ind w:left="0" w:right="0"/>
              <w:rPr>
                <w:rFonts w:hint="eastAsia"/>
              </w:rPr>
            </w:pPr>
            <w:r>
              <w:t>附录D □</w:t>
            </w:r>
          </w:p>
        </w:tc>
        <w:tc>
          <w:tcPr>
            <w:tcW w:w="1219" w:type="dxa"/>
            <w:gridSpan w:val="2"/>
            <w:tcBorders>
              <w:tl2br w:val="nil"/>
              <w:tr2bl w:val="nil"/>
            </w:tcBorders>
            <w:noWrap w:val="0"/>
            <w:vAlign w:val="center"/>
          </w:tcPr>
          <w:p>
            <w:pPr>
              <w:pStyle w:val="28"/>
              <w:suppressLineNumbers w:val="0"/>
              <w:bidi w:val="0"/>
              <w:spacing w:before="0" w:after="0"/>
              <w:ind w:left="0" w:right="0"/>
            </w:pPr>
            <w: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现状评价</w:t>
            </w:r>
          </w:p>
        </w:tc>
        <w:tc>
          <w:tcPr>
            <w:tcW w:w="1669" w:type="dxa"/>
            <w:tcBorders>
              <w:tl2br w:val="nil"/>
              <w:tr2bl w:val="nil"/>
            </w:tcBorders>
            <w:noWrap w:val="0"/>
            <w:vAlign w:val="center"/>
          </w:tcPr>
          <w:p>
            <w:pPr>
              <w:pStyle w:val="28"/>
              <w:suppressLineNumbers w:val="0"/>
              <w:bidi w:val="0"/>
              <w:spacing w:before="0" w:after="0"/>
              <w:ind w:left="0" w:right="0"/>
            </w:pPr>
            <w:r>
              <w:t>环境功能区</w:t>
            </w:r>
          </w:p>
        </w:tc>
        <w:tc>
          <w:tcPr>
            <w:tcW w:w="2638" w:type="dxa"/>
            <w:gridSpan w:val="6"/>
            <w:tcBorders>
              <w:tl2br w:val="nil"/>
              <w:tr2bl w:val="nil"/>
            </w:tcBorders>
            <w:noWrap w:val="0"/>
            <w:vAlign w:val="center"/>
          </w:tcPr>
          <w:p>
            <w:pPr>
              <w:pStyle w:val="28"/>
              <w:suppressLineNumbers w:val="0"/>
              <w:bidi w:val="0"/>
              <w:spacing w:before="0" w:after="0"/>
              <w:ind w:left="0" w:right="0"/>
              <w:rPr>
                <w:rFonts w:hint="eastAsia"/>
              </w:rPr>
            </w:pPr>
            <w:r>
              <w:t>一类区□</w:t>
            </w:r>
          </w:p>
        </w:tc>
        <w:tc>
          <w:tcPr>
            <w:tcW w:w="2699" w:type="dxa"/>
            <w:gridSpan w:val="5"/>
            <w:tcBorders>
              <w:tl2br w:val="nil"/>
              <w:tr2bl w:val="nil"/>
            </w:tcBorders>
            <w:noWrap w:val="0"/>
            <w:vAlign w:val="center"/>
          </w:tcPr>
          <w:p>
            <w:pPr>
              <w:pStyle w:val="28"/>
              <w:suppressLineNumbers w:val="0"/>
              <w:bidi w:val="0"/>
              <w:spacing w:before="0" w:after="0"/>
              <w:ind w:left="0" w:right="0"/>
              <w:rPr>
                <w:rFonts w:hint="eastAsia" w:eastAsia="宋体"/>
                <w:lang w:eastAsia="zh-CN"/>
              </w:rPr>
            </w:pPr>
            <w:r>
              <w:t>二类区</w:t>
            </w:r>
            <w:r>
              <w:rPr>
                <w:rFonts w:hint="eastAsia"/>
                <w:lang w:eastAsia="zh-CN"/>
              </w:rPr>
              <w:t>☑</w:t>
            </w:r>
          </w:p>
        </w:tc>
        <w:tc>
          <w:tcPr>
            <w:tcW w:w="1703" w:type="dxa"/>
            <w:gridSpan w:val="5"/>
            <w:tcBorders>
              <w:tl2br w:val="nil"/>
              <w:tr2bl w:val="nil"/>
            </w:tcBorders>
            <w:noWrap w:val="0"/>
            <w:vAlign w:val="center"/>
          </w:tcPr>
          <w:p>
            <w:pPr>
              <w:pStyle w:val="28"/>
              <w:suppressLineNumbers w:val="0"/>
              <w:bidi w:val="0"/>
              <w:spacing w:before="0" w:after="0"/>
              <w:ind w:left="0" w:right="0"/>
            </w:pPr>
            <w: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评价基准年</w:t>
            </w:r>
          </w:p>
        </w:tc>
        <w:tc>
          <w:tcPr>
            <w:tcW w:w="7040" w:type="dxa"/>
            <w:gridSpan w:val="16"/>
            <w:tcBorders>
              <w:tl2br w:val="nil"/>
              <w:tr2bl w:val="nil"/>
            </w:tcBorders>
            <w:noWrap w:val="0"/>
            <w:vAlign w:val="center"/>
          </w:tcPr>
          <w:p>
            <w:pPr>
              <w:pStyle w:val="28"/>
              <w:suppressLineNumbers w:val="0"/>
              <w:bidi w:val="0"/>
              <w:spacing w:before="0" w:after="0"/>
              <w:ind w:left="0" w:right="0"/>
            </w:pPr>
            <w:r>
              <w:t>（  1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环境空气质量</w:t>
            </w:r>
            <w:r>
              <w:br w:type="textWrapping"/>
            </w:r>
            <w:r>
              <w:t>现状调查数据来源</w:t>
            </w:r>
          </w:p>
        </w:tc>
        <w:tc>
          <w:tcPr>
            <w:tcW w:w="2638" w:type="dxa"/>
            <w:gridSpan w:val="6"/>
            <w:tcBorders>
              <w:tl2br w:val="nil"/>
              <w:tr2bl w:val="nil"/>
            </w:tcBorders>
            <w:noWrap w:val="0"/>
            <w:vAlign w:val="center"/>
          </w:tcPr>
          <w:p>
            <w:pPr>
              <w:pStyle w:val="28"/>
              <w:suppressLineNumbers w:val="0"/>
              <w:bidi w:val="0"/>
              <w:spacing w:before="0" w:after="0"/>
              <w:ind w:left="0" w:right="0"/>
            </w:pPr>
            <w:r>
              <w:t>长期例行监测数据□</w:t>
            </w:r>
          </w:p>
        </w:tc>
        <w:tc>
          <w:tcPr>
            <w:tcW w:w="2781" w:type="dxa"/>
            <w:gridSpan w:val="6"/>
            <w:tcBorders>
              <w:tl2br w:val="nil"/>
              <w:tr2bl w:val="nil"/>
            </w:tcBorders>
            <w:noWrap w:val="0"/>
            <w:vAlign w:val="center"/>
          </w:tcPr>
          <w:p>
            <w:pPr>
              <w:pStyle w:val="28"/>
              <w:suppressLineNumbers w:val="0"/>
              <w:bidi w:val="0"/>
              <w:spacing w:before="0" w:after="0"/>
              <w:ind w:left="0" w:right="0"/>
              <w:rPr>
                <w:rFonts w:hint="eastAsia"/>
              </w:rPr>
            </w:pPr>
            <w:r>
              <w:t>主管部门发布的数据</w:t>
            </w:r>
            <w:r>
              <w:rPr>
                <w:rFonts w:hint="eastAsia"/>
                <w:lang w:eastAsia="zh-CN"/>
              </w:rPr>
              <w:t>☑</w:t>
            </w:r>
          </w:p>
        </w:tc>
        <w:tc>
          <w:tcPr>
            <w:tcW w:w="1621" w:type="dxa"/>
            <w:gridSpan w:val="4"/>
            <w:tcBorders>
              <w:tl2br w:val="nil"/>
              <w:tr2bl w:val="nil"/>
            </w:tcBorders>
            <w:noWrap w:val="0"/>
            <w:vAlign w:val="center"/>
          </w:tcPr>
          <w:p>
            <w:pPr>
              <w:pStyle w:val="28"/>
              <w:suppressLineNumbers w:val="0"/>
              <w:bidi w:val="0"/>
              <w:spacing w:before="0" w:after="0"/>
              <w:ind w:left="0" w:right="0"/>
              <w:rPr>
                <w:rFonts w:hint="eastAsia" w:eastAsia="宋体"/>
                <w:lang w:eastAsia="zh-CN"/>
              </w:rPr>
            </w:pPr>
            <w:r>
              <w:t>现状补充监测</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现状评价</w:t>
            </w:r>
          </w:p>
        </w:tc>
        <w:tc>
          <w:tcPr>
            <w:tcW w:w="3682" w:type="dxa"/>
            <w:gridSpan w:val="9"/>
            <w:tcBorders>
              <w:tl2br w:val="nil"/>
              <w:tr2bl w:val="nil"/>
            </w:tcBorders>
            <w:noWrap w:val="0"/>
            <w:vAlign w:val="center"/>
          </w:tcPr>
          <w:p>
            <w:pPr>
              <w:pStyle w:val="28"/>
              <w:suppressLineNumbers w:val="0"/>
              <w:bidi w:val="0"/>
              <w:spacing w:before="0" w:after="0"/>
              <w:ind w:left="0" w:right="0"/>
            </w:pPr>
            <w:r>
              <w:t>达标区□</w:t>
            </w:r>
          </w:p>
        </w:tc>
        <w:tc>
          <w:tcPr>
            <w:tcW w:w="3358" w:type="dxa"/>
            <w:gridSpan w:val="7"/>
            <w:tcBorders>
              <w:tl2br w:val="nil"/>
              <w:tr2bl w:val="nil"/>
            </w:tcBorders>
            <w:noWrap w:val="0"/>
            <w:vAlign w:val="center"/>
          </w:tcPr>
          <w:p>
            <w:pPr>
              <w:pStyle w:val="28"/>
              <w:suppressLineNumbers w:val="0"/>
              <w:bidi w:val="0"/>
              <w:spacing w:before="0" w:after="0"/>
              <w:ind w:left="0" w:right="0"/>
              <w:rPr>
                <w:rFonts w:hint="eastAsia" w:eastAsia="宋体"/>
                <w:lang w:eastAsia="zh-CN"/>
              </w:rPr>
            </w:pPr>
            <w:r>
              <w:t>不达标区</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tcBorders>
              <w:tl2br w:val="nil"/>
              <w:tr2bl w:val="nil"/>
            </w:tcBorders>
            <w:noWrap w:val="0"/>
            <w:vAlign w:val="center"/>
          </w:tcPr>
          <w:p>
            <w:pPr>
              <w:pStyle w:val="28"/>
              <w:suppressLineNumbers w:val="0"/>
              <w:bidi w:val="0"/>
              <w:spacing w:before="0" w:after="0"/>
              <w:ind w:left="0" w:right="0"/>
            </w:pPr>
            <w:r>
              <w:t>污染源</w:t>
            </w:r>
            <w:r>
              <w:br w:type="textWrapping"/>
            </w:r>
            <w:r>
              <w:t>调查</w:t>
            </w:r>
          </w:p>
        </w:tc>
        <w:tc>
          <w:tcPr>
            <w:tcW w:w="1669" w:type="dxa"/>
            <w:tcBorders>
              <w:tl2br w:val="nil"/>
              <w:tr2bl w:val="nil"/>
            </w:tcBorders>
            <w:noWrap w:val="0"/>
            <w:vAlign w:val="center"/>
          </w:tcPr>
          <w:p>
            <w:pPr>
              <w:pStyle w:val="28"/>
              <w:suppressLineNumbers w:val="0"/>
              <w:bidi w:val="0"/>
              <w:spacing w:before="0" w:after="0"/>
              <w:ind w:left="0" w:right="0"/>
            </w:pPr>
            <w:r>
              <w:t>调查内容</w:t>
            </w:r>
          </w:p>
        </w:tc>
        <w:tc>
          <w:tcPr>
            <w:tcW w:w="2243" w:type="dxa"/>
            <w:gridSpan w:val="5"/>
            <w:tcBorders>
              <w:tl2br w:val="nil"/>
              <w:tr2bl w:val="nil"/>
            </w:tcBorders>
            <w:noWrap w:val="0"/>
            <w:vAlign w:val="center"/>
          </w:tcPr>
          <w:p>
            <w:pPr>
              <w:pStyle w:val="28"/>
              <w:suppressLineNumbers w:val="0"/>
              <w:bidi w:val="0"/>
              <w:spacing w:before="0" w:after="0"/>
              <w:ind w:left="0" w:right="0"/>
              <w:rPr>
                <w:rFonts w:hint="eastAsia" w:eastAsia="宋体"/>
                <w:lang w:eastAsia="zh-CN"/>
              </w:rPr>
            </w:pPr>
            <w:r>
              <w:t xml:space="preserve">本项目正常排放源 </w:t>
            </w:r>
            <w:r>
              <w:rPr>
                <w:rFonts w:hint="eastAsia"/>
                <w:lang w:eastAsia="zh-CN"/>
              </w:rPr>
              <w:t>☑</w:t>
            </w:r>
          </w:p>
          <w:p>
            <w:pPr>
              <w:pStyle w:val="28"/>
              <w:suppressLineNumbers w:val="0"/>
              <w:bidi w:val="0"/>
              <w:spacing w:before="0" w:after="0"/>
              <w:ind w:left="0" w:right="0"/>
            </w:pPr>
            <w:r>
              <w:t>本项目非正常排放源 □</w:t>
            </w:r>
          </w:p>
          <w:p>
            <w:pPr>
              <w:pStyle w:val="28"/>
              <w:suppressLineNumbers w:val="0"/>
              <w:bidi w:val="0"/>
              <w:spacing w:before="0" w:after="0"/>
              <w:ind w:left="0" w:right="0"/>
            </w:pPr>
            <w:r>
              <w:t>现有污染源□</w:t>
            </w:r>
          </w:p>
        </w:tc>
        <w:tc>
          <w:tcPr>
            <w:tcW w:w="1439" w:type="dxa"/>
            <w:gridSpan w:val="4"/>
            <w:tcBorders>
              <w:tl2br w:val="nil"/>
              <w:tr2bl w:val="nil"/>
            </w:tcBorders>
            <w:noWrap w:val="0"/>
            <w:vAlign w:val="center"/>
          </w:tcPr>
          <w:p>
            <w:pPr>
              <w:pStyle w:val="28"/>
              <w:suppressLineNumbers w:val="0"/>
              <w:bidi w:val="0"/>
              <w:spacing w:before="0" w:after="0"/>
              <w:ind w:left="0" w:right="0"/>
            </w:pPr>
            <w:r>
              <w:t>拟替代的污染源□</w:t>
            </w:r>
          </w:p>
        </w:tc>
        <w:tc>
          <w:tcPr>
            <w:tcW w:w="2139" w:type="dxa"/>
            <w:gridSpan w:val="5"/>
            <w:tcBorders>
              <w:tl2br w:val="nil"/>
              <w:tr2bl w:val="nil"/>
            </w:tcBorders>
            <w:noWrap w:val="0"/>
            <w:vAlign w:val="center"/>
          </w:tcPr>
          <w:p>
            <w:pPr>
              <w:pStyle w:val="28"/>
              <w:suppressLineNumbers w:val="0"/>
              <w:bidi w:val="0"/>
              <w:spacing w:before="0" w:after="0"/>
              <w:ind w:left="0" w:right="0"/>
            </w:pPr>
            <w:r>
              <w:t>其他在建、拟建项目污染源□</w:t>
            </w:r>
          </w:p>
        </w:tc>
        <w:tc>
          <w:tcPr>
            <w:tcW w:w="1219" w:type="dxa"/>
            <w:gridSpan w:val="2"/>
            <w:tcBorders>
              <w:tl2br w:val="nil"/>
              <w:tr2bl w:val="nil"/>
            </w:tcBorders>
            <w:noWrap w:val="0"/>
            <w:vAlign w:val="center"/>
          </w:tcPr>
          <w:p>
            <w:pPr>
              <w:pStyle w:val="28"/>
              <w:suppressLineNumbers w:val="0"/>
              <w:bidi w:val="0"/>
              <w:spacing w:before="0" w:after="0"/>
              <w:ind w:left="0" w:right="0"/>
            </w:pPr>
            <w: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大气环境影响预测与</w:t>
            </w:r>
            <w:r>
              <w:br w:type="textWrapping"/>
            </w:r>
            <w:r>
              <w:t>评价</w:t>
            </w:r>
          </w:p>
        </w:tc>
        <w:tc>
          <w:tcPr>
            <w:tcW w:w="1669" w:type="dxa"/>
            <w:tcBorders>
              <w:tl2br w:val="nil"/>
              <w:tr2bl w:val="nil"/>
            </w:tcBorders>
            <w:noWrap w:val="0"/>
            <w:vAlign w:val="center"/>
          </w:tcPr>
          <w:p>
            <w:pPr>
              <w:pStyle w:val="28"/>
              <w:suppressLineNumbers w:val="0"/>
              <w:bidi w:val="0"/>
              <w:spacing w:before="0" w:after="0"/>
              <w:ind w:left="0" w:right="0"/>
            </w:pPr>
            <w:r>
              <w:t>预测模型</w:t>
            </w:r>
          </w:p>
        </w:tc>
        <w:tc>
          <w:tcPr>
            <w:tcW w:w="1006" w:type="dxa"/>
            <w:tcBorders>
              <w:tl2br w:val="nil"/>
              <w:tr2bl w:val="nil"/>
            </w:tcBorders>
            <w:noWrap w:val="0"/>
            <w:vAlign w:val="center"/>
          </w:tcPr>
          <w:p>
            <w:pPr>
              <w:pStyle w:val="28"/>
              <w:suppressLineNumbers w:val="0"/>
              <w:bidi w:val="0"/>
              <w:spacing w:before="0" w:after="0"/>
              <w:ind w:left="0" w:right="0"/>
            </w:pPr>
            <w:r>
              <w:t>AERMOD</w:t>
            </w:r>
            <w:r>
              <w:br w:type="textWrapping"/>
            </w:r>
            <w:r>
              <w:t>□</w:t>
            </w:r>
          </w:p>
        </w:tc>
        <w:tc>
          <w:tcPr>
            <w:tcW w:w="888" w:type="dxa"/>
            <w:gridSpan w:val="3"/>
            <w:tcBorders>
              <w:tl2br w:val="nil"/>
              <w:tr2bl w:val="nil"/>
            </w:tcBorders>
            <w:noWrap w:val="0"/>
            <w:vAlign w:val="center"/>
          </w:tcPr>
          <w:p>
            <w:pPr>
              <w:pStyle w:val="28"/>
              <w:suppressLineNumbers w:val="0"/>
              <w:bidi w:val="0"/>
              <w:spacing w:before="0" w:after="0"/>
              <w:ind w:left="0" w:right="0"/>
            </w:pPr>
            <w:r>
              <w:t>ADMS</w:t>
            </w:r>
            <w:r>
              <w:br w:type="textWrapping"/>
            </w:r>
            <w:r>
              <w:t>□</w:t>
            </w:r>
          </w:p>
        </w:tc>
        <w:tc>
          <w:tcPr>
            <w:tcW w:w="1288" w:type="dxa"/>
            <w:gridSpan w:val="4"/>
            <w:tcBorders>
              <w:tl2br w:val="nil"/>
              <w:tr2bl w:val="nil"/>
            </w:tcBorders>
            <w:noWrap w:val="0"/>
            <w:vAlign w:val="center"/>
          </w:tcPr>
          <w:p>
            <w:pPr>
              <w:pStyle w:val="28"/>
              <w:suppressLineNumbers w:val="0"/>
              <w:bidi w:val="0"/>
              <w:spacing w:before="0" w:after="0"/>
              <w:ind w:left="0" w:right="0"/>
            </w:pPr>
            <w:r>
              <w:t>AUSTAL2000</w:t>
            </w:r>
            <w:r>
              <w:br w:type="textWrapping"/>
            </w:r>
            <w:r>
              <w:t>□</w:t>
            </w:r>
          </w:p>
        </w:tc>
        <w:tc>
          <w:tcPr>
            <w:tcW w:w="1258" w:type="dxa"/>
            <w:gridSpan w:val="2"/>
            <w:tcBorders>
              <w:tl2br w:val="nil"/>
              <w:tr2bl w:val="nil"/>
            </w:tcBorders>
            <w:noWrap w:val="0"/>
            <w:vAlign w:val="center"/>
          </w:tcPr>
          <w:p>
            <w:pPr>
              <w:pStyle w:val="28"/>
              <w:suppressLineNumbers w:val="0"/>
              <w:bidi w:val="0"/>
              <w:spacing w:before="0" w:after="0"/>
              <w:ind w:left="0" w:right="0"/>
            </w:pPr>
            <w:r>
              <w:t>EDMS/AEDT</w:t>
            </w:r>
            <w:r>
              <w:br w:type="textWrapping"/>
            </w:r>
            <w:r>
              <w:t>□</w:t>
            </w:r>
          </w:p>
        </w:tc>
        <w:tc>
          <w:tcPr>
            <w:tcW w:w="979" w:type="dxa"/>
            <w:gridSpan w:val="2"/>
            <w:tcBorders>
              <w:tl2br w:val="nil"/>
              <w:tr2bl w:val="nil"/>
            </w:tcBorders>
            <w:noWrap w:val="0"/>
            <w:vAlign w:val="center"/>
          </w:tcPr>
          <w:p>
            <w:pPr>
              <w:pStyle w:val="28"/>
              <w:suppressLineNumbers w:val="0"/>
              <w:bidi w:val="0"/>
              <w:spacing w:before="0" w:after="0"/>
              <w:ind w:left="0" w:right="0"/>
            </w:pPr>
            <w:r>
              <w:t>CALPUFF</w:t>
            </w:r>
            <w:r>
              <w:br w:type="textWrapping"/>
            </w:r>
            <w:r>
              <w:t>□</w:t>
            </w:r>
          </w:p>
        </w:tc>
        <w:tc>
          <w:tcPr>
            <w:tcW w:w="890" w:type="dxa"/>
            <w:gridSpan w:val="3"/>
            <w:tcBorders>
              <w:tl2br w:val="nil"/>
              <w:tr2bl w:val="nil"/>
            </w:tcBorders>
            <w:noWrap w:val="0"/>
            <w:vAlign w:val="center"/>
          </w:tcPr>
          <w:p>
            <w:pPr>
              <w:pStyle w:val="28"/>
              <w:suppressLineNumbers w:val="0"/>
              <w:bidi w:val="0"/>
              <w:spacing w:before="0" w:after="0"/>
              <w:ind w:left="0" w:right="0"/>
            </w:pPr>
            <w:r>
              <w:t>网格模型</w:t>
            </w:r>
            <w:r>
              <w:br w:type="textWrapping"/>
            </w:r>
            <w:r>
              <w:t>□</w:t>
            </w:r>
          </w:p>
        </w:tc>
        <w:tc>
          <w:tcPr>
            <w:tcW w:w="731" w:type="dxa"/>
            <w:tcBorders>
              <w:tl2br w:val="nil"/>
              <w:tr2bl w:val="nil"/>
            </w:tcBorders>
            <w:noWrap w:val="0"/>
            <w:vAlign w:val="center"/>
          </w:tcPr>
          <w:p>
            <w:pPr>
              <w:pStyle w:val="28"/>
              <w:suppressLineNumbers w:val="0"/>
              <w:bidi w:val="0"/>
              <w:spacing w:before="0" w:after="0"/>
              <w:ind w:left="0" w:right="0"/>
              <w:rPr>
                <w:rFonts w:hint="eastAsia" w:eastAsia="宋体"/>
                <w:lang w:eastAsia="zh-CN"/>
              </w:rPr>
            </w:pPr>
            <w:r>
              <w:t>其他</w:t>
            </w:r>
            <w:r>
              <w:br w:type="textWrapping"/>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3"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预测范围</w:t>
            </w:r>
          </w:p>
        </w:tc>
        <w:tc>
          <w:tcPr>
            <w:tcW w:w="1894" w:type="dxa"/>
            <w:gridSpan w:val="4"/>
            <w:tcBorders>
              <w:tl2br w:val="nil"/>
              <w:tr2bl w:val="nil"/>
            </w:tcBorders>
            <w:noWrap w:val="0"/>
            <w:vAlign w:val="center"/>
          </w:tcPr>
          <w:p>
            <w:pPr>
              <w:pStyle w:val="28"/>
              <w:suppressLineNumbers w:val="0"/>
              <w:bidi w:val="0"/>
              <w:spacing w:before="0" w:after="0"/>
              <w:ind w:left="0" w:right="0"/>
            </w:pPr>
            <w:r>
              <w:t>边长≥ 50km□</w:t>
            </w:r>
          </w:p>
        </w:tc>
        <w:tc>
          <w:tcPr>
            <w:tcW w:w="3525" w:type="dxa"/>
            <w:gridSpan w:val="8"/>
            <w:tcBorders>
              <w:tl2br w:val="nil"/>
              <w:tr2bl w:val="nil"/>
            </w:tcBorders>
            <w:noWrap w:val="0"/>
            <w:vAlign w:val="center"/>
          </w:tcPr>
          <w:p>
            <w:pPr>
              <w:pStyle w:val="28"/>
              <w:suppressLineNumbers w:val="0"/>
              <w:bidi w:val="0"/>
              <w:spacing w:before="0" w:after="0"/>
              <w:ind w:left="0" w:right="0"/>
            </w:pPr>
            <w:r>
              <w:t>边长5～50km □</w:t>
            </w:r>
          </w:p>
        </w:tc>
        <w:tc>
          <w:tcPr>
            <w:tcW w:w="1621" w:type="dxa"/>
            <w:gridSpan w:val="4"/>
            <w:tcBorders>
              <w:tl2br w:val="nil"/>
              <w:tr2bl w:val="nil"/>
            </w:tcBorders>
            <w:noWrap w:val="0"/>
            <w:vAlign w:val="center"/>
          </w:tcPr>
          <w:p>
            <w:pPr>
              <w:pStyle w:val="28"/>
              <w:suppressLineNumbers w:val="0"/>
              <w:bidi w:val="0"/>
              <w:spacing w:before="0" w:after="0"/>
              <w:ind w:left="0" w:right="0"/>
              <w:rPr>
                <w:rFonts w:hint="eastAsia" w:eastAsia="宋体"/>
                <w:lang w:eastAsia="zh-CN"/>
              </w:rPr>
            </w:pPr>
            <w:r>
              <w:t xml:space="preserve">边长 = 5 km </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预测因子</w:t>
            </w:r>
          </w:p>
        </w:tc>
        <w:tc>
          <w:tcPr>
            <w:tcW w:w="3682" w:type="dxa"/>
            <w:gridSpan w:val="9"/>
            <w:tcBorders>
              <w:tl2br w:val="nil"/>
              <w:tr2bl w:val="nil"/>
            </w:tcBorders>
            <w:noWrap w:val="0"/>
            <w:vAlign w:val="center"/>
          </w:tcPr>
          <w:p>
            <w:pPr>
              <w:pStyle w:val="28"/>
              <w:suppressLineNumbers w:val="0"/>
              <w:bidi w:val="0"/>
              <w:spacing w:before="0" w:after="0"/>
              <w:ind w:left="0" w:right="0"/>
            </w:pPr>
            <w:r>
              <w:t>预测因子(</w:t>
            </w:r>
            <w:r>
              <w:rPr>
                <w:rFonts w:hint="eastAsia"/>
              </w:rPr>
              <w:t>SO</w:t>
            </w:r>
            <w:r>
              <w:rPr>
                <w:rFonts w:hint="eastAsia"/>
                <w:vertAlign w:val="subscript"/>
              </w:rPr>
              <w:t>2</w:t>
            </w:r>
            <w:r>
              <w:rPr>
                <w:rFonts w:hint="eastAsia"/>
              </w:rPr>
              <w:t>、NOx、</w:t>
            </w:r>
            <w:r>
              <w:rPr>
                <w:rFonts w:hint="eastAsia"/>
                <w:lang w:eastAsia="zh-CN"/>
              </w:rPr>
              <w:t>颗粒物</w:t>
            </w:r>
            <w:r>
              <w:t>)</w:t>
            </w:r>
          </w:p>
        </w:tc>
        <w:tc>
          <w:tcPr>
            <w:tcW w:w="3358" w:type="dxa"/>
            <w:gridSpan w:val="7"/>
            <w:tcBorders>
              <w:tl2br w:val="nil"/>
              <w:tr2bl w:val="nil"/>
            </w:tcBorders>
            <w:noWrap w:val="0"/>
            <w:vAlign w:val="center"/>
          </w:tcPr>
          <w:p>
            <w:pPr>
              <w:pStyle w:val="28"/>
              <w:suppressLineNumbers w:val="0"/>
              <w:bidi w:val="0"/>
              <w:spacing w:before="0" w:after="0"/>
              <w:ind w:left="0" w:right="0"/>
            </w:pPr>
            <w:r>
              <w:t>包括二次PM</w:t>
            </w:r>
            <w:r>
              <w:rPr>
                <w:vertAlign w:val="subscript"/>
              </w:rPr>
              <w:t>2.5</w:t>
            </w:r>
            <w:r>
              <w:t xml:space="preserve"> □</w:t>
            </w:r>
          </w:p>
          <w:p>
            <w:pPr>
              <w:pStyle w:val="28"/>
              <w:suppressLineNumbers w:val="0"/>
              <w:bidi w:val="0"/>
              <w:spacing w:before="0" w:after="0"/>
              <w:ind w:left="0" w:right="0"/>
              <w:rPr>
                <w:rFonts w:hint="eastAsia" w:eastAsia="宋体"/>
                <w:lang w:eastAsia="zh-CN"/>
              </w:rPr>
            </w:pPr>
            <w:r>
              <w:t>不包括二次PM</w:t>
            </w:r>
            <w:r>
              <w:rPr>
                <w:vertAlign w:val="subscript"/>
              </w:rPr>
              <w:t>2.5</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正常排放短期浓度贡献值</w:t>
            </w:r>
          </w:p>
        </w:tc>
        <w:tc>
          <w:tcPr>
            <w:tcW w:w="3682" w:type="dxa"/>
            <w:gridSpan w:val="9"/>
            <w:tcBorders>
              <w:tl2br w:val="nil"/>
              <w:tr2bl w:val="nil"/>
            </w:tcBorders>
            <w:noWrap w:val="0"/>
            <w:vAlign w:val="center"/>
          </w:tcPr>
          <w:p>
            <w:pPr>
              <w:pStyle w:val="28"/>
              <w:suppressLineNumbers w:val="0"/>
              <w:bidi w:val="0"/>
              <w:spacing w:before="0" w:after="0"/>
              <w:ind w:left="0" w:right="0"/>
              <w:rPr>
                <w:rFonts w:hint="eastAsia" w:eastAsia="宋体"/>
                <w:lang w:eastAsia="zh-CN"/>
              </w:rPr>
            </w:pPr>
            <w:r>
              <w:fldChar w:fldCharType="begin"/>
            </w:r>
            <w:r>
              <w:instrText xml:space="preserve"> QUOTE </w:instrText>
            </w:r>
            <w:r>
              <w:pict>
                <v:shape id="_x0000_i1031"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4087&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034087&quot; wsp:rsidP=&quot;00034087&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rPr>
                  </m:ctrlPr>
                </m:sSubPr>
                <m:e>
                  <m:r>
                    <m:rPr>
                      <m:sty m:val="p"/>
                    </m:rPr>
                    <w:rPr>
                      <w:rFonts w:ascii="Cambria Math" w:hAnsi="Cambria Math"/>
                    </w:rPr>
                    <m:t>C</m:t>
                  </m:r>
                  <m:ctrlPr>
                    <w:rPr>
                      <w:rFonts w:ascii="Cambria Math" w:hAnsi="Cambria Math"/>
                    </w:rPr>
                  </m:ctrlPr>
                </m:e>
                <m:sub>
                  <m:r>
                    <m:rPr>
                      <m:sty m:val="p"/>
                    </m:rPr>
                    <w:rPr>
                      <w:rFonts w:hint="eastAsia" w:ascii="Cambria Math" w:hAnsi="Cambria Math"/>
                    </w:rPr>
                    <m:t>本项目</m:t>
                  </m:r>
                  <m:ctrlPr>
                    <w:rPr>
                      <w:rFonts w:ascii="Cambria Math" w:hAnsi="Cambria Math"/>
                    </w:rPr>
                  </m:ctrlPr>
                </m:sub>
              </m:sSub>
            </m:oMath>
            <w:r>
              <w:t>最大占标率≤100%</w:t>
            </w:r>
            <w:r>
              <w:rPr>
                <w:rFonts w:hint="eastAsia"/>
                <w:lang w:eastAsia="zh-CN"/>
              </w:rPr>
              <w:t>☑</w:t>
            </w:r>
          </w:p>
        </w:tc>
        <w:tc>
          <w:tcPr>
            <w:tcW w:w="3358" w:type="dxa"/>
            <w:gridSpan w:val="7"/>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2"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522&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DE0522&quot; wsp:rsidP=&quot;00DE0522&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本项目</m:t>
                  </m:r>
                  <m:ctrlPr>
                    <w:rPr>
                      <w:rFonts w:ascii="Cambria Math" w:hAnsi="Cambria Math"/>
                      <w:i/>
                      <w:color w:val="000000"/>
                      <w:sz w:val="18"/>
                      <w:szCs w:val="21"/>
                    </w:rPr>
                  </m:ctrlPr>
                </m:sub>
              </m:sSub>
            </m:oMath>
            <w:r>
              <w:t>最大占标率＞100%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4"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vMerge w:val="restart"/>
            <w:tcBorders>
              <w:tl2br w:val="nil"/>
              <w:tr2bl w:val="nil"/>
            </w:tcBorders>
            <w:noWrap w:val="0"/>
            <w:vAlign w:val="center"/>
          </w:tcPr>
          <w:p>
            <w:pPr>
              <w:pStyle w:val="28"/>
              <w:suppressLineNumbers w:val="0"/>
              <w:bidi w:val="0"/>
              <w:spacing w:before="0" w:after="0"/>
              <w:ind w:left="0" w:right="0"/>
            </w:pPr>
            <w:r>
              <w:t>正常排放年均浓度贡献值</w:t>
            </w:r>
          </w:p>
        </w:tc>
        <w:tc>
          <w:tcPr>
            <w:tcW w:w="1006" w:type="dxa"/>
            <w:tcBorders>
              <w:tl2br w:val="nil"/>
              <w:tr2bl w:val="nil"/>
            </w:tcBorders>
            <w:noWrap w:val="0"/>
            <w:vAlign w:val="center"/>
          </w:tcPr>
          <w:p>
            <w:pPr>
              <w:pStyle w:val="28"/>
              <w:suppressLineNumbers w:val="0"/>
              <w:bidi w:val="0"/>
              <w:spacing w:before="0" w:after="0"/>
              <w:ind w:left="0" w:right="0"/>
            </w:pPr>
            <w:r>
              <w:t>一类区</w:t>
            </w:r>
          </w:p>
        </w:tc>
        <w:tc>
          <w:tcPr>
            <w:tcW w:w="2676" w:type="dxa"/>
            <w:gridSpan w:val="8"/>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3"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17DE2&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717DE2&quot; wsp:rsidP=&quot;00717DE2&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本项目</m:t>
                  </m:r>
                  <m:ctrlPr>
                    <w:rPr>
                      <w:rFonts w:ascii="Cambria Math" w:hAnsi="Cambria Math"/>
                      <w:i/>
                      <w:color w:val="000000"/>
                      <w:sz w:val="18"/>
                      <w:szCs w:val="21"/>
                    </w:rPr>
                  </m:ctrlPr>
                </m:sub>
              </m:sSub>
            </m:oMath>
            <w:r>
              <w:t>最大占标率≤10%□</w:t>
            </w:r>
          </w:p>
        </w:tc>
        <w:tc>
          <w:tcPr>
            <w:tcW w:w="3358" w:type="dxa"/>
            <w:gridSpan w:val="7"/>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4"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6A6A&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166A6A&quot; wsp:rsidP=&quot;00166A6A&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本项目</m:t>
                  </m:r>
                  <m:ctrlPr>
                    <w:rPr>
                      <w:rFonts w:ascii="Cambria Math" w:hAnsi="Cambria Math"/>
                      <w:i/>
                      <w:color w:val="000000"/>
                      <w:sz w:val="18"/>
                      <w:szCs w:val="21"/>
                    </w:rPr>
                  </m:ctrlPr>
                </m:sub>
              </m:sSub>
            </m:oMath>
            <w:r>
              <w:t>最大标率＞10%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6" w:type="dxa"/>
            <w:tcBorders>
              <w:tl2br w:val="nil"/>
              <w:tr2bl w:val="nil"/>
            </w:tcBorders>
            <w:noWrap w:val="0"/>
            <w:vAlign w:val="center"/>
          </w:tcPr>
          <w:p>
            <w:pPr>
              <w:pStyle w:val="28"/>
              <w:suppressLineNumbers w:val="0"/>
              <w:bidi w:val="0"/>
              <w:spacing w:before="0" w:after="0"/>
              <w:ind w:left="0" w:right="0"/>
            </w:pPr>
            <w:r>
              <w:t>二类区</w:t>
            </w:r>
          </w:p>
        </w:tc>
        <w:tc>
          <w:tcPr>
            <w:tcW w:w="2676" w:type="dxa"/>
            <w:gridSpan w:val="8"/>
            <w:tcBorders>
              <w:tl2br w:val="nil"/>
              <w:tr2bl w:val="nil"/>
            </w:tcBorders>
            <w:noWrap w:val="0"/>
            <w:vAlign w:val="center"/>
          </w:tcPr>
          <w:p>
            <w:pPr>
              <w:pStyle w:val="28"/>
              <w:suppressLineNumbers w:val="0"/>
              <w:bidi w:val="0"/>
              <w:spacing w:before="0" w:after="0"/>
              <w:ind w:left="0" w:right="0"/>
              <w:rPr>
                <w:rFonts w:hint="eastAsia" w:eastAsia="宋体"/>
                <w:lang w:eastAsia="zh-CN"/>
              </w:rPr>
            </w:pP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本项目</m:t>
                  </m:r>
                  <m:ctrlPr>
                    <w:rPr>
                      <w:rFonts w:ascii="Cambria Math" w:hAnsi="Cambria Math"/>
                      <w:i/>
                      <w:color w:val="000000"/>
                      <w:sz w:val="18"/>
                      <w:szCs w:val="21"/>
                    </w:rPr>
                  </m:ctrlPr>
                </m:sub>
              </m:sSub>
            </m:oMath>
            <w:r>
              <w:fldChar w:fldCharType="begin"/>
            </w:r>
            <w:r>
              <w:instrText xml:space="preserve"> QUOTE </w:instrText>
            </w:r>
            <w:r>
              <w:pict>
                <v:shape id="_x0000_i1035"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943&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180943&quot; wsp:rsidP=&quot;00180943&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w:r>
              <w:t>最大占标率≤30%</w:t>
            </w:r>
            <w:r>
              <w:rPr>
                <w:rFonts w:hint="eastAsia"/>
                <w:lang w:eastAsia="zh-CN"/>
              </w:rPr>
              <w:t>☑</w:t>
            </w:r>
          </w:p>
        </w:tc>
        <w:tc>
          <w:tcPr>
            <w:tcW w:w="3358" w:type="dxa"/>
            <w:gridSpan w:val="7"/>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6"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58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17158F&quot; wsp:rsidP=&quot;0017158F&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本项目&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本项目</m:t>
                  </m:r>
                  <m:ctrlPr>
                    <w:rPr>
                      <w:rFonts w:ascii="Cambria Math" w:hAnsi="Cambria Math"/>
                      <w:i/>
                      <w:color w:val="000000"/>
                      <w:sz w:val="18"/>
                      <w:szCs w:val="21"/>
                    </w:rPr>
                  </m:ctrlPr>
                </m:sub>
              </m:sSub>
            </m:oMath>
            <w:r>
              <w:t>最大标率＞30%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非正常排放1h浓度贡献值</w:t>
            </w:r>
          </w:p>
        </w:tc>
        <w:tc>
          <w:tcPr>
            <w:tcW w:w="1006" w:type="dxa"/>
            <w:tcBorders>
              <w:tl2br w:val="nil"/>
              <w:tr2bl w:val="nil"/>
            </w:tcBorders>
            <w:noWrap w:val="0"/>
            <w:vAlign w:val="center"/>
          </w:tcPr>
          <w:p>
            <w:pPr>
              <w:pStyle w:val="28"/>
              <w:suppressLineNumbers w:val="0"/>
              <w:bidi w:val="0"/>
              <w:spacing w:before="0" w:after="0"/>
              <w:ind w:left="0" w:right="0"/>
            </w:pPr>
            <w:r>
              <w:t>非正常持续时长</w:t>
            </w:r>
            <w:r>
              <w:br w:type="textWrapping"/>
            </w:r>
            <w:r>
              <w:t>（ ）h</w:t>
            </w:r>
          </w:p>
        </w:tc>
        <w:tc>
          <w:tcPr>
            <w:tcW w:w="2676" w:type="dxa"/>
            <w:gridSpan w:val="8"/>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7"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36C&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C7736C&quot; wsp:rsidP=&quot;00C7736C&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非正常</m:t>
                  </m:r>
                  <m:ctrlPr>
                    <w:rPr>
                      <w:rFonts w:ascii="Cambria Math" w:hAnsi="Cambria Math"/>
                      <w:i/>
                      <w:color w:val="000000"/>
                      <w:sz w:val="18"/>
                      <w:szCs w:val="21"/>
                    </w:rPr>
                  </m:ctrlPr>
                </m:sub>
              </m:sSub>
            </m:oMath>
            <w:r>
              <w:t>占标率≤100% □</w:t>
            </w:r>
          </w:p>
        </w:tc>
        <w:tc>
          <w:tcPr>
            <w:tcW w:w="3358" w:type="dxa"/>
            <w:gridSpan w:val="7"/>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8" o:spt="75" type="#_x0000_t75" style="height:18pt;width:33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56C8&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6956C8&quot; wsp:rsidP=&quot;006956C8&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非正常&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非正常</m:t>
                  </m:r>
                  <m:ctrlPr>
                    <w:rPr>
                      <w:rFonts w:ascii="Cambria Math" w:hAnsi="Cambria Math"/>
                      <w:i/>
                      <w:color w:val="000000"/>
                      <w:sz w:val="18"/>
                      <w:szCs w:val="21"/>
                    </w:rPr>
                  </m:ctrlPr>
                </m:sub>
              </m:sSub>
            </m:oMath>
            <w: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保证率日平均浓度和年平均浓度叠加值</w:t>
            </w:r>
          </w:p>
        </w:tc>
        <w:tc>
          <w:tcPr>
            <w:tcW w:w="3682" w:type="dxa"/>
            <w:gridSpan w:val="9"/>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39" o:spt="75" type="#_x0000_t75" style="height:18pt;width:24.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1CB&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8F21CB&quot; wsp:rsidP=&quot;008F21CB&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叠加</m:t>
                  </m:r>
                  <m:ctrlPr>
                    <w:rPr>
                      <w:rFonts w:ascii="Cambria Math" w:hAnsi="Cambria Math"/>
                      <w:i/>
                      <w:color w:val="000000"/>
                      <w:sz w:val="18"/>
                      <w:szCs w:val="21"/>
                    </w:rPr>
                  </m:ctrlPr>
                </m:sub>
              </m:sSub>
            </m:oMath>
            <w:r>
              <w:t>达标□</w:t>
            </w:r>
            <w:r>
              <w:rPr/>
              <w:sym w:font="Times New Roman" w:char="0000"/>
            </w:r>
          </w:p>
        </w:tc>
        <w:tc>
          <w:tcPr>
            <w:tcW w:w="3358" w:type="dxa"/>
            <w:gridSpan w:val="7"/>
            <w:tcBorders>
              <w:tl2br w:val="nil"/>
              <w:tr2bl w:val="nil"/>
            </w:tcBorders>
            <w:noWrap w:val="0"/>
            <w:vAlign w:val="center"/>
          </w:tcPr>
          <w:p>
            <w:pPr>
              <w:pStyle w:val="28"/>
              <w:suppressLineNumbers w:val="0"/>
              <w:bidi w:val="0"/>
              <w:spacing w:before="0" w:after="0"/>
              <w:ind w:left="0" w:right="0"/>
            </w:pPr>
            <w:r>
              <w:fldChar w:fldCharType="begin"/>
            </w:r>
            <w:r>
              <w:instrText xml:space="preserve"> QUOTE </w:instrText>
            </w:r>
            <w:r>
              <w:pict>
                <v:shape id="_x0000_i1040" o:spt="75" type="#_x0000_t75" style="height:18pt;width:24.7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0&quot;/&gt;&lt;w:doNotEmbedSystemFonts/&gt;&lt;w:bordersDontSurroundHeader/&gt;&lt;w:bordersDontSurroundFooter/&gt;&lt;w:hideSpellingErrors/&gt;&lt;w:stylePaneFormatFilter w:val=&quot;3F01&quot;/&gt;&lt;w:defaultTabStop w:val=&quot;425&quot;/&gt;&lt;w:drawingGridHorizontalSpacing w:val=&quot;2&quot;/&gt;&lt;w:drawingGridVerticalSpacing w:val=&quot;3&quot;/&gt;&lt;w:displayHorizontalDrawingGridEvery w:val=&quot;0&quot;/&gt;&lt;w:displayVerticalDrawingGridEvery w:val=&quot;2&quot;/&gt;&lt;w:punctuationKerning/&gt;&lt;w:characterSpacingControl w:val=&quot;CompressPunctuation&quot;/&gt;&lt;w:webPageEncoding w:val=&quot;x-cp20936&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D13DA9&quot;/&gt;&lt;wsp:rsid wsp:val=&quot;000007F0&quot;/&gt;&lt;wsp:rsid wsp:val=&quot;00000B2E&quot;/&gt;&lt;wsp:rsid wsp:val=&quot;00000FDA&quot;/&gt;&lt;wsp:rsid wsp:val=&quot;000018EB&quot;/&gt;&lt;wsp:rsid wsp:val=&quot;000019AA&quot;/&gt;&lt;wsp:rsid wsp:val=&quot;00001BE0&quot;/&gt;&lt;wsp:rsid wsp:val=&quot;00001DD5&quot;/&gt;&lt;wsp:rsid wsp:val=&quot;0000202D&quot;/&gt;&lt;wsp:rsid wsp:val=&quot;00002244&quot;/&gt;&lt;wsp:rsid wsp:val=&quot;00002434&quot;/&gt;&lt;wsp:rsid wsp:val=&quot;00002798&quot;/&gt;&lt;wsp:rsid wsp:val=&quot;0000286F&quot;/&gt;&lt;wsp:rsid wsp:val=&quot;00002A35&quot;/&gt;&lt;wsp:rsid wsp:val=&quot;0000342D&quot;/&gt;&lt;wsp:rsid wsp:val=&quot;000039E8&quot;/&gt;&lt;wsp:rsid wsp:val=&quot;000043B1&quot;/&gt;&lt;wsp:rsid wsp:val=&quot;000058E1&quot;/&gt;&lt;wsp:rsid wsp:val=&quot;00006A2A&quot;/&gt;&lt;wsp:rsid wsp:val=&quot;00006F38&quot;/&gt;&lt;wsp:rsid wsp:val=&quot;0000728E&quot;/&gt;&lt;wsp:rsid wsp:val=&quot;000076D1&quot;/&gt;&lt;wsp:rsid wsp:val=&quot;00007B56&quot;/&gt;&lt;wsp:rsid wsp:val=&quot;000106D3&quot;/&gt;&lt;wsp:rsid wsp:val=&quot;000106D6&quot;/&gt;&lt;wsp:rsid wsp:val=&quot;00010843&quot;/&gt;&lt;wsp:rsid wsp:val=&quot;000112B2&quot;/&gt;&lt;wsp:rsid wsp:val=&quot;00011549&quot;/&gt;&lt;wsp:rsid wsp:val=&quot;00011B9E&quot;/&gt;&lt;wsp:rsid wsp:val=&quot;00013177&quot;/&gt;&lt;wsp:rsid wsp:val=&quot;00013715&quot;/&gt;&lt;wsp:rsid wsp:val=&quot;00013F60&quot;/&gt;&lt;wsp:rsid wsp:val=&quot;000153F0&quot;/&gt;&lt;wsp:rsid wsp:val=&quot;0001594A&quot;/&gt;&lt;wsp:rsid wsp:val=&quot;000160DA&quot;/&gt;&lt;wsp:rsid wsp:val=&quot;000163C0&quot;/&gt;&lt;wsp:rsid wsp:val=&quot;0001660B&quot;/&gt;&lt;wsp:rsid wsp:val=&quot;00017EAE&quot;/&gt;&lt;wsp:rsid wsp:val=&quot;000207F1&quot;/&gt;&lt;wsp:rsid wsp:val=&quot;000212B8&quot;/&gt;&lt;wsp:rsid wsp:val=&quot;0002142B&quot;/&gt;&lt;wsp:rsid wsp:val=&quot;00022815&quot;/&gt;&lt;wsp:rsid wsp:val=&quot;00022D80&quot;/&gt;&lt;wsp:rsid wsp:val=&quot;000236D9&quot;/&gt;&lt;wsp:rsid wsp:val=&quot;00024C4B&quot;/&gt;&lt;wsp:rsid wsp:val=&quot;00024E4F&quot;/&gt;&lt;wsp:rsid wsp:val=&quot;00024F80&quot;/&gt;&lt;wsp:rsid wsp:val=&quot;0002545E&quot;/&gt;&lt;wsp:rsid wsp:val=&quot;00025DEC&quot;/&gt;&lt;wsp:rsid wsp:val=&quot;00027D0C&quot;/&gt;&lt;wsp:rsid wsp:val=&quot;00027FED&quot;/&gt;&lt;wsp:rsid wsp:val=&quot;000304A1&quot;/&gt;&lt;wsp:rsid wsp:val=&quot;000308EC&quot;/&gt;&lt;wsp:rsid wsp:val=&quot;00031312&quot;/&gt;&lt;wsp:rsid wsp:val=&quot;000321AE&quot;/&gt;&lt;wsp:rsid wsp:val=&quot;00032567&quot;/&gt;&lt;wsp:rsid wsp:val=&quot;000326C1&quot;/&gt;&lt;wsp:rsid wsp:val=&quot;00033E51&quot;/&gt;&lt;wsp:rsid wsp:val=&quot;00035389&quot;/&gt;&lt;wsp:rsid wsp:val=&quot;000353A1&quot;/&gt;&lt;wsp:rsid wsp:val=&quot;0003599D&quot;/&gt;&lt;wsp:rsid wsp:val=&quot;000365E8&quot;/&gt;&lt;wsp:rsid wsp:val=&quot;0003673C&quot;/&gt;&lt;wsp:rsid wsp:val=&quot;000368D2&quot;/&gt;&lt;wsp:rsid wsp:val=&quot;00036A9C&quot;/&gt;&lt;wsp:rsid wsp:val=&quot;00036EE9&quot;/&gt;&lt;wsp:rsid wsp:val=&quot;000373CC&quot;/&gt;&lt;wsp:rsid wsp:val=&quot;000405D5&quot;/&gt;&lt;wsp:rsid wsp:val=&quot;000406B7&quot;/&gt;&lt;wsp:rsid wsp:val=&quot;00041065&quot;/&gt;&lt;wsp:rsid wsp:val=&quot;00041BD2&quot;/&gt;&lt;wsp:rsid wsp:val=&quot;0004256F&quot;/&gt;&lt;wsp:rsid wsp:val=&quot;000426A1&quot;/&gt;&lt;wsp:rsid wsp:val=&quot;000426CE&quot;/&gt;&lt;wsp:rsid wsp:val=&quot;00042B40&quot;/&gt;&lt;wsp:rsid wsp:val=&quot;00042EF0&quot;/&gt;&lt;wsp:rsid wsp:val=&quot;000444E9&quot;/&gt;&lt;wsp:rsid wsp:val=&quot;00045200&quot;/&gt;&lt;wsp:rsid wsp:val=&quot;00045462&quot;/&gt;&lt;wsp:rsid wsp:val=&quot;00045E3B&quot;/&gt;&lt;wsp:rsid wsp:val=&quot;0004636D&quot;/&gt;&lt;wsp:rsid wsp:val=&quot;00047940&quot;/&gt;&lt;wsp:rsid wsp:val=&quot;00047AE3&quot;/&gt;&lt;wsp:rsid wsp:val=&quot;00050366&quot;/&gt;&lt;wsp:rsid wsp:val=&quot;00052104&quot;/&gt;&lt;wsp:rsid wsp:val=&quot;000525C4&quot;/&gt;&lt;wsp:rsid wsp:val=&quot;000525DB&quot;/&gt;&lt;wsp:rsid wsp:val=&quot;00053324&quot;/&gt;&lt;wsp:rsid wsp:val=&quot;00053701&quot;/&gt;&lt;wsp:rsid wsp:val=&quot;00053901&quot;/&gt;&lt;wsp:rsid wsp:val=&quot;00053929&quot;/&gt;&lt;wsp:rsid wsp:val=&quot;00053D16&quot;/&gt;&lt;wsp:rsid wsp:val=&quot;000542EB&quot;/&gt;&lt;wsp:rsid wsp:val=&quot;00055494&quot;/&gt;&lt;wsp:rsid wsp:val=&quot;00055E7C&quot;/&gt;&lt;wsp:rsid wsp:val=&quot;00057362&quot;/&gt;&lt;wsp:rsid wsp:val=&quot;0006068C&quot;/&gt;&lt;wsp:rsid wsp:val=&quot;000607E9&quot;/&gt;&lt;wsp:rsid wsp:val=&quot;00060E7B&quot;/&gt;&lt;wsp:rsid wsp:val=&quot;00061015&quot;/&gt;&lt;wsp:rsid wsp:val=&quot;00061291&quot;/&gt;&lt;wsp:rsid wsp:val=&quot;00061E79&quot;/&gt;&lt;wsp:rsid wsp:val=&quot;000651AC&quot;/&gt;&lt;wsp:rsid wsp:val=&quot;00065535&quot;/&gt;&lt;wsp:rsid wsp:val=&quot;00065AA1&quot;/&gt;&lt;wsp:rsid wsp:val=&quot;00066935&quot;/&gt;&lt;wsp:rsid wsp:val=&quot;00066D09&quot;/&gt;&lt;wsp:rsid wsp:val=&quot;00066D20&quot;/&gt;&lt;wsp:rsid wsp:val=&quot;00067337&quot;/&gt;&lt;wsp:rsid wsp:val=&quot;0006778A&quot;/&gt;&lt;wsp:rsid wsp:val=&quot;00071C67&quot;/&gt;&lt;wsp:rsid wsp:val=&quot;00073073&quot;/&gt;&lt;wsp:rsid wsp:val=&quot;0007307C&quot;/&gt;&lt;wsp:rsid wsp:val=&quot;0007336C&quot;/&gt;&lt;wsp:rsid wsp:val=&quot;00073820&quot;/&gt;&lt;wsp:rsid wsp:val=&quot;00073968&quot;/&gt;&lt;wsp:rsid wsp:val=&quot;0007417C&quot;/&gt;&lt;wsp:rsid wsp:val=&quot;00076795&quot;/&gt;&lt;wsp:rsid wsp:val=&quot;000767ED&quot;/&gt;&lt;wsp:rsid wsp:val=&quot;000769B1&quot;/&gt;&lt;wsp:rsid wsp:val=&quot;00076B44&quot;/&gt;&lt;wsp:rsid wsp:val=&quot;0007792A&quot;/&gt;&lt;wsp:rsid wsp:val=&quot;00077AA6&quot;/&gt;&lt;wsp:rsid wsp:val=&quot;00077E69&quot;/&gt;&lt;wsp:rsid wsp:val=&quot;00077EE6&quot;/&gt;&lt;wsp:rsid wsp:val=&quot;0008018E&quot;/&gt;&lt;wsp:rsid wsp:val=&quot;000801B2&quot;/&gt;&lt;wsp:rsid wsp:val=&quot;0008031B&quot;/&gt;&lt;wsp:rsid wsp:val=&quot;00080770&quot;/&gt;&lt;wsp:rsid wsp:val=&quot;000813AF&quot;/&gt;&lt;wsp:rsid wsp:val=&quot;00081799&quot;/&gt;&lt;wsp:rsid wsp:val=&quot;00081BE6&quot;/&gt;&lt;wsp:rsid wsp:val=&quot;0008270A&quot;/&gt;&lt;wsp:rsid wsp:val=&quot;000832C7&quot;/&gt;&lt;wsp:rsid wsp:val=&quot;000834C3&quot;/&gt;&lt;wsp:rsid wsp:val=&quot;00083E62&quot;/&gt;&lt;wsp:rsid wsp:val=&quot;00084020&quot;/&gt;&lt;wsp:rsid wsp:val=&quot;00084505&quot;/&gt;&lt;wsp:rsid wsp:val=&quot;00084511&quot;/&gt;&lt;wsp:rsid wsp:val=&quot;0008472E&quot;/&gt;&lt;wsp:rsid wsp:val=&quot;0008545C&quot;/&gt;&lt;wsp:rsid wsp:val=&quot;00085FA5&quot;/&gt;&lt;wsp:rsid wsp:val=&quot;00086B43&quot;/&gt;&lt;wsp:rsid wsp:val=&quot;00086C3A&quot;/&gt;&lt;wsp:rsid wsp:val=&quot;0008730F&quot;/&gt;&lt;wsp:rsid wsp:val=&quot;00090342&quot;/&gt;&lt;wsp:rsid wsp:val=&quot;000912F4&quot;/&gt;&lt;wsp:rsid wsp:val=&quot;00091372&quot;/&gt;&lt;wsp:rsid wsp:val=&quot;00091CF0&quot;/&gt;&lt;wsp:rsid wsp:val=&quot;00092992&quot;/&gt;&lt;wsp:rsid wsp:val=&quot;00092E71&quot;/&gt;&lt;wsp:rsid wsp:val=&quot;00093FEE&quot;/&gt;&lt;wsp:rsid wsp:val=&quot;00094027&quot;/&gt;&lt;wsp:rsid wsp:val=&quot;000949E7&quot;/&gt;&lt;wsp:rsid wsp:val=&quot;000956ED&quot;/&gt;&lt;wsp:rsid wsp:val=&quot;00095A34&quot;/&gt;&lt;wsp:rsid wsp:val=&quot;00095A8A&quot;/&gt;&lt;wsp:rsid wsp:val=&quot;000964A7&quot;/&gt;&lt;wsp:rsid wsp:val=&quot;00097536&quot;/&gt;&lt;wsp:rsid wsp:val=&quot;000978B0&quot;/&gt;&lt;wsp:rsid wsp:val=&quot;000A0602&quot;/&gt;&lt;wsp:rsid wsp:val=&quot;000A09E8&quot;/&gt;&lt;wsp:rsid wsp:val=&quot;000A0EE6&quot;/&gt;&lt;wsp:rsid wsp:val=&quot;000A1426&quot;/&gt;&lt;wsp:rsid wsp:val=&quot;000A1695&quot;/&gt;&lt;wsp:rsid wsp:val=&quot;000A1B8B&quot;/&gt;&lt;wsp:rsid wsp:val=&quot;000A1BBD&quot;/&gt;&lt;wsp:rsid wsp:val=&quot;000A1DE5&quot;/&gt;&lt;wsp:rsid wsp:val=&quot;000A1E1B&quot;/&gt;&lt;wsp:rsid wsp:val=&quot;000A379E&quot;/&gt;&lt;wsp:rsid wsp:val=&quot;000A3814&quot;/&gt;&lt;wsp:rsid wsp:val=&quot;000A3C28&quot;/&gt;&lt;wsp:rsid wsp:val=&quot;000A441F&quot;/&gt;&lt;wsp:rsid wsp:val=&quot;000A4AEF&quot;/&gt;&lt;wsp:rsid wsp:val=&quot;000A4B01&quot;/&gt;&lt;wsp:rsid wsp:val=&quot;000A4EBF&quot;/&gt;&lt;wsp:rsid wsp:val=&quot;000A517F&quot;/&gt;&lt;wsp:rsid wsp:val=&quot;000A69FC&quot;/&gt;&lt;wsp:rsid wsp:val=&quot;000A6B84&quot;/&gt;&lt;wsp:rsid wsp:val=&quot;000A6CB3&quot;/&gt;&lt;wsp:rsid wsp:val=&quot;000A6D69&quot;/&gt;&lt;wsp:rsid wsp:val=&quot;000A6D9B&quot;/&gt;&lt;wsp:rsid wsp:val=&quot;000A76AD&quot;/&gt;&lt;wsp:rsid wsp:val=&quot;000A7B2D&quot;/&gt;&lt;wsp:rsid wsp:val=&quot;000B030F&quot;/&gt;&lt;wsp:rsid wsp:val=&quot;000B0432&quot;/&gt;&lt;wsp:rsid wsp:val=&quot;000B0A08&quot;/&gt;&lt;wsp:rsid wsp:val=&quot;000B159E&quot;/&gt;&lt;wsp:rsid wsp:val=&quot;000B1999&quot;/&gt;&lt;wsp:rsid wsp:val=&quot;000B22AD&quot;/&gt;&lt;wsp:rsid wsp:val=&quot;000B2532&quot;/&gt;&lt;wsp:rsid wsp:val=&quot;000B27A4&quot;/&gt;&lt;wsp:rsid wsp:val=&quot;000B2B31&quot;/&gt;&lt;wsp:rsid wsp:val=&quot;000B2CA6&quot;/&gt;&lt;wsp:rsid wsp:val=&quot;000B3609&quot;/&gt;&lt;wsp:rsid wsp:val=&quot;000B4353&quot;/&gt;&lt;wsp:rsid wsp:val=&quot;000B460F&quot;/&gt;&lt;wsp:rsid wsp:val=&quot;000B51A9&quot;/&gt;&lt;wsp:rsid wsp:val=&quot;000B526B&quot;/&gt;&lt;wsp:rsid wsp:val=&quot;000B5768&quot;/&gt;&lt;wsp:rsid wsp:val=&quot;000B6E24&quot;/&gt;&lt;wsp:rsid wsp:val=&quot;000B7A56&quot;/&gt;&lt;wsp:rsid wsp:val=&quot;000B7C9A&quot;/&gt;&lt;wsp:rsid wsp:val=&quot;000C0106&quot;/&gt;&lt;wsp:rsid wsp:val=&quot;000C1811&quot;/&gt;&lt;wsp:rsid wsp:val=&quot;000C255C&quot;/&gt;&lt;wsp:rsid wsp:val=&quot;000C2B90&quot;/&gt;&lt;wsp:rsid wsp:val=&quot;000C2ED7&quot;/&gt;&lt;wsp:rsid wsp:val=&quot;000C3672&quot;/&gt;&lt;wsp:rsid wsp:val=&quot;000C3DB8&quot;/&gt;&lt;wsp:rsid wsp:val=&quot;000C40DA&quot;/&gt;&lt;wsp:rsid wsp:val=&quot;000C4601&quot;/&gt;&lt;wsp:rsid wsp:val=&quot;000C4A30&quot;/&gt;&lt;wsp:rsid wsp:val=&quot;000C4FF4&quot;/&gt;&lt;wsp:rsid wsp:val=&quot;000C55E3&quot;/&gt;&lt;wsp:rsid wsp:val=&quot;000C64AA&quot;/&gt;&lt;wsp:rsid wsp:val=&quot;000C67EA&quot;/&gt;&lt;wsp:rsid wsp:val=&quot;000C731A&quot;/&gt;&lt;wsp:rsid wsp:val=&quot;000C74F4&quot;/&gt;&lt;wsp:rsid wsp:val=&quot;000C7926&quot;/&gt;&lt;wsp:rsid wsp:val=&quot;000D04F4&quot;/&gt;&lt;wsp:rsid wsp:val=&quot;000D083B&quot;/&gt;&lt;wsp:rsid wsp:val=&quot;000D0BA8&quot;/&gt;&lt;wsp:rsid wsp:val=&quot;000D18A5&quot;/&gt;&lt;wsp:rsid wsp:val=&quot;000D190B&quot;/&gt;&lt;wsp:rsid wsp:val=&quot;000D2766&quot;/&gt;&lt;wsp:rsid wsp:val=&quot;000D2A09&quot;/&gt;&lt;wsp:rsid wsp:val=&quot;000D3296&quot;/&gt;&lt;wsp:rsid wsp:val=&quot;000D3536&quot;/&gt;&lt;wsp:rsid wsp:val=&quot;000D3C7B&quot;/&gt;&lt;wsp:rsid wsp:val=&quot;000D5C53&quot;/&gt;&lt;wsp:rsid wsp:val=&quot;000D6F30&quot;/&gt;&lt;wsp:rsid wsp:val=&quot;000D711F&quot;/&gt;&lt;wsp:rsid wsp:val=&quot;000D71AE&quot;/&gt;&lt;wsp:rsid wsp:val=&quot;000E00A6&quot;/&gt;&lt;wsp:rsid wsp:val=&quot;000E0621&quot;/&gt;&lt;wsp:rsid wsp:val=&quot;000E070C&quot;/&gt;&lt;wsp:rsid wsp:val=&quot;000E09D0&quot;/&gt;&lt;wsp:rsid wsp:val=&quot;000E10DF&quot;/&gt;&lt;wsp:rsid wsp:val=&quot;000E1AD0&quot;/&gt;&lt;wsp:rsid wsp:val=&quot;000E1FE6&quot;/&gt;&lt;wsp:rsid wsp:val=&quot;000E22EA&quot;/&gt;&lt;wsp:rsid wsp:val=&quot;000E247A&quot;/&gt;&lt;wsp:rsid wsp:val=&quot;000E269C&quot;/&gt;&lt;wsp:rsid wsp:val=&quot;000E2BFA&quot;/&gt;&lt;wsp:rsid wsp:val=&quot;000E2E62&quot;/&gt;&lt;wsp:rsid wsp:val=&quot;000E2F8E&quot;/&gt;&lt;wsp:rsid wsp:val=&quot;000E308A&quot;/&gt;&lt;wsp:rsid wsp:val=&quot;000E3195&quot;/&gt;&lt;wsp:rsid wsp:val=&quot;000E3256&quot;/&gt;&lt;wsp:rsid wsp:val=&quot;000E41AF&quot;/&gt;&lt;wsp:rsid wsp:val=&quot;000E4F04&quot;/&gt;&lt;wsp:rsid wsp:val=&quot;000E4F60&quot;/&gt;&lt;wsp:rsid wsp:val=&quot;000E5BC0&quot;/&gt;&lt;wsp:rsid wsp:val=&quot;000E6636&quot;/&gt;&lt;wsp:rsid wsp:val=&quot;000E6D43&quot;/&gt;&lt;wsp:rsid wsp:val=&quot;000E6FAF&quot;/&gt;&lt;wsp:rsid wsp:val=&quot;000E7571&quot;/&gt;&lt;wsp:rsid wsp:val=&quot;000E78EA&quot;/&gt;&lt;wsp:rsid wsp:val=&quot;000F0482&quot;/&gt;&lt;wsp:rsid wsp:val=&quot;000F1502&quot;/&gt;&lt;wsp:rsid wsp:val=&quot;000F1CFA&quot;/&gt;&lt;wsp:rsid wsp:val=&quot;000F232F&quot;/&gt;&lt;wsp:rsid wsp:val=&quot;000F2DB7&quot;/&gt;&lt;wsp:rsid wsp:val=&quot;000F38A7&quot;/&gt;&lt;wsp:rsid wsp:val=&quot;000F3AA5&quot;/&gt;&lt;wsp:rsid wsp:val=&quot;000F43A2&quot;/&gt;&lt;wsp:rsid wsp:val=&quot;000F46C3&quot;/&gt;&lt;wsp:rsid wsp:val=&quot;000F5199&quot;/&gt;&lt;wsp:rsid wsp:val=&quot;000F5478&quot;/&gt;&lt;wsp:rsid wsp:val=&quot;000F5547&quot;/&gt;&lt;wsp:rsid wsp:val=&quot;000F568F&quot;/&gt;&lt;wsp:rsid wsp:val=&quot;000F730D&quot;/&gt;&lt;wsp:rsid wsp:val=&quot;000F7FD5&quot;/&gt;&lt;wsp:rsid wsp:val=&quot;00100B3A&quot;/&gt;&lt;wsp:rsid wsp:val=&quot;00102291&quot;/&gt;&lt;wsp:rsid wsp:val=&quot;001025DF&quot;/&gt;&lt;wsp:rsid wsp:val=&quot;00102B18&quot;/&gt;&lt;wsp:rsid wsp:val=&quot;00102B1D&quot;/&gt;&lt;wsp:rsid wsp:val=&quot;001036E9&quot;/&gt;&lt;wsp:rsid wsp:val=&quot;001038F1&quot;/&gt;&lt;wsp:rsid wsp:val=&quot;00103C8B&quot;/&gt;&lt;wsp:rsid wsp:val=&quot;00104AAA&quot;/&gt;&lt;wsp:rsid wsp:val=&quot;00104F9E&quot;/&gt;&lt;wsp:rsid wsp:val=&quot;001052D7&quot;/&gt;&lt;wsp:rsid wsp:val=&quot;001059AA&quot;/&gt;&lt;wsp:rsid wsp:val=&quot;001065EB&quot;/&gt;&lt;wsp:rsid wsp:val=&quot;00106B05&quot;/&gt;&lt;wsp:rsid wsp:val=&quot;001078D0&quot;/&gt;&lt;wsp:rsid wsp:val=&quot;00107B3E&quot;/&gt;&lt;wsp:rsid wsp:val=&quot;0011031E&quot;/&gt;&lt;wsp:rsid wsp:val=&quot;00110481&quot;/&gt;&lt;wsp:rsid wsp:val=&quot;00110581&quot;/&gt;&lt;wsp:rsid wsp:val=&quot;00110BD4&quot;/&gt;&lt;wsp:rsid wsp:val=&quot;00110FA6&quot;/&gt;&lt;wsp:rsid wsp:val=&quot;001110E9&quot;/&gt;&lt;wsp:rsid wsp:val=&quot;0011117B&quot;/&gt;&lt;wsp:rsid wsp:val=&quot;001113C4&quot;/&gt;&lt;wsp:rsid wsp:val=&quot;00112634&quot;/&gt;&lt;wsp:rsid wsp:val=&quot;00112B88&quot;/&gt;&lt;wsp:rsid wsp:val=&quot;00112FBB&quot;/&gt;&lt;wsp:rsid wsp:val=&quot;00113313&quot;/&gt;&lt;wsp:rsid wsp:val=&quot;00113522&quot;/&gt;&lt;wsp:rsid wsp:val=&quot;001138BE&quot;/&gt;&lt;wsp:rsid wsp:val=&quot;001141E8&quot;/&gt;&lt;wsp:rsid wsp:val=&quot;001150D6&quot;/&gt;&lt;wsp:rsid wsp:val=&quot;001155A5&quot;/&gt;&lt;wsp:rsid wsp:val=&quot;00115910&quot;/&gt;&lt;wsp:rsid wsp:val=&quot;00115BF8&quot;/&gt;&lt;wsp:rsid wsp:val=&quot;00115E53&quot;/&gt;&lt;wsp:rsid wsp:val=&quot;00115F09&quot;/&gt;&lt;wsp:rsid wsp:val=&quot;001163A5&quot;/&gt;&lt;wsp:rsid wsp:val=&quot;00116EB0&quot;/&gt;&lt;wsp:rsid wsp:val=&quot;0011784B&quot;/&gt;&lt;wsp:rsid wsp:val=&quot;001178BE&quot;/&gt;&lt;wsp:rsid wsp:val=&quot;001212FA&quot;/&gt;&lt;wsp:rsid wsp:val=&quot;00121313&quot;/&gt;&lt;wsp:rsid wsp:val=&quot;00121939&quot;/&gt;&lt;wsp:rsid wsp:val=&quot;00121F01&quot;/&gt;&lt;wsp:rsid wsp:val=&quot;00122665&quot;/&gt;&lt;wsp:rsid wsp:val=&quot;00122A9D&quot;/&gt;&lt;wsp:rsid wsp:val=&quot;00122B93&quot;/&gt;&lt;wsp:rsid wsp:val=&quot;00122E64&quot;/&gt;&lt;wsp:rsid wsp:val=&quot;00123142&quot;/&gt;&lt;wsp:rsid wsp:val=&quot;001237C5&quot;/&gt;&lt;wsp:rsid wsp:val=&quot;0012381F&quot;/&gt;&lt;wsp:rsid wsp:val=&quot;00123870&quot;/&gt;&lt;wsp:rsid wsp:val=&quot;00123AAE&quot;/&gt;&lt;wsp:rsid wsp:val=&quot;00123C77&quot;/&gt;&lt;wsp:rsid wsp:val=&quot;0012483D&quot;/&gt;&lt;wsp:rsid wsp:val=&quot;0012497E&quot;/&gt;&lt;wsp:rsid wsp:val=&quot;00124DA4&quot;/&gt;&lt;wsp:rsid wsp:val=&quot;00125440&quot;/&gt;&lt;wsp:rsid wsp:val=&quot;00125623&quot;/&gt;&lt;wsp:rsid wsp:val=&quot;001256F6&quot;/&gt;&lt;wsp:rsid wsp:val=&quot;00125847&quot;/&gt;&lt;wsp:rsid wsp:val=&quot;001269E2&quot;/&gt;&lt;wsp:rsid wsp:val=&quot;001277F0&quot;/&gt;&lt;wsp:rsid wsp:val=&quot;00127FAF&quot;/&gt;&lt;wsp:rsid wsp:val=&quot;001303DA&quot;/&gt;&lt;wsp:rsid wsp:val=&quot;00131746&quot;/&gt;&lt;wsp:rsid wsp:val=&quot;00131916&quot;/&gt;&lt;wsp:rsid wsp:val=&quot;00131CE3&quot;/&gt;&lt;wsp:rsid wsp:val=&quot;001320AC&quot;/&gt;&lt;wsp:rsid wsp:val=&quot;00132706&quot;/&gt;&lt;wsp:rsid wsp:val=&quot;001332F3&quot;/&gt;&lt;wsp:rsid wsp:val=&quot;00133FB1&quot;/&gt;&lt;wsp:rsid wsp:val=&quot;001347A8&quot;/&gt;&lt;wsp:rsid wsp:val=&quot;00134957&quot;/&gt;&lt;wsp:rsid wsp:val=&quot;00134E3A&quot;/&gt;&lt;wsp:rsid wsp:val=&quot;001357D8&quot;/&gt;&lt;wsp:rsid wsp:val=&quot;0013614D&quot;/&gt;&lt;wsp:rsid wsp:val=&quot;0013697D&quot;/&gt;&lt;wsp:rsid wsp:val=&quot;00137258&quot;/&gt;&lt;wsp:rsid wsp:val=&quot;00137DAF&quot;/&gt;&lt;wsp:rsid wsp:val=&quot;00137E71&quot;/&gt;&lt;wsp:rsid wsp:val=&quot;00140A1E&quot;/&gt;&lt;wsp:rsid wsp:val=&quot;00140FD8&quot;/&gt;&lt;wsp:rsid wsp:val=&quot;0014115B&quot;/&gt;&lt;wsp:rsid wsp:val=&quot;001419AA&quot;/&gt;&lt;wsp:rsid wsp:val=&quot;00142075&quot;/&gt;&lt;wsp:rsid wsp:val=&quot;001425E3&quot;/&gt;&lt;wsp:rsid wsp:val=&quot;0014264A&quot;/&gt;&lt;wsp:rsid wsp:val=&quot;00142EA2&quot;/&gt;&lt;wsp:rsid wsp:val=&quot;0014322C&quot;/&gt;&lt;wsp:rsid wsp:val=&quot;00143E5D&quot;/&gt;&lt;wsp:rsid wsp:val=&quot;00143E89&quot;/&gt;&lt;wsp:rsid wsp:val=&quot;001441A1&quot;/&gt;&lt;wsp:rsid wsp:val=&quot;00144EB8&quot;/&gt;&lt;wsp:rsid wsp:val=&quot;00145FC2&quot;/&gt;&lt;wsp:rsid wsp:val=&quot;001462C9&quot;/&gt;&lt;wsp:rsid wsp:val=&quot;00146534&quot;/&gt;&lt;wsp:rsid wsp:val=&quot;00147013&quot;/&gt;&lt;wsp:rsid wsp:val=&quot;00147072&quot;/&gt;&lt;wsp:rsid wsp:val=&quot;00147AC1&quot;/&gt;&lt;wsp:rsid wsp:val=&quot;001504DC&quot;/&gt;&lt;wsp:rsid wsp:val=&quot;00152035&quot;/&gt;&lt;wsp:rsid wsp:val=&quot;00152C0A&quot;/&gt;&lt;wsp:rsid wsp:val=&quot;00152FA7&quot;/&gt;&lt;wsp:rsid wsp:val=&quot;00153189&quot;/&gt;&lt;wsp:rsid wsp:val=&quot;00153625&quot;/&gt;&lt;wsp:rsid wsp:val=&quot;0015386F&quot;/&gt;&lt;wsp:rsid wsp:val=&quot;00154FE0&quot;/&gt;&lt;wsp:rsid wsp:val=&quot;00155198&quot;/&gt;&lt;wsp:rsid wsp:val=&quot;0015543B&quot;/&gt;&lt;wsp:rsid wsp:val=&quot;001562E0&quot;/&gt;&lt;wsp:rsid wsp:val=&quot;0015673E&quot;/&gt;&lt;wsp:rsid wsp:val=&quot;00160072&quot;/&gt;&lt;wsp:rsid wsp:val=&quot;0016094A&quot;/&gt;&lt;wsp:rsid wsp:val=&quot;00161CB5&quot;/&gt;&lt;wsp:rsid wsp:val=&quot;00161E46&quot;/&gt;&lt;wsp:rsid wsp:val=&quot;001622AF&quot;/&gt;&lt;wsp:rsid wsp:val=&quot;001626DF&quot;/&gt;&lt;wsp:rsid wsp:val=&quot;00162D49&quot;/&gt;&lt;wsp:rsid wsp:val=&quot;00163819&quot;/&gt;&lt;wsp:rsid wsp:val=&quot;0016386C&quot;/&gt;&lt;wsp:rsid wsp:val=&quot;001639F1&quot;/&gt;&lt;wsp:rsid wsp:val=&quot;00163C3C&quot;/&gt;&lt;wsp:rsid wsp:val=&quot;00164B9A&quot;/&gt;&lt;wsp:rsid wsp:val=&quot;00164CB8&quot;/&gt;&lt;wsp:rsid wsp:val=&quot;001654D0&quot;/&gt;&lt;wsp:rsid wsp:val=&quot;0016555D&quot;/&gt;&lt;wsp:rsid wsp:val=&quot;001656B9&quot;/&gt;&lt;wsp:rsid wsp:val=&quot;001658D1&quot;/&gt;&lt;wsp:rsid wsp:val=&quot;00165A87&quot;/&gt;&lt;wsp:rsid wsp:val=&quot;00165F67&quot;/&gt;&lt;wsp:rsid wsp:val=&quot;00166A55&quot;/&gt;&lt;wsp:rsid wsp:val=&quot;0016716A&quot;/&gt;&lt;wsp:rsid wsp:val=&quot;00167851&quot;/&gt;&lt;wsp:rsid wsp:val=&quot;00170596&quot;/&gt;&lt;wsp:rsid wsp:val=&quot;00170E3F&quot;/&gt;&lt;wsp:rsid wsp:val=&quot;001717D5&quot;/&gt;&lt;wsp:rsid wsp:val=&quot;00171AA9&quot;/&gt;&lt;wsp:rsid wsp:val=&quot;0017390A&quot;/&gt;&lt;wsp:rsid wsp:val=&quot;00173AC4&quot;/&gt;&lt;wsp:rsid wsp:val=&quot;00173AF0&quot;/&gt;&lt;wsp:rsid wsp:val=&quot;0017577F&quot;/&gt;&lt;wsp:rsid wsp:val=&quot;00175B00&quot;/&gt;&lt;wsp:rsid wsp:val=&quot;00176C04&quot;/&gt;&lt;wsp:rsid wsp:val=&quot;001776E9&quot;/&gt;&lt;wsp:rsid wsp:val=&quot;00177789&quot;/&gt;&lt;wsp:rsid wsp:val=&quot;00180408&quot;/&gt;&lt;wsp:rsid wsp:val=&quot;001804F1&quot;/&gt;&lt;wsp:rsid wsp:val=&quot;0018068D&quot;/&gt;&lt;wsp:rsid wsp:val=&quot;00180A4A&quot;/&gt;&lt;wsp:rsid wsp:val=&quot;00181504&quot;/&gt;&lt;wsp:rsid wsp:val=&quot;00181843&quot;/&gt;&lt;wsp:rsid wsp:val=&quot;00182310&quot;/&gt;&lt;wsp:rsid wsp:val=&quot;00182B66&quot;/&gt;&lt;wsp:rsid wsp:val=&quot;00182BC7&quot;/&gt;&lt;wsp:rsid wsp:val=&quot;00183243&quot;/&gt;&lt;wsp:rsid wsp:val=&quot;00183570&quot;/&gt;&lt;wsp:rsid wsp:val=&quot;00183B5B&quot;/&gt;&lt;wsp:rsid wsp:val=&quot;001841BA&quot;/&gt;&lt;wsp:rsid wsp:val=&quot;0018499E&quot;/&gt;&lt;wsp:rsid wsp:val=&quot;00184FC6&quot;/&gt;&lt;wsp:rsid wsp:val=&quot;0018522D&quot;/&gt;&lt;wsp:rsid wsp:val=&quot;00185355&quot;/&gt;&lt;wsp:rsid wsp:val=&quot;001864AD&quot;/&gt;&lt;wsp:rsid wsp:val=&quot;00186551&quot;/&gt;&lt;wsp:rsid wsp:val=&quot;001873DA&quot;/&gt;&lt;wsp:rsid wsp:val=&quot;00187426&quot;/&gt;&lt;wsp:rsid wsp:val=&quot;00187BF7&quot;/&gt;&lt;wsp:rsid wsp:val=&quot;0019161C&quot;/&gt;&lt;wsp:rsid wsp:val=&quot;00191A30&quot;/&gt;&lt;wsp:rsid wsp:val=&quot;00191EC3&quot;/&gt;&lt;wsp:rsid wsp:val=&quot;001922E7&quot;/&gt;&lt;wsp:rsid wsp:val=&quot;00192B6C&quot;/&gt;&lt;wsp:rsid wsp:val=&quot;00193DD5&quot;/&gt;&lt;wsp:rsid wsp:val=&quot;00194325&quot;/&gt;&lt;wsp:rsid wsp:val=&quot;001943E7&quot;/&gt;&lt;wsp:rsid wsp:val=&quot;00194621&quot;/&gt;&lt;wsp:rsid wsp:val=&quot;0019489B&quot;/&gt;&lt;wsp:rsid wsp:val=&quot;00194CB1&quot;/&gt;&lt;wsp:rsid wsp:val=&quot;00195532&quot;/&gt;&lt;wsp:rsid wsp:val=&quot;00195C98&quot;/&gt;&lt;wsp:rsid wsp:val=&quot;00196616&quot;/&gt;&lt;wsp:rsid wsp:val=&quot;00196BCC&quot;/&gt;&lt;wsp:rsid wsp:val=&quot;00196C78&quot;/&gt;&lt;wsp:rsid wsp:val=&quot;00196D13&quot;/&gt;&lt;wsp:rsid wsp:val=&quot;001A01DD&quot;/&gt;&lt;wsp:rsid wsp:val=&quot;001A145D&quot;/&gt;&lt;wsp:rsid wsp:val=&quot;001A1DCB&quot;/&gt;&lt;wsp:rsid wsp:val=&quot;001A2362&quot;/&gt;&lt;wsp:rsid wsp:val=&quot;001A3175&quot;/&gt;&lt;wsp:rsid wsp:val=&quot;001A3991&quot;/&gt;&lt;wsp:rsid wsp:val=&quot;001A3AB0&quot;/&gt;&lt;wsp:rsid wsp:val=&quot;001A3AC2&quot;/&gt;&lt;wsp:rsid wsp:val=&quot;001A4289&quot;/&gt;&lt;wsp:rsid wsp:val=&quot;001A4925&quot;/&gt;&lt;wsp:rsid wsp:val=&quot;001A49CC&quot;/&gt;&lt;wsp:rsid wsp:val=&quot;001A4CBE&quot;/&gt;&lt;wsp:rsid wsp:val=&quot;001A5DF2&quot;/&gt;&lt;wsp:rsid wsp:val=&quot;001A5E01&quot;/&gt;&lt;wsp:rsid wsp:val=&quot;001A63CB&quot;/&gt;&lt;wsp:rsid wsp:val=&quot;001A667C&quot;/&gt;&lt;wsp:rsid wsp:val=&quot;001A6A83&quot;/&gt;&lt;wsp:rsid wsp:val=&quot;001A6E59&quot;/&gt;&lt;wsp:rsid wsp:val=&quot;001A77F0&quot;/&gt;&lt;wsp:rsid wsp:val=&quot;001A7C86&quot;/&gt;&lt;wsp:rsid wsp:val=&quot;001A7E41&quot;/&gt;&lt;wsp:rsid wsp:val=&quot;001B0240&quot;/&gt;&lt;wsp:rsid wsp:val=&quot;001B0381&quot;/&gt;&lt;wsp:rsid wsp:val=&quot;001B057D&quot;/&gt;&lt;wsp:rsid wsp:val=&quot;001B0F8E&quot;/&gt;&lt;wsp:rsid wsp:val=&quot;001B0FDC&quot;/&gt;&lt;wsp:rsid wsp:val=&quot;001B1161&quot;/&gt;&lt;wsp:rsid wsp:val=&quot;001B242D&quot;/&gt;&lt;wsp:rsid wsp:val=&quot;001B303F&quot;/&gt;&lt;wsp:rsid wsp:val=&quot;001B350E&quot;/&gt;&lt;wsp:rsid wsp:val=&quot;001B3D2B&quot;/&gt;&lt;wsp:rsid wsp:val=&quot;001B414E&quot;/&gt;&lt;wsp:rsid wsp:val=&quot;001B45A7&quot;/&gt;&lt;wsp:rsid wsp:val=&quot;001B49BD&quot;/&gt;&lt;wsp:rsid wsp:val=&quot;001B4F87&quot;/&gt;&lt;wsp:rsid wsp:val=&quot;001B5B72&quot;/&gt;&lt;wsp:rsid wsp:val=&quot;001B5DB3&quot;/&gt;&lt;wsp:rsid wsp:val=&quot;001B6C94&quot;/&gt;&lt;wsp:rsid wsp:val=&quot;001B78E8&quot;/&gt;&lt;wsp:rsid wsp:val=&quot;001B7B51&quot;/&gt;&lt;wsp:rsid wsp:val=&quot;001B7CFA&quot;/&gt;&lt;wsp:rsid wsp:val=&quot;001C0299&quot;/&gt;&lt;wsp:rsid wsp:val=&quot;001C0576&quot;/&gt;&lt;wsp:rsid wsp:val=&quot;001C2936&quot;/&gt;&lt;wsp:rsid wsp:val=&quot;001C293D&quot;/&gt;&lt;wsp:rsid wsp:val=&quot;001C2BB5&quot;/&gt;&lt;wsp:rsid wsp:val=&quot;001C46C1&quot;/&gt;&lt;wsp:rsid wsp:val=&quot;001C49D5&quot;/&gt;&lt;wsp:rsid wsp:val=&quot;001C4CA4&quot;/&gt;&lt;wsp:rsid wsp:val=&quot;001C501D&quot;/&gt;&lt;wsp:rsid wsp:val=&quot;001C5760&quot;/&gt;&lt;wsp:rsid wsp:val=&quot;001C7159&quot;/&gt;&lt;wsp:rsid wsp:val=&quot;001C71AE&quot;/&gt;&lt;wsp:rsid wsp:val=&quot;001C71D0&quot;/&gt;&lt;wsp:rsid wsp:val=&quot;001C72F6&quot;/&gt;&lt;wsp:rsid wsp:val=&quot;001D011D&quot;/&gt;&lt;wsp:rsid wsp:val=&quot;001D0496&quot;/&gt;&lt;wsp:rsid wsp:val=&quot;001D1C2E&quot;/&gt;&lt;wsp:rsid wsp:val=&quot;001D22AC&quot;/&gt;&lt;wsp:rsid wsp:val=&quot;001D2BCE&quot;/&gt;&lt;wsp:rsid wsp:val=&quot;001D33EB&quot;/&gt;&lt;wsp:rsid wsp:val=&quot;001D3722&quot;/&gt;&lt;wsp:rsid wsp:val=&quot;001D3E1C&quot;/&gt;&lt;wsp:rsid wsp:val=&quot;001D45CE&quot;/&gt;&lt;wsp:rsid wsp:val=&quot;001D462B&quot;/&gt;&lt;wsp:rsid wsp:val=&quot;001D4D3B&quot;/&gt;&lt;wsp:rsid wsp:val=&quot;001D53FF&quot;/&gt;&lt;wsp:rsid wsp:val=&quot;001D5B96&quot;/&gt;&lt;wsp:rsid wsp:val=&quot;001D6A76&quot;/&gt;&lt;wsp:rsid wsp:val=&quot;001D7455&quot;/&gt;&lt;wsp:rsid wsp:val=&quot;001E00E6&quot;/&gt;&lt;wsp:rsid wsp:val=&quot;001E059A&quot;/&gt;&lt;wsp:rsid wsp:val=&quot;001E06CC&quot;/&gt;&lt;wsp:rsid wsp:val=&quot;001E0A35&quot;/&gt;&lt;wsp:rsid wsp:val=&quot;001E10DD&quot;/&gt;&lt;wsp:rsid wsp:val=&quot;001E1137&quot;/&gt;&lt;wsp:rsid wsp:val=&quot;001E1304&quot;/&gt;&lt;wsp:rsid wsp:val=&quot;001E1E8F&quot;/&gt;&lt;wsp:rsid wsp:val=&quot;001E22E9&quot;/&gt;&lt;wsp:rsid wsp:val=&quot;001E27CF&quot;/&gt;&lt;wsp:rsid wsp:val=&quot;001E2D0F&quot;/&gt;&lt;wsp:rsid wsp:val=&quot;001E2ED8&quot;/&gt;&lt;wsp:rsid wsp:val=&quot;001E3301&quot;/&gt;&lt;wsp:rsid wsp:val=&quot;001E3494&quot;/&gt;&lt;wsp:rsid wsp:val=&quot;001E37F5&quot;/&gt;&lt;wsp:rsid wsp:val=&quot;001E3A1C&quot;/&gt;&lt;wsp:rsid wsp:val=&quot;001E3BA7&quot;/&gt;&lt;wsp:rsid wsp:val=&quot;001E3FFE&quot;/&gt;&lt;wsp:rsid wsp:val=&quot;001E4752&quot;/&gt;&lt;wsp:rsid wsp:val=&quot;001E4CBB&quot;/&gt;&lt;wsp:rsid wsp:val=&quot;001E5188&quot;/&gt;&lt;wsp:rsid wsp:val=&quot;001E52AC&quot;/&gt;&lt;wsp:rsid wsp:val=&quot;001E5471&quot;/&gt;&lt;wsp:rsid wsp:val=&quot;001E6E95&quot;/&gt;&lt;wsp:rsid wsp:val=&quot;001E7432&quot;/&gt;&lt;wsp:rsid wsp:val=&quot;001F0903&quot;/&gt;&lt;wsp:rsid wsp:val=&quot;001F0C86&quot;/&gt;&lt;wsp:rsid wsp:val=&quot;001F15C1&quot;/&gt;&lt;wsp:rsid wsp:val=&quot;001F1ED6&quot;/&gt;&lt;wsp:rsid wsp:val=&quot;001F2049&quot;/&gt;&lt;wsp:rsid wsp:val=&quot;001F2A3B&quot;/&gt;&lt;wsp:rsid wsp:val=&quot;001F30D1&quot;/&gt;&lt;wsp:rsid wsp:val=&quot;001F328B&quot;/&gt;&lt;wsp:rsid wsp:val=&quot;001F38E0&quot;/&gt;&lt;wsp:rsid wsp:val=&quot;001F40D9&quot;/&gt;&lt;wsp:rsid wsp:val=&quot;001F4DB8&quot;/&gt;&lt;wsp:rsid wsp:val=&quot;001F4DBB&quot;/&gt;&lt;wsp:rsid wsp:val=&quot;001F4EC5&quot;/&gt;&lt;wsp:rsid wsp:val=&quot;001F551D&quot;/&gt;&lt;wsp:rsid wsp:val=&quot;001F5818&quot;/&gt;&lt;wsp:rsid wsp:val=&quot;001F5D7F&quot;/&gt;&lt;wsp:rsid wsp:val=&quot;001F659C&quot;/&gt;&lt;wsp:rsid wsp:val=&quot;001F6D07&quot;/&gt;&lt;wsp:rsid wsp:val=&quot;001F7840&quot;/&gt;&lt;wsp:rsid wsp:val=&quot;001F7CD9&quot;/&gt;&lt;wsp:rsid wsp:val=&quot;001F7E86&quot;/&gt;&lt;wsp:rsid wsp:val=&quot;00200116&quot;/&gt;&lt;wsp:rsid wsp:val=&quot;00200896&quot;/&gt;&lt;wsp:rsid wsp:val=&quot;00201D77&quot;/&gt;&lt;wsp:rsid wsp:val=&quot;0020457C&quot;/&gt;&lt;wsp:rsid wsp:val=&quot;00204753&quot;/&gt;&lt;wsp:rsid wsp:val=&quot;002047CC&quot;/&gt;&lt;wsp:rsid wsp:val=&quot;002063CB&quot;/&gt;&lt;wsp:rsid wsp:val=&quot;0020670E&quot;/&gt;&lt;wsp:rsid wsp:val=&quot;00206D9A&quot;/&gt;&lt;wsp:rsid wsp:val=&quot;002074D8&quot;/&gt;&lt;wsp:rsid wsp:val=&quot;00210F0D&quot;/&gt;&lt;wsp:rsid wsp:val=&quot;0021124E&quot;/&gt;&lt;wsp:rsid wsp:val=&quot;00211356&quot;/&gt;&lt;wsp:rsid wsp:val=&quot;00211B4D&quot;/&gt;&lt;wsp:rsid wsp:val=&quot;00212849&quot;/&gt;&lt;wsp:rsid wsp:val=&quot;00212D8A&quot;/&gt;&lt;wsp:rsid wsp:val=&quot;002134C1&quot;/&gt;&lt;wsp:rsid wsp:val=&quot;0021365F&quot;/&gt;&lt;wsp:rsid wsp:val=&quot;00213DA2&quot;/&gt;&lt;wsp:rsid wsp:val=&quot;0021445A&quot;/&gt;&lt;wsp:rsid wsp:val=&quot;00214B29&quot;/&gt;&lt;wsp:rsid wsp:val=&quot;002150A5&quot;/&gt;&lt;wsp:rsid wsp:val=&quot;00215447&quot;/&gt;&lt;wsp:rsid wsp:val=&quot;0021573A&quot;/&gt;&lt;wsp:rsid wsp:val=&quot;00216498&quot;/&gt;&lt;wsp:rsid wsp:val=&quot;00216F14&quot;/&gt;&lt;wsp:rsid wsp:val=&quot;00216F66&quot;/&gt;&lt;wsp:rsid wsp:val=&quot;00217EC1&quot;/&gt;&lt;wsp:rsid wsp:val=&quot;00220319&quot;/&gt;&lt;wsp:rsid wsp:val=&quot;00220384&quot;/&gt;&lt;wsp:rsid wsp:val=&quot;002214DE&quot;/&gt;&lt;wsp:rsid wsp:val=&quot;00221D0D&quot;/&gt;&lt;wsp:rsid wsp:val=&quot;00223081&quot;/&gt;&lt;wsp:rsid wsp:val=&quot;002235CE&quot;/&gt;&lt;wsp:rsid wsp:val=&quot;00223765&quot;/&gt;&lt;wsp:rsid wsp:val=&quot;00223D3D&quot;/&gt;&lt;wsp:rsid wsp:val=&quot;002240E2&quot;/&gt;&lt;wsp:rsid wsp:val=&quot;002248A2&quot;/&gt;&lt;wsp:rsid wsp:val=&quot;00224B97&quot;/&gt;&lt;wsp:rsid wsp:val=&quot;00225737&quot;/&gt;&lt;wsp:rsid wsp:val=&quot;00225BAC&quot;/&gt;&lt;wsp:rsid wsp:val=&quot;00225E7B&quot;/&gt;&lt;wsp:rsid wsp:val=&quot;002262C8&quot;/&gt;&lt;wsp:rsid wsp:val=&quot;00226D0D&quot;/&gt;&lt;wsp:rsid wsp:val=&quot;00230580&quot;/&gt;&lt;wsp:rsid wsp:val=&quot;00230690&quot;/&gt;&lt;wsp:rsid wsp:val=&quot;0023118B&quot;/&gt;&lt;wsp:rsid wsp:val=&quot;0023170B&quot;/&gt;&lt;wsp:rsid wsp:val=&quot;002319CE&quot;/&gt;&lt;wsp:rsid wsp:val=&quot;00232929&quot;/&gt;&lt;wsp:rsid wsp:val=&quot;00232A6A&quot;/&gt;&lt;wsp:rsid wsp:val=&quot;00232ECB&quot;/&gt;&lt;wsp:rsid wsp:val=&quot;002348B4&quot;/&gt;&lt;wsp:rsid wsp:val=&quot;00234A37&quot;/&gt;&lt;wsp:rsid wsp:val=&quot;00234A76&quot;/&gt;&lt;wsp:rsid wsp:val=&quot;00234CE2&quot;/&gt;&lt;wsp:rsid wsp:val=&quot;00234E13&quot;/&gt;&lt;wsp:rsid wsp:val=&quot;00235B55&quot;/&gt;&lt;wsp:rsid wsp:val=&quot;002366FC&quot;/&gt;&lt;wsp:rsid wsp:val=&quot;0023673F&quot;/&gt;&lt;wsp:rsid wsp:val=&quot;00237567&quot;/&gt;&lt;wsp:rsid wsp:val=&quot;00237D21&quot;/&gt;&lt;wsp:rsid wsp:val=&quot;00240F3E&quot;/&gt;&lt;wsp:rsid wsp:val=&quot;002414E0&quot;/&gt;&lt;wsp:rsid wsp:val=&quot;00241859&quot;/&gt;&lt;wsp:rsid wsp:val=&quot;00242262&quot;/&gt;&lt;wsp:rsid wsp:val=&quot;00242BFB&quot;/&gt;&lt;wsp:rsid wsp:val=&quot;00243771&quot;/&gt;&lt;wsp:rsid wsp:val=&quot;0024377D&quot;/&gt;&lt;wsp:rsid wsp:val=&quot;00243A4E&quot;/&gt;&lt;wsp:rsid wsp:val=&quot;0024455A&quot;/&gt;&lt;wsp:rsid wsp:val=&quot;0024465A&quot;/&gt;&lt;wsp:rsid wsp:val=&quot;00244739&quot;/&gt;&lt;wsp:rsid wsp:val=&quot;002450CD&quot;/&gt;&lt;wsp:rsid wsp:val=&quot;00245382&quot;/&gt;&lt;wsp:rsid wsp:val=&quot;002455AC&quot;/&gt;&lt;wsp:rsid wsp:val=&quot;00246901&quot;/&gt;&lt;wsp:rsid wsp:val=&quot;002475CE&quot;/&gt;&lt;wsp:rsid wsp:val=&quot;0025006A&quot;/&gt;&lt;wsp:rsid wsp:val=&quot;00250277&quot;/&gt;&lt;wsp:rsid wsp:val=&quot;00250C7E&quot;/&gt;&lt;wsp:rsid wsp:val=&quot;0025161A&quot;/&gt;&lt;wsp:rsid wsp:val=&quot;00251659&quot;/&gt;&lt;wsp:rsid wsp:val=&quot;002516E9&quot;/&gt;&lt;wsp:rsid wsp:val=&quot;00251F79&quot;/&gt;&lt;wsp:rsid wsp:val=&quot;002536D9&quot;/&gt;&lt;wsp:rsid wsp:val=&quot;00253919&quot;/&gt;&lt;wsp:rsid wsp:val=&quot;002539C6&quot;/&gt;&lt;wsp:rsid wsp:val=&quot;0025436F&quot;/&gt;&lt;wsp:rsid wsp:val=&quot;002554A2&quot;/&gt;&lt;wsp:rsid wsp:val=&quot;00255743&quot;/&gt;&lt;wsp:rsid wsp:val=&quot;00257146&quot;/&gt;&lt;wsp:rsid wsp:val=&quot;00257577&quot;/&gt;&lt;wsp:rsid wsp:val=&quot;0025775C&quot;/&gt;&lt;wsp:rsid wsp:val=&quot;0025782B&quot;/&gt;&lt;wsp:rsid wsp:val=&quot;002606D9&quot;/&gt;&lt;wsp:rsid wsp:val=&quot;002608F6&quot;/&gt;&lt;wsp:rsid wsp:val=&quot;00260CC8&quot;/&gt;&lt;wsp:rsid wsp:val=&quot;00261540&quot;/&gt;&lt;wsp:rsid wsp:val=&quot;0026186F&quot;/&gt;&lt;wsp:rsid wsp:val=&quot;0026193B&quot;/&gt;&lt;wsp:rsid wsp:val=&quot;00263AD7&quot;/&gt;&lt;wsp:rsid wsp:val=&quot;00263B83&quot;/&gt;&lt;wsp:rsid wsp:val=&quot;0026424F&quot;/&gt;&lt;wsp:rsid wsp:val=&quot;002642B5&quot;/&gt;&lt;wsp:rsid wsp:val=&quot;0026435C&quot;/&gt;&lt;wsp:rsid wsp:val=&quot;0026461A&quot;/&gt;&lt;wsp:rsid wsp:val=&quot;0026465C&quot;/&gt;&lt;wsp:rsid wsp:val=&quot;00264825&quot;/&gt;&lt;wsp:rsid wsp:val=&quot;00264BE6&quot;/&gt;&lt;wsp:rsid wsp:val=&quot;00264D53&quot;/&gt;&lt;wsp:rsid wsp:val=&quot;00264DF8&quot;/&gt;&lt;wsp:rsid wsp:val=&quot;00265A5A&quot;/&gt;&lt;wsp:rsid wsp:val=&quot;00265EA8&quot;/&gt;&lt;wsp:rsid wsp:val=&quot;00266DA9&quot;/&gt;&lt;wsp:rsid wsp:val=&quot;0026717A&quot;/&gt;&lt;wsp:rsid wsp:val=&quot;00267517&quot;/&gt;&lt;wsp:rsid wsp:val=&quot;0027090F&quot;/&gt;&lt;wsp:rsid wsp:val=&quot;00270F9D&quot;/&gt;&lt;wsp:rsid wsp:val=&quot;0027146B&quot;/&gt;&lt;wsp:rsid wsp:val=&quot;002716F6&quot;/&gt;&lt;wsp:rsid wsp:val=&quot;0027189F&quot;/&gt;&lt;wsp:rsid wsp:val=&quot;00272001&quot;/&gt;&lt;wsp:rsid wsp:val=&quot;002724F3&quot;/&gt;&lt;wsp:rsid wsp:val=&quot;00273B68&quot;/&gt;&lt;wsp:rsid wsp:val=&quot;00273BE1&quot;/&gt;&lt;wsp:rsid wsp:val=&quot;00273EEA&quot;/&gt;&lt;wsp:rsid wsp:val=&quot;0027458F&quot;/&gt;&lt;wsp:rsid wsp:val=&quot;00275638&quot;/&gt;&lt;wsp:rsid wsp:val=&quot;00275E6B&quot;/&gt;&lt;wsp:rsid wsp:val=&quot;00275FD9&quot;/&gt;&lt;wsp:rsid wsp:val=&quot;002764DD&quot;/&gt;&lt;wsp:rsid wsp:val=&quot;002765A3&quot;/&gt;&lt;wsp:rsid wsp:val=&quot;00276884&quot;/&gt;&lt;wsp:rsid wsp:val=&quot;00280415&quot;/&gt;&lt;wsp:rsid wsp:val=&quot;00280460&quot;/&gt;&lt;wsp:rsid wsp:val=&quot;00280A18&quot;/&gt;&lt;wsp:rsid wsp:val=&quot;00280D3C&quot;/&gt;&lt;wsp:rsid wsp:val=&quot;00281D6E&quot;/&gt;&lt;wsp:rsid wsp:val=&quot;00281E1E&quot;/&gt;&lt;wsp:rsid wsp:val=&quot;0028210C&quot;/&gt;&lt;wsp:rsid wsp:val=&quot;00282963&quot;/&gt;&lt;wsp:rsid wsp:val=&quot;00282C6C&quot;/&gt;&lt;wsp:rsid wsp:val=&quot;00282ECE&quot;/&gt;&lt;wsp:rsid wsp:val=&quot;0028488F&quot;/&gt;&lt;wsp:rsid wsp:val=&quot;00285236&quot;/&gt;&lt;wsp:rsid wsp:val=&quot;002855B3&quot;/&gt;&lt;wsp:rsid wsp:val=&quot;002856A3&quot;/&gt;&lt;wsp:rsid wsp:val=&quot;00285949&quot;/&gt;&lt;wsp:rsid wsp:val=&quot;00285A1D&quot;/&gt;&lt;wsp:rsid wsp:val=&quot;00286878&quot;/&gt;&lt;wsp:rsid wsp:val=&quot;00286937&quot;/&gt;&lt;wsp:rsid wsp:val=&quot;00286A03&quot;/&gt;&lt;wsp:rsid wsp:val=&quot;00286C74&quot;/&gt;&lt;wsp:rsid wsp:val=&quot;00286E0A&quot;/&gt;&lt;wsp:rsid wsp:val=&quot;00286F46&quot;/&gt;&lt;wsp:rsid wsp:val=&quot;00287638&quot;/&gt;&lt;wsp:rsid wsp:val=&quot;00290C5C&quot;/&gt;&lt;wsp:rsid wsp:val=&quot;00292E60&quot;/&gt;&lt;wsp:rsid wsp:val=&quot;002931CB&quot;/&gt;&lt;wsp:rsid wsp:val=&quot;0029328B&quot;/&gt;&lt;wsp:rsid wsp:val=&quot;00293594&quot;/&gt;&lt;wsp:rsid wsp:val=&quot;00293677&quot;/&gt;&lt;wsp:rsid wsp:val=&quot;002938AF&quot;/&gt;&lt;wsp:rsid wsp:val=&quot;00293F0B&quot;/&gt;&lt;wsp:rsid wsp:val=&quot;002944C8&quot;/&gt;&lt;wsp:rsid wsp:val=&quot;002952F6&quot;/&gt;&lt;wsp:rsid wsp:val=&quot;0029543C&quot;/&gt;&lt;wsp:rsid wsp:val=&quot;002958A0&quot;/&gt;&lt;wsp:rsid wsp:val=&quot;00295F9C&quot;/&gt;&lt;wsp:rsid wsp:val=&quot;00296279&quot;/&gt;&lt;wsp:rsid wsp:val=&quot;0029698A&quot;/&gt;&lt;wsp:rsid wsp:val=&quot;00297AC9&quot;/&gt;&lt;wsp:rsid wsp:val=&quot;002A18BC&quot;/&gt;&lt;wsp:rsid wsp:val=&quot;002A1DDA&quot;/&gt;&lt;wsp:rsid wsp:val=&quot;002A1E66&quot;/&gt;&lt;wsp:rsid wsp:val=&quot;002A1FB7&quot;/&gt;&lt;wsp:rsid wsp:val=&quot;002A2393&quot;/&gt;&lt;wsp:rsid wsp:val=&quot;002A23B4&quot;/&gt;&lt;wsp:rsid wsp:val=&quot;002A3287&quot;/&gt;&lt;wsp:rsid wsp:val=&quot;002A36EC&quot;/&gt;&lt;wsp:rsid wsp:val=&quot;002A4786&quot;/&gt;&lt;wsp:rsid wsp:val=&quot;002A4E34&quot;/&gt;&lt;wsp:rsid wsp:val=&quot;002A524D&quot;/&gt;&lt;wsp:rsid wsp:val=&quot;002A5944&quot;/&gt;&lt;wsp:rsid wsp:val=&quot;002A5A4F&quot;/&gt;&lt;wsp:rsid wsp:val=&quot;002A5A65&quot;/&gt;&lt;wsp:rsid wsp:val=&quot;002A64F6&quot;/&gt;&lt;wsp:rsid wsp:val=&quot;002A6BD3&quot;/&gt;&lt;wsp:rsid wsp:val=&quot;002A7251&quot;/&gt;&lt;wsp:rsid wsp:val=&quot;002B0829&quot;/&gt;&lt;wsp:rsid wsp:val=&quot;002B0BEA&quot;/&gt;&lt;wsp:rsid wsp:val=&quot;002B198B&quot;/&gt;&lt;wsp:rsid wsp:val=&quot;002B26FE&quot;/&gt;&lt;wsp:rsid wsp:val=&quot;002B2F6B&quot;/&gt;&lt;wsp:rsid wsp:val=&quot;002B3197&quot;/&gt;&lt;wsp:rsid wsp:val=&quot;002B37D9&quot;/&gt;&lt;wsp:rsid wsp:val=&quot;002B4D4B&quot;/&gt;&lt;wsp:rsid wsp:val=&quot;002B59E0&quot;/&gt;&lt;wsp:rsid wsp:val=&quot;002B5AA6&quot;/&gt;&lt;wsp:rsid wsp:val=&quot;002B5C0C&quot;/&gt;&lt;wsp:rsid wsp:val=&quot;002B6055&quot;/&gt;&lt;wsp:rsid wsp:val=&quot;002B7A45&quot;/&gt;&lt;wsp:rsid wsp:val=&quot;002C097D&quot;/&gt;&lt;wsp:rsid wsp:val=&quot;002C09FA&quot;/&gt;&lt;wsp:rsid wsp:val=&quot;002C152A&quot;/&gt;&lt;wsp:rsid wsp:val=&quot;002C2B40&quot;/&gt;&lt;wsp:rsid wsp:val=&quot;002C2F5D&quot;/&gt;&lt;wsp:rsid wsp:val=&quot;002C364B&quot;/&gt;&lt;wsp:rsid wsp:val=&quot;002C3A77&quot;/&gt;&lt;wsp:rsid wsp:val=&quot;002C3B0B&quot;/&gt;&lt;wsp:rsid wsp:val=&quot;002C41E9&quot;/&gt;&lt;wsp:rsid wsp:val=&quot;002C423F&quot;/&gt;&lt;wsp:rsid wsp:val=&quot;002C4AD3&quot;/&gt;&lt;wsp:rsid wsp:val=&quot;002C5040&quot;/&gt;&lt;wsp:rsid wsp:val=&quot;002C506C&quot;/&gt;&lt;wsp:rsid wsp:val=&quot;002C570E&quot;/&gt;&lt;wsp:rsid wsp:val=&quot;002C694C&quot;/&gt;&lt;wsp:rsid wsp:val=&quot;002C6B16&quot;/&gt;&lt;wsp:rsid wsp:val=&quot;002C7A20&quot;/&gt;&lt;wsp:rsid wsp:val=&quot;002C7AF9&quot;/&gt;&lt;wsp:rsid wsp:val=&quot;002C7E85&quot;/&gt;&lt;wsp:rsid wsp:val=&quot;002D0095&quot;/&gt;&lt;wsp:rsid wsp:val=&quot;002D04E8&quot;/&gt;&lt;wsp:rsid wsp:val=&quot;002D06B8&quot;/&gt;&lt;wsp:rsid wsp:val=&quot;002D1594&quot;/&gt;&lt;wsp:rsid wsp:val=&quot;002D2A6F&quot;/&gt;&lt;wsp:rsid wsp:val=&quot;002D396E&quot;/&gt;&lt;wsp:rsid wsp:val=&quot;002D3EA6&quot;/&gt;&lt;wsp:rsid wsp:val=&quot;002D43BE&quot;/&gt;&lt;wsp:rsid wsp:val=&quot;002D6729&quot;/&gt;&lt;wsp:rsid wsp:val=&quot;002D6CC5&quot;/&gt;&lt;wsp:rsid wsp:val=&quot;002D7071&quot;/&gt;&lt;wsp:rsid wsp:val=&quot;002D7B4F&quot;/&gt;&lt;wsp:rsid wsp:val=&quot;002E0E94&quot;/&gt;&lt;wsp:rsid wsp:val=&quot;002E1D7E&quot;/&gt;&lt;wsp:rsid wsp:val=&quot;002E27C8&quot;/&gt;&lt;wsp:rsid wsp:val=&quot;002E2C2B&quot;/&gt;&lt;wsp:rsid wsp:val=&quot;002E38DB&quot;/&gt;&lt;wsp:rsid wsp:val=&quot;002E3F13&quot;/&gt;&lt;wsp:rsid wsp:val=&quot;002E725E&quot;/&gt;&lt;wsp:rsid wsp:val=&quot;002E7419&quot;/&gt;&lt;wsp:rsid wsp:val=&quot;002E75B6&quot;/&gt;&lt;wsp:rsid wsp:val=&quot;002E7C46&quot;/&gt;&lt;wsp:rsid wsp:val=&quot;002F023D&quot;/&gt;&lt;wsp:rsid wsp:val=&quot;002F067B&quot;/&gt;&lt;wsp:rsid wsp:val=&quot;002F0868&quot;/&gt;&lt;wsp:rsid wsp:val=&quot;002F0D9D&quot;/&gt;&lt;wsp:rsid wsp:val=&quot;002F1437&quot;/&gt;&lt;wsp:rsid wsp:val=&quot;002F1A56&quot;/&gt;&lt;wsp:rsid wsp:val=&quot;002F1CE4&quot;/&gt;&lt;wsp:rsid wsp:val=&quot;002F2046&quot;/&gt;&lt;wsp:rsid wsp:val=&quot;002F2306&quot;/&gt;&lt;wsp:rsid wsp:val=&quot;002F2D96&quot;/&gt;&lt;wsp:rsid wsp:val=&quot;002F31CB&quot;/&gt;&lt;wsp:rsid wsp:val=&quot;002F381D&quot;/&gt;&lt;wsp:rsid wsp:val=&quot;002F3AD6&quot;/&gt;&lt;wsp:rsid wsp:val=&quot;002F3ED9&quot;/&gt;&lt;wsp:rsid wsp:val=&quot;002F402C&quot;/&gt;&lt;wsp:rsid wsp:val=&quot;002F4903&quot;/&gt;&lt;wsp:rsid wsp:val=&quot;002F4F1C&quot;/&gt;&lt;wsp:rsid wsp:val=&quot;002F4F76&quot;/&gt;&lt;wsp:rsid wsp:val=&quot;002F54B4&quot;/&gt;&lt;wsp:rsid wsp:val=&quot;002F5539&quot;/&gt;&lt;wsp:rsid wsp:val=&quot;002F553D&quot;/&gt;&lt;wsp:rsid wsp:val=&quot;002F561E&quot;/&gt;&lt;wsp:rsid wsp:val=&quot;002F5876&quot;/&gt;&lt;wsp:rsid wsp:val=&quot;002F6802&quot;/&gt;&lt;wsp:rsid wsp:val=&quot;002F6C0F&quot;/&gt;&lt;wsp:rsid wsp:val=&quot;002F6EE2&quot;/&gt;&lt;wsp:rsid wsp:val=&quot;002F7242&quot;/&gt;&lt;wsp:rsid wsp:val=&quot;002F7A43&quot;/&gt;&lt;wsp:rsid wsp:val=&quot;002F7D8F&quot;/&gt;&lt;wsp:rsid wsp:val=&quot;003000FE&quot;/&gt;&lt;wsp:rsid wsp:val=&quot;00300378&quot;/&gt;&lt;wsp:rsid wsp:val=&quot;0030089A&quot;/&gt;&lt;wsp:rsid wsp:val=&quot;0030110B&quot;/&gt;&lt;wsp:rsid wsp:val=&quot;00301C35&quot;/&gt;&lt;wsp:rsid wsp:val=&quot;0030232B&quot;/&gt;&lt;wsp:rsid wsp:val=&quot;00302540&quot;/&gt;&lt;wsp:rsid wsp:val=&quot;0030283C&quot;/&gt;&lt;wsp:rsid wsp:val=&quot;003028C6&quot;/&gt;&lt;wsp:rsid wsp:val=&quot;00303097&quot;/&gt;&lt;wsp:rsid wsp:val=&quot;0030384F&quot;/&gt;&lt;wsp:rsid wsp:val=&quot;0030428B&quot;/&gt;&lt;wsp:rsid wsp:val=&quot;0030543C&quot;/&gt;&lt;wsp:rsid wsp:val=&quot;003055E3&quot;/&gt;&lt;wsp:rsid wsp:val=&quot;00305614&quot;/&gt;&lt;wsp:rsid wsp:val=&quot;00305982&quot;/&gt;&lt;wsp:rsid wsp:val=&quot;00305D10&quot;/&gt;&lt;wsp:rsid wsp:val=&quot;00305EAD&quot;/&gt;&lt;wsp:rsid wsp:val=&quot;00306DF2&quot;/&gt;&lt;wsp:rsid wsp:val=&quot;00306F73&quot;/&gt;&lt;wsp:rsid wsp:val=&quot;00307587&quot;/&gt;&lt;wsp:rsid wsp:val=&quot;003107D2&quot;/&gt;&lt;wsp:rsid wsp:val=&quot;00311DDF&quot;/&gt;&lt;wsp:rsid wsp:val=&quot;00312008&quot;/&gt;&lt;wsp:rsid wsp:val=&quot;003132D0&quot;/&gt;&lt;wsp:rsid wsp:val=&quot;003132ED&quot;/&gt;&lt;wsp:rsid wsp:val=&quot;003134C3&quot;/&gt;&lt;wsp:rsid wsp:val=&quot;0031364D&quot;/&gt;&lt;wsp:rsid wsp:val=&quot;003138A3&quot;/&gt;&lt;wsp:rsid wsp:val=&quot;003139B3&quot;/&gt;&lt;wsp:rsid wsp:val=&quot;00313B3F&quot;/&gt;&lt;wsp:rsid wsp:val=&quot;00313F2C&quot;/&gt;&lt;wsp:rsid wsp:val=&quot;003145F7&quot;/&gt;&lt;wsp:rsid wsp:val=&quot;00314671&quot;/&gt;&lt;wsp:rsid wsp:val=&quot;0031470A&quot;/&gt;&lt;wsp:rsid wsp:val=&quot;0031502D&quot;/&gt;&lt;wsp:rsid wsp:val=&quot;00315916&quot;/&gt;&lt;wsp:rsid wsp:val=&quot;0031693E&quot;/&gt;&lt;wsp:rsid wsp:val=&quot;00316EC2&quot;/&gt;&lt;wsp:rsid wsp:val=&quot;003176C8&quot;/&gt;&lt;wsp:rsid wsp:val=&quot;00317931&quot;/&gt;&lt;wsp:rsid wsp:val=&quot;00317DB6&quot;/&gt;&lt;wsp:rsid wsp:val=&quot;00320A98&quot;/&gt;&lt;wsp:rsid wsp:val=&quot;00321289&quot;/&gt;&lt;wsp:rsid wsp:val=&quot;0032199A&quot;/&gt;&lt;wsp:rsid wsp:val=&quot;0032227B&quot;/&gt;&lt;wsp:rsid wsp:val=&quot;0032297B&quot;/&gt;&lt;wsp:rsid wsp:val=&quot;00322FA6&quot;/&gt;&lt;wsp:rsid wsp:val=&quot;00324AFB&quot;/&gt;&lt;wsp:rsid wsp:val=&quot;003274BF&quot;/&gt;&lt;wsp:rsid wsp:val=&quot;003276B3&quot;/&gt;&lt;wsp:rsid wsp:val=&quot;00327B7E&quot;/&gt;&lt;wsp:rsid wsp:val=&quot;00330185&quot;/&gt;&lt;wsp:rsid wsp:val=&quot;00331441&quot;/&gt;&lt;wsp:rsid wsp:val=&quot;00332878&quot;/&gt;&lt;wsp:rsid wsp:val=&quot;003329E1&quot;/&gt;&lt;wsp:rsid wsp:val=&quot;00332BBA&quot;/&gt;&lt;wsp:rsid wsp:val=&quot;00333145&quot;/&gt;&lt;wsp:rsid wsp:val=&quot;003334AB&quot;/&gt;&lt;wsp:rsid wsp:val=&quot;003345C1&quot;/&gt;&lt;wsp:rsid wsp:val=&quot;00334A36&quot;/&gt;&lt;wsp:rsid wsp:val=&quot;003353FF&quot;/&gt;&lt;wsp:rsid wsp:val=&quot;003358DB&quot;/&gt;&lt;wsp:rsid wsp:val=&quot;003369D5&quot;/&gt;&lt;wsp:rsid wsp:val=&quot;003379BD&quot;/&gt;&lt;wsp:rsid wsp:val=&quot;003406B3&quot;/&gt;&lt;wsp:rsid wsp:val=&quot;00340C3B&quot;/&gt;&lt;wsp:rsid wsp:val=&quot;00341AF5&quot;/&gt;&lt;wsp:rsid wsp:val=&quot;00341B36&quot;/&gt;&lt;wsp:rsid wsp:val=&quot;00342353&quot;/&gt;&lt;wsp:rsid wsp:val=&quot;00342951&quot;/&gt;&lt;wsp:rsid wsp:val=&quot;00342A62&quot;/&gt;&lt;wsp:rsid wsp:val=&quot;0034598F&quot;/&gt;&lt;wsp:rsid wsp:val=&quot;00345DEA&quot;/&gt;&lt;wsp:rsid wsp:val=&quot;00345F73&quot;/&gt;&lt;wsp:rsid wsp:val=&quot;00346184&quot;/&gt;&lt;wsp:rsid wsp:val=&quot;0034693F&quot;/&gt;&lt;wsp:rsid wsp:val=&quot;00347220&quot;/&gt;&lt;wsp:rsid wsp:val=&quot;00347281&quot;/&gt;&lt;wsp:rsid wsp:val=&quot;00347603&quot;/&gt;&lt;wsp:rsid wsp:val=&quot;00350467&quot;/&gt;&lt;wsp:rsid wsp:val=&quot;00350F3B&quot;/&gt;&lt;wsp:rsid wsp:val=&quot;003521C9&quot;/&gt;&lt;wsp:rsid wsp:val=&quot;00352898&quot;/&gt;&lt;wsp:rsid wsp:val=&quot;00352BBA&quot;/&gt;&lt;wsp:rsid wsp:val=&quot;00353498&quot;/&gt;&lt;wsp:rsid wsp:val=&quot;00353AF9&quot;/&gt;&lt;wsp:rsid wsp:val=&quot;00353E2D&quot;/&gt;&lt;wsp:rsid wsp:val=&quot;00354ED8&quot;/&gt;&lt;wsp:rsid wsp:val=&quot;003554A2&quot;/&gt;&lt;wsp:rsid wsp:val=&quot;003559B4&quot;/&gt;&lt;wsp:rsid wsp:val=&quot;00355BC7&quot;/&gt;&lt;wsp:rsid wsp:val=&quot;00355EA6&quot;/&gt;&lt;wsp:rsid wsp:val=&quot;003565EB&quot;/&gt;&lt;wsp:rsid wsp:val=&quot;0035674D&quot;/&gt;&lt;wsp:rsid wsp:val=&quot;00356BC8&quot;/&gt;&lt;wsp:rsid wsp:val=&quot;0036151C&quot;/&gt;&lt;wsp:rsid wsp:val=&quot;0036157B&quot;/&gt;&lt;wsp:rsid wsp:val=&quot;00362492&quot;/&gt;&lt;wsp:rsid wsp:val=&quot;003627F8&quot;/&gt;&lt;wsp:rsid wsp:val=&quot;00362C4B&quot;/&gt;&lt;wsp:rsid wsp:val=&quot;00365502&quot;/&gt;&lt;wsp:rsid wsp:val=&quot;003656E8&quot;/&gt;&lt;wsp:rsid wsp:val=&quot;00367BDA&quot;/&gt;&lt;wsp:rsid wsp:val=&quot;00370F0B&quot;/&gt;&lt;wsp:rsid wsp:val=&quot;0037173D&quot;/&gt;&lt;wsp:rsid wsp:val=&quot;0037232C&quot;/&gt;&lt;wsp:rsid wsp:val=&quot;0037318B&quot;/&gt;&lt;wsp:rsid wsp:val=&quot;003733F4&quot;/&gt;&lt;wsp:rsid wsp:val=&quot;00374624&quot;/&gt;&lt;wsp:rsid wsp:val=&quot;00374DEC&quot;/&gt;&lt;wsp:rsid wsp:val=&quot;00374F0C&quot;/&gt;&lt;wsp:rsid wsp:val=&quot;003757AD&quot;/&gt;&lt;wsp:rsid wsp:val=&quot;00375DEC&quot;/&gt;&lt;wsp:rsid wsp:val=&quot;003768F3&quot;/&gt;&lt;wsp:rsid wsp:val=&quot;00377B7A&quot;/&gt;&lt;wsp:rsid wsp:val=&quot;00377F43&quot;/&gt;&lt;wsp:rsid wsp:val=&quot;00380223&quot;/&gt;&lt;wsp:rsid wsp:val=&quot;003802D2&quot;/&gt;&lt;wsp:rsid wsp:val=&quot;00380579&quot;/&gt;&lt;wsp:rsid wsp:val=&quot;0038071E&quot;/&gt;&lt;wsp:rsid wsp:val=&quot;00380CEF&quot;/&gt;&lt;wsp:rsid wsp:val=&quot;00381026&quot;/&gt;&lt;wsp:rsid wsp:val=&quot;003810B6&quot;/&gt;&lt;wsp:rsid wsp:val=&quot;00381A21&quot;/&gt;&lt;wsp:rsid wsp:val=&quot;00382BAF&quot;/&gt;&lt;wsp:rsid wsp:val=&quot;00383507&quot;/&gt;&lt;wsp:rsid wsp:val=&quot;00383521&quot;/&gt;&lt;wsp:rsid wsp:val=&quot;00383A5B&quot;/&gt;&lt;wsp:rsid wsp:val=&quot;00383B57&quot;/&gt;&lt;wsp:rsid wsp:val=&quot;00384010&quot;/&gt;&lt;wsp:rsid wsp:val=&quot;00384903&quot;/&gt;&lt;wsp:rsid wsp:val=&quot;003851C8&quot;/&gt;&lt;wsp:rsid wsp:val=&quot;003863F5&quot;/&gt;&lt;wsp:rsid wsp:val=&quot;00386B0B&quot;/&gt;&lt;wsp:rsid wsp:val=&quot;00386C3E&quot;/&gt;&lt;wsp:rsid wsp:val=&quot;00387317&quot;/&gt;&lt;wsp:rsid wsp:val=&quot;0038759C&quot;/&gt;&lt;wsp:rsid wsp:val=&quot;00387873&quot;/&gt;&lt;wsp:rsid wsp:val=&quot;00390369&quot;/&gt;&lt;wsp:rsid wsp:val=&quot;003916A7&quot;/&gt;&lt;wsp:rsid wsp:val=&quot;00391E38&quot;/&gt;&lt;wsp:rsid wsp:val=&quot;00392BAF&quot;/&gt;&lt;wsp:rsid wsp:val=&quot;00392F64&quot;/&gt;&lt;wsp:rsid wsp:val=&quot;0039302B&quot;/&gt;&lt;wsp:rsid wsp:val=&quot;003937E1&quot;/&gt;&lt;wsp:rsid wsp:val=&quot;00394794&quot;/&gt;&lt;wsp:rsid wsp:val=&quot;00395B85&quot;/&gt;&lt;wsp:rsid wsp:val=&quot;00396B4F&quot;/&gt;&lt;wsp:rsid wsp:val=&quot;0039723D&quot;/&gt;&lt;wsp:rsid wsp:val=&quot;003975DE&quot;/&gt;&lt;wsp:rsid wsp:val=&quot;003A0278&quot;/&gt;&lt;wsp:rsid wsp:val=&quot;003A2E2B&quot;/&gt;&lt;wsp:rsid wsp:val=&quot;003A2F18&quot;/&gt;&lt;wsp:rsid wsp:val=&quot;003A3733&quot;/&gt;&lt;wsp:rsid wsp:val=&quot;003A3B02&quot;/&gt;&lt;wsp:rsid wsp:val=&quot;003A3EC5&quot;/&gt;&lt;wsp:rsid wsp:val=&quot;003A4423&quot;/&gt;&lt;wsp:rsid wsp:val=&quot;003A5200&quot;/&gt;&lt;wsp:rsid wsp:val=&quot;003A6240&quot;/&gt;&lt;wsp:rsid wsp:val=&quot;003A6AF6&quot;/&gt;&lt;wsp:rsid wsp:val=&quot;003A6CE5&quot;/&gt;&lt;wsp:rsid wsp:val=&quot;003A6D3C&quot;/&gt;&lt;wsp:rsid wsp:val=&quot;003A7257&quot;/&gt;&lt;wsp:rsid wsp:val=&quot;003B02A3&quot;/&gt;&lt;wsp:rsid wsp:val=&quot;003B051B&quot;/&gt;&lt;wsp:rsid wsp:val=&quot;003B05D4&quot;/&gt;&lt;wsp:rsid wsp:val=&quot;003B0FCA&quot;/&gt;&lt;wsp:rsid wsp:val=&quot;003B113D&quot;/&gt;&lt;wsp:rsid wsp:val=&quot;003B137E&quot;/&gt;&lt;wsp:rsid wsp:val=&quot;003B1AEC&quot;/&gt;&lt;wsp:rsid wsp:val=&quot;003B2FB6&quot;/&gt;&lt;wsp:rsid wsp:val=&quot;003B3A94&quot;/&gt;&lt;wsp:rsid wsp:val=&quot;003B3D82&quot;/&gt;&lt;wsp:rsid wsp:val=&quot;003B4052&quot;/&gt;&lt;wsp:rsid wsp:val=&quot;003B4125&quot;/&gt;&lt;wsp:rsid wsp:val=&quot;003B5029&quot;/&gt;&lt;wsp:rsid wsp:val=&quot;003B7723&quot;/&gt;&lt;wsp:rsid wsp:val=&quot;003C0E29&quot;/&gt;&lt;wsp:rsid wsp:val=&quot;003C1301&quot;/&gt;&lt;wsp:rsid wsp:val=&quot;003C1662&quot;/&gt;&lt;wsp:rsid wsp:val=&quot;003C2497&quot;/&gt;&lt;wsp:rsid wsp:val=&quot;003C2DB6&quot;/&gt;&lt;wsp:rsid wsp:val=&quot;003C2FED&quot;/&gt;&lt;wsp:rsid wsp:val=&quot;003C3840&quot;/&gt;&lt;wsp:rsid wsp:val=&quot;003C3FDD&quot;/&gt;&lt;wsp:rsid wsp:val=&quot;003C6CFD&quot;/&gt;&lt;wsp:rsid wsp:val=&quot;003C7FDF&quot;/&gt;&lt;wsp:rsid wsp:val=&quot;003D0D24&quot;/&gt;&lt;wsp:rsid wsp:val=&quot;003D190B&quot;/&gt;&lt;wsp:rsid wsp:val=&quot;003D25CB&quot;/&gt;&lt;wsp:rsid wsp:val=&quot;003D2DE5&quot;/&gt;&lt;wsp:rsid wsp:val=&quot;003D3629&quot;/&gt;&lt;wsp:rsid wsp:val=&quot;003D3915&quot;/&gt;&lt;wsp:rsid wsp:val=&quot;003D4BDA&quot;/&gt;&lt;wsp:rsid wsp:val=&quot;003D52B3&quot;/&gt;&lt;wsp:rsid wsp:val=&quot;003D5425&quot;/&gt;&lt;wsp:rsid wsp:val=&quot;003D5722&quot;/&gt;&lt;wsp:rsid wsp:val=&quot;003D5DE6&quot;/&gt;&lt;wsp:rsid wsp:val=&quot;003D5F69&quot;/&gt;&lt;wsp:rsid wsp:val=&quot;003D634C&quot;/&gt;&lt;wsp:rsid wsp:val=&quot;003D6748&quot;/&gt;&lt;wsp:rsid wsp:val=&quot;003D6D84&quot;/&gt;&lt;wsp:rsid wsp:val=&quot;003D6DDE&quot;/&gt;&lt;wsp:rsid wsp:val=&quot;003D76A7&quot;/&gt;&lt;wsp:rsid wsp:val=&quot;003D7D12&quot;/&gt;&lt;wsp:rsid wsp:val=&quot;003E0821&quot;/&gt;&lt;wsp:rsid wsp:val=&quot;003E1D07&quot;/&gt;&lt;wsp:rsid wsp:val=&quot;003E2C32&quot;/&gt;&lt;wsp:rsid wsp:val=&quot;003E348B&quot;/&gt;&lt;wsp:rsid wsp:val=&quot;003E41BC&quot;/&gt;&lt;wsp:rsid wsp:val=&quot;003E4278&quot;/&gt;&lt;wsp:rsid wsp:val=&quot;003E4417&quot;/&gt;&lt;wsp:rsid wsp:val=&quot;003E46F6&quot;/&gt;&lt;wsp:rsid wsp:val=&quot;003E56A8&quot;/&gt;&lt;wsp:rsid wsp:val=&quot;003E598E&quot;/&gt;&lt;wsp:rsid wsp:val=&quot;003E5E11&quot;/&gt;&lt;wsp:rsid wsp:val=&quot;003E6508&quot;/&gt;&lt;wsp:rsid wsp:val=&quot;003E665C&quot;/&gt;&lt;wsp:rsid wsp:val=&quot;003E6ED9&quot;/&gt;&lt;wsp:rsid wsp:val=&quot;003F044D&quot;/&gt;&lt;wsp:rsid wsp:val=&quot;003F1BD0&quot;/&gt;&lt;wsp:rsid wsp:val=&quot;003F1F45&quot;/&gt;&lt;wsp:rsid wsp:val=&quot;003F20F9&quot;/&gt;&lt;wsp:rsid wsp:val=&quot;003F2739&quot;/&gt;&lt;wsp:rsid wsp:val=&quot;003F290C&quot;/&gt;&lt;wsp:rsid wsp:val=&quot;003F464F&quot;/&gt;&lt;wsp:rsid wsp:val=&quot;003F625E&quot;/&gt;&lt;wsp:rsid wsp:val=&quot;003F70B9&quot;/&gt;&lt;wsp:rsid wsp:val=&quot;003F76D0&quot;/&gt;&lt;wsp:rsid wsp:val=&quot;003F787C&quot;/&gt;&lt;wsp:rsid wsp:val=&quot;003F7B0A&quot;/&gt;&lt;wsp:rsid wsp:val=&quot;003F7CEA&quot;/&gt;&lt;wsp:rsid wsp:val=&quot;0040006C&quot;/&gt;&lt;wsp:rsid wsp:val=&quot;004005EB&quot;/&gt;&lt;wsp:rsid wsp:val=&quot;00401338&quot;/&gt;&lt;wsp:rsid wsp:val=&quot;00401A49&quot;/&gt;&lt;wsp:rsid wsp:val=&quot;004025FA&quot;/&gt;&lt;wsp:rsid wsp:val=&quot;00403256&quot;/&gt;&lt;wsp:rsid wsp:val=&quot;00403CB6&quot;/&gt;&lt;wsp:rsid wsp:val=&quot;00404640&quot;/&gt;&lt;wsp:rsid wsp:val=&quot;00404EFD&quot;/&gt;&lt;wsp:rsid wsp:val=&quot;004055DB&quot;/&gt;&lt;wsp:rsid wsp:val=&quot;00405838&quot;/&gt;&lt;wsp:rsid wsp:val=&quot;00405A81&quot;/&gt;&lt;wsp:rsid wsp:val=&quot;00406140&quot;/&gt;&lt;wsp:rsid wsp:val=&quot;0040670D&quot;/&gt;&lt;wsp:rsid wsp:val=&quot;00406E18&quot;/&gt;&lt;wsp:rsid wsp:val=&quot;00406F5A&quot;/&gt;&lt;wsp:rsid wsp:val=&quot;00407165&quot;/&gt;&lt;wsp:rsid wsp:val=&quot;00407543&quot;/&gt;&lt;wsp:rsid wsp:val=&quot;004118EF&quot;/&gt;&lt;wsp:rsid wsp:val=&quot;00412CDE&quot;/&gt;&lt;wsp:rsid wsp:val=&quot;004136B4&quot;/&gt;&lt;wsp:rsid wsp:val=&quot;00413A21&quot;/&gt;&lt;wsp:rsid wsp:val=&quot;00413DC9&quot;/&gt;&lt;wsp:rsid wsp:val=&quot;00413F33&quot;/&gt;&lt;wsp:rsid wsp:val=&quot;004147B1&quot;/&gt;&lt;wsp:rsid wsp:val=&quot;00415AF6&quot;/&gt;&lt;wsp:rsid wsp:val=&quot;00416481&quot;/&gt;&lt;wsp:rsid wsp:val=&quot;004171C6&quot;/&gt;&lt;wsp:rsid wsp:val=&quot;0042015F&quot;/&gt;&lt;wsp:rsid wsp:val=&quot;004205F5&quot;/&gt;&lt;wsp:rsid wsp:val=&quot;00420B14&quot;/&gt;&lt;wsp:rsid wsp:val=&quot;004213F4&quot;/&gt;&lt;wsp:rsid wsp:val=&quot;00421482&quot;/&gt;&lt;wsp:rsid wsp:val=&quot;00421638&quot;/&gt;&lt;wsp:rsid wsp:val=&quot;00421B1C&quot;/&gt;&lt;wsp:rsid wsp:val=&quot;00421C99&quot;/&gt;&lt;wsp:rsid wsp:val=&quot;004222A0&quot;/&gt;&lt;wsp:rsid wsp:val=&quot;004230E6&quot;/&gt;&lt;wsp:rsid wsp:val=&quot;00423E03&quot;/&gt;&lt;wsp:rsid wsp:val=&quot;0042455D&quot;/&gt;&lt;wsp:rsid wsp:val=&quot;00424A49&quot;/&gt;&lt;wsp:rsid wsp:val=&quot;00426064&quot;/&gt;&lt;wsp:rsid wsp:val=&quot;00426215&quot;/&gt;&lt;wsp:rsid wsp:val=&quot;00427DD7&quot;/&gt;&lt;wsp:rsid wsp:val=&quot;0043009F&quot;/&gt;&lt;wsp:rsid wsp:val=&quot;0043023A&quot;/&gt;&lt;wsp:rsid wsp:val=&quot;00430A18&quot;/&gt;&lt;wsp:rsid wsp:val=&quot;00430C52&quot;/&gt;&lt;wsp:rsid wsp:val=&quot;004321DD&quot;/&gt;&lt;wsp:rsid wsp:val=&quot;004329BD&quot;/&gt;&lt;wsp:rsid wsp:val=&quot;00432EB0&quot;/&gt;&lt;wsp:rsid wsp:val=&quot;00434E75&quot;/&gt;&lt;wsp:rsid wsp:val=&quot;00435994&quot;/&gt;&lt;wsp:rsid wsp:val=&quot;0043604E&quot;/&gt;&lt;wsp:rsid wsp:val=&quot;00436060&quot;/&gt;&lt;wsp:rsid wsp:val=&quot;0043662E&quot;/&gt;&lt;wsp:rsid wsp:val=&quot;004369A1&quot;/&gt;&lt;wsp:rsid wsp:val=&quot;00436C86&quot;/&gt;&lt;wsp:rsid wsp:val=&quot;00436E25&quot;/&gt;&lt;wsp:rsid wsp:val=&quot;00436F9B&quot;/&gt;&lt;wsp:rsid wsp:val=&quot;00437A0F&quot;/&gt;&lt;wsp:rsid wsp:val=&quot;00437A7B&quot;/&gt;&lt;wsp:rsid wsp:val=&quot;0044013E&quot;/&gt;&lt;wsp:rsid wsp:val=&quot;00440763&quot;/&gt;&lt;wsp:rsid wsp:val=&quot;004409A9&quot;/&gt;&lt;wsp:rsid wsp:val=&quot;00440C30&quot;/&gt;&lt;wsp:rsid wsp:val=&quot;00440EE7&quot;/&gt;&lt;wsp:rsid wsp:val=&quot;00440F27&quot;/&gt;&lt;wsp:rsid wsp:val=&quot;0044241D&quot;/&gt;&lt;wsp:rsid wsp:val=&quot;00442598&quot;/&gt;&lt;wsp:rsid wsp:val=&quot;00443688&quot;/&gt;&lt;wsp:rsid wsp:val=&quot;00443C76&quot;/&gt;&lt;wsp:rsid wsp:val=&quot;00443D1B&quot;/&gt;&lt;wsp:rsid wsp:val=&quot;00445A2A&quot;/&gt;&lt;wsp:rsid wsp:val=&quot;00445CA5&quot;/&gt;&lt;wsp:rsid wsp:val=&quot;004469B9&quot;/&gt;&lt;wsp:rsid wsp:val=&quot;00447943&quot;/&gt;&lt;wsp:rsid wsp:val=&quot;00450638&quot;/&gt;&lt;wsp:rsid wsp:val=&quot;004525F2&quot;/&gt;&lt;wsp:rsid wsp:val=&quot;00453427&quot;/&gt;&lt;wsp:rsid wsp:val=&quot;00453671&quot;/&gt;&lt;wsp:rsid wsp:val=&quot;00453D7A&quot;/&gt;&lt;wsp:rsid wsp:val=&quot;004540A5&quot;/&gt;&lt;wsp:rsid wsp:val=&quot;0045439B&quot;/&gt;&lt;wsp:rsid wsp:val=&quot;00454BC4&quot;/&gt;&lt;wsp:rsid wsp:val=&quot;00454C27&quot;/&gt;&lt;wsp:rsid wsp:val=&quot;00454D7A&quot;/&gt;&lt;wsp:rsid wsp:val=&quot;0045583C&quot;/&gt;&lt;wsp:rsid wsp:val=&quot;00455A75&quot;/&gt;&lt;wsp:rsid wsp:val=&quot;00455EE0&quot;/&gt;&lt;wsp:rsid wsp:val=&quot;004564A7&quot;/&gt;&lt;wsp:rsid wsp:val=&quot;00456745&quot;/&gt;&lt;wsp:rsid wsp:val=&quot;004567AE&quot;/&gt;&lt;wsp:rsid wsp:val=&quot;00456CEB&quot;/&gt;&lt;wsp:rsid wsp:val=&quot;0045797A&quot;/&gt;&lt;wsp:rsid wsp:val=&quot;00457A53&quot;/&gt;&lt;wsp:rsid wsp:val=&quot;00460274&quot;/&gt;&lt;wsp:rsid wsp:val=&quot;004604F5&quot;/&gt;&lt;wsp:rsid wsp:val=&quot;004605A1&quot;/&gt;&lt;wsp:rsid wsp:val=&quot;004618CD&quot;/&gt;&lt;wsp:rsid wsp:val=&quot;00461BF7&quot;/&gt;&lt;wsp:rsid wsp:val=&quot;004620F9&quot;/&gt;&lt;wsp:rsid wsp:val=&quot;0046267A&quot;/&gt;&lt;wsp:rsid wsp:val=&quot;00462726&quot;/&gt;&lt;wsp:rsid wsp:val=&quot;004628C5&quot;/&gt;&lt;wsp:rsid wsp:val=&quot;0046299D&quot;/&gt;&lt;wsp:rsid wsp:val=&quot;004640A9&quot;/&gt;&lt;wsp:rsid wsp:val=&quot;00464E80&quot;/&gt;&lt;wsp:rsid wsp:val=&quot;004654B2&quot;/&gt;&lt;wsp:rsid wsp:val=&quot;00465F4A&quot;/&gt;&lt;wsp:rsid wsp:val=&quot;0046698C&quot;/&gt;&lt;wsp:rsid wsp:val=&quot;004674F9&quot;/&gt;&lt;wsp:rsid wsp:val=&quot;00467AEE&quot;/&gt;&lt;wsp:rsid wsp:val=&quot;00470BF5&quot;/&gt;&lt;wsp:rsid wsp:val=&quot;004710C7&quot;/&gt;&lt;wsp:rsid wsp:val=&quot;00471D4A&quot;/&gt;&lt;wsp:rsid wsp:val=&quot;00472C25&quot;/&gt;&lt;wsp:rsid wsp:val=&quot;0047300E&quot;/&gt;&lt;wsp:rsid wsp:val=&quot;004732E6&quot;/&gt;&lt;wsp:rsid wsp:val=&quot;00473430&quot;/&gt;&lt;wsp:rsid wsp:val=&quot;004735F6&quot;/&gt;&lt;wsp:rsid wsp:val=&quot;0047371D&quot;/&gt;&lt;wsp:rsid wsp:val=&quot;00474673&quot;/&gt;&lt;wsp:rsid wsp:val=&quot;00474EF9&quot;/&gt;&lt;wsp:rsid wsp:val=&quot;00474FAE&quot;/&gt;&lt;wsp:rsid wsp:val=&quot;004758C8&quot;/&gt;&lt;wsp:rsid wsp:val=&quot;00476233&quot;/&gt;&lt;wsp:rsid wsp:val=&quot;00476707&quot;/&gt;&lt;wsp:rsid wsp:val=&quot;004769A9&quot;/&gt;&lt;wsp:rsid wsp:val=&quot;004775DB&quot;/&gt;&lt;wsp:rsid wsp:val=&quot;00477B5D&quot;/&gt;&lt;wsp:rsid wsp:val=&quot;00477DE5&quot;/&gt;&lt;wsp:rsid wsp:val=&quot;00480758&quot;/&gt;&lt;wsp:rsid wsp:val=&quot;00480850&quot;/&gt;&lt;wsp:rsid wsp:val=&quot;00481C44&quot;/&gt;&lt;wsp:rsid wsp:val=&quot;00482AC5&quot;/&gt;&lt;wsp:rsid wsp:val=&quot;00483264&quot;/&gt;&lt;wsp:rsid wsp:val=&quot;00484C07&quot;/&gt;&lt;wsp:rsid wsp:val=&quot;00484D9E&quot;/&gt;&lt;wsp:rsid wsp:val=&quot;00485032&quot;/&gt;&lt;wsp:rsid wsp:val=&quot;00485B2C&quot;/&gt;&lt;wsp:rsid wsp:val=&quot;0048616F&quot;/&gt;&lt;wsp:rsid wsp:val=&quot;0048635A&quot;/&gt;&lt;wsp:rsid wsp:val=&quot;004864C5&quot;/&gt;&lt;wsp:rsid wsp:val=&quot;00487409&quot;/&gt;&lt;wsp:rsid wsp:val=&quot;00487D22&quot;/&gt;&lt;wsp:rsid wsp:val=&quot;00487D59&quot;/&gt;&lt;wsp:rsid wsp:val=&quot;00490678&quot;/&gt;&lt;wsp:rsid wsp:val=&quot;00491864&quot;/&gt;&lt;wsp:rsid wsp:val=&quot;00491D62&quot;/&gt;&lt;wsp:rsid wsp:val=&quot;00492134&quot;/&gt;&lt;wsp:rsid wsp:val=&quot;00492C3A&quot;/&gt;&lt;wsp:rsid wsp:val=&quot;00492FE0&quot;/&gt;&lt;wsp:rsid wsp:val=&quot;00493232&quot;/&gt;&lt;wsp:rsid wsp:val=&quot;00493BC5&quot;/&gt;&lt;wsp:rsid wsp:val=&quot;00493E2D&quot;/&gt;&lt;wsp:rsid wsp:val=&quot;00494365&quot;/&gt;&lt;wsp:rsid wsp:val=&quot;00494998&quot;/&gt;&lt;wsp:rsid wsp:val=&quot;0049499A&quot;/&gt;&lt;wsp:rsid wsp:val=&quot;00495182&quot;/&gt;&lt;wsp:rsid wsp:val=&quot;00495996&quot;/&gt;&lt;wsp:rsid wsp:val=&quot;0049605D&quot;/&gt;&lt;wsp:rsid wsp:val=&quot;00496920&quot;/&gt;&lt;wsp:rsid wsp:val=&quot;00496D84&quot;/&gt;&lt;wsp:rsid wsp:val=&quot;00497B6B&quot;/&gt;&lt;wsp:rsid wsp:val=&quot;00497C21&quot;/&gt;&lt;wsp:rsid wsp:val=&quot;004A0666&quot;/&gt;&lt;wsp:rsid wsp:val=&quot;004A1564&quot;/&gt;&lt;wsp:rsid wsp:val=&quot;004A1D3D&quot;/&gt;&lt;wsp:rsid wsp:val=&quot;004A2D0F&quot;/&gt;&lt;wsp:rsid wsp:val=&quot;004A350D&quot;/&gt;&lt;wsp:rsid wsp:val=&quot;004A39E3&quot;/&gt;&lt;wsp:rsid wsp:val=&quot;004A3A75&quot;/&gt;&lt;wsp:rsid wsp:val=&quot;004A3D7D&quot;/&gt;&lt;wsp:rsid wsp:val=&quot;004A4140&quot;/&gt;&lt;wsp:rsid wsp:val=&quot;004A421D&quot;/&gt;&lt;wsp:rsid wsp:val=&quot;004A43FC&quot;/&gt;&lt;wsp:rsid wsp:val=&quot;004A4F19&quot;/&gt;&lt;wsp:rsid wsp:val=&quot;004A519A&quot;/&gt;&lt;wsp:rsid wsp:val=&quot;004A5CA8&quot;/&gt;&lt;wsp:rsid wsp:val=&quot;004A62EE&quot;/&gt;&lt;wsp:rsid wsp:val=&quot;004A6334&quot;/&gt;&lt;wsp:rsid wsp:val=&quot;004A66D5&quot;/&gt;&lt;wsp:rsid wsp:val=&quot;004A7251&quot;/&gt;&lt;wsp:rsid wsp:val=&quot;004A7AA7&quot;/&gt;&lt;wsp:rsid wsp:val=&quot;004B0177&quot;/&gt;&lt;wsp:rsid wsp:val=&quot;004B1445&quot;/&gt;&lt;wsp:rsid wsp:val=&quot;004B198B&quot;/&gt;&lt;wsp:rsid wsp:val=&quot;004B2036&quot;/&gt;&lt;wsp:rsid wsp:val=&quot;004B22B1&quot;/&gt;&lt;wsp:rsid wsp:val=&quot;004B3016&quot;/&gt;&lt;wsp:rsid wsp:val=&quot;004B3A3C&quot;/&gt;&lt;wsp:rsid wsp:val=&quot;004B4589&quot;/&gt;&lt;wsp:rsid wsp:val=&quot;004B52B5&quot;/&gt;&lt;wsp:rsid wsp:val=&quot;004B5A5E&quot;/&gt;&lt;wsp:rsid wsp:val=&quot;004B5AB1&quot;/&gt;&lt;wsp:rsid wsp:val=&quot;004B5B80&quot;/&gt;&lt;wsp:rsid wsp:val=&quot;004B5F1B&quot;/&gt;&lt;wsp:rsid wsp:val=&quot;004B6127&quot;/&gt;&lt;wsp:rsid wsp:val=&quot;004B667F&quot;/&gt;&lt;wsp:rsid wsp:val=&quot;004B6D16&quot;/&gt;&lt;wsp:rsid wsp:val=&quot;004B6F1D&quot;/&gt;&lt;wsp:rsid wsp:val=&quot;004B7414&quot;/&gt;&lt;wsp:rsid wsp:val=&quot;004B7843&quot;/&gt;&lt;wsp:rsid wsp:val=&quot;004B7A2A&quot;/&gt;&lt;wsp:rsid wsp:val=&quot;004C1872&quot;/&gt;&lt;wsp:rsid wsp:val=&quot;004C1C21&quot;/&gt;&lt;wsp:rsid wsp:val=&quot;004C20A3&quot;/&gt;&lt;wsp:rsid wsp:val=&quot;004C2489&quot;/&gt;&lt;wsp:rsid wsp:val=&quot;004C24EA&quot;/&gt;&lt;wsp:rsid wsp:val=&quot;004C3767&quot;/&gt;&lt;wsp:rsid wsp:val=&quot;004C3AE3&quot;/&gt;&lt;wsp:rsid wsp:val=&quot;004C3AED&quot;/&gt;&lt;wsp:rsid wsp:val=&quot;004C3C8A&quot;/&gt;&lt;wsp:rsid wsp:val=&quot;004C59C2&quot;/&gt;&lt;wsp:rsid wsp:val=&quot;004C60C3&quot;/&gt;&lt;wsp:rsid wsp:val=&quot;004C622D&quot;/&gt;&lt;wsp:rsid wsp:val=&quot;004C68DB&quot;/&gt;&lt;wsp:rsid wsp:val=&quot;004C717F&quot;/&gt;&lt;wsp:rsid wsp:val=&quot;004D002C&quot;/&gt;&lt;wsp:rsid wsp:val=&quot;004D0580&quot;/&gt;&lt;wsp:rsid wsp:val=&quot;004D0CFC&quot;/&gt;&lt;wsp:rsid wsp:val=&quot;004D0F2D&quot;/&gt;&lt;wsp:rsid wsp:val=&quot;004D1CE7&quot;/&gt;&lt;wsp:rsid wsp:val=&quot;004D1F55&quot;/&gt;&lt;wsp:rsid wsp:val=&quot;004D29C3&quot;/&gt;&lt;wsp:rsid wsp:val=&quot;004D4167&quot;/&gt;&lt;wsp:rsid wsp:val=&quot;004D41B0&quot;/&gt;&lt;wsp:rsid wsp:val=&quot;004D4CBD&quot;/&gt;&lt;wsp:rsid wsp:val=&quot;004D4D6E&quot;/&gt;&lt;wsp:rsid wsp:val=&quot;004D5E34&quot;/&gt;&lt;wsp:rsid wsp:val=&quot;004D74B7&quot;/&gt;&lt;wsp:rsid wsp:val=&quot;004D7D40&quot;/&gt;&lt;wsp:rsid wsp:val=&quot;004E07BB&quot;/&gt;&lt;wsp:rsid wsp:val=&quot;004E0AAF&quot;/&gt;&lt;wsp:rsid wsp:val=&quot;004E0D6A&quot;/&gt;&lt;wsp:rsid wsp:val=&quot;004E125B&quot;/&gt;&lt;wsp:rsid wsp:val=&quot;004E1747&quot;/&gt;&lt;wsp:rsid wsp:val=&quot;004E19CA&quot;/&gt;&lt;wsp:rsid wsp:val=&quot;004E22CA&quot;/&gt;&lt;wsp:rsid wsp:val=&quot;004E33FF&quot;/&gt;&lt;wsp:rsid wsp:val=&quot;004E35B5&quot;/&gt;&lt;wsp:rsid wsp:val=&quot;004E3927&quot;/&gt;&lt;wsp:rsid wsp:val=&quot;004E465E&quot;/&gt;&lt;wsp:rsid wsp:val=&quot;004E5559&quot;/&gt;&lt;wsp:rsid wsp:val=&quot;004E57AB&quot;/&gt;&lt;wsp:rsid wsp:val=&quot;004E58B0&quot;/&gt;&lt;wsp:rsid wsp:val=&quot;004E59C6&quot;/&gt;&lt;wsp:rsid wsp:val=&quot;004E6200&quot;/&gt;&lt;wsp:rsid wsp:val=&quot;004E62DB&quot;/&gt;&lt;wsp:rsid wsp:val=&quot;004E65FF&quot;/&gt;&lt;wsp:rsid wsp:val=&quot;004E6A0F&quot;/&gt;&lt;wsp:rsid wsp:val=&quot;004E6A49&quot;/&gt;&lt;wsp:rsid wsp:val=&quot;004E728A&quot;/&gt;&lt;wsp:rsid wsp:val=&quot;004F026E&quot;/&gt;&lt;wsp:rsid wsp:val=&quot;004F09AC&quot;/&gt;&lt;wsp:rsid wsp:val=&quot;004F2057&quot;/&gt;&lt;wsp:rsid wsp:val=&quot;004F2514&quot;/&gt;&lt;wsp:rsid wsp:val=&quot;004F27CC&quot;/&gt;&lt;wsp:rsid wsp:val=&quot;004F357B&quot;/&gt;&lt;wsp:rsid wsp:val=&quot;004F3AAF&quot;/&gt;&lt;wsp:rsid wsp:val=&quot;004F3B38&quot;/&gt;&lt;wsp:rsid wsp:val=&quot;004F4F0B&quot;/&gt;&lt;wsp:rsid wsp:val=&quot;004F5572&quot;/&gt;&lt;wsp:rsid wsp:val=&quot;004F6FE9&quot;/&gt;&lt;wsp:rsid wsp:val=&quot;004F7C47&quot;/&gt;&lt;wsp:rsid wsp:val=&quot;004F7F57&quot;/&gt;&lt;wsp:rsid wsp:val=&quot;005000E8&quot;/&gt;&lt;wsp:rsid wsp:val=&quot;0050052C&quot;/&gt;&lt;wsp:rsid wsp:val=&quot;005010D9&quot;/&gt;&lt;wsp:rsid wsp:val=&quot;00501689&quot;/&gt;&lt;wsp:rsid wsp:val=&quot;00501D1B&quot;/&gt;&lt;wsp:rsid wsp:val=&quot;00502906&quot;/&gt;&lt;wsp:rsid wsp:val=&quot;0050317A&quot;/&gt;&lt;wsp:rsid wsp:val=&quot;00503F73&quot;/&gt;&lt;wsp:rsid wsp:val=&quot;00505210&quot;/&gt;&lt;wsp:rsid wsp:val=&quot;00505A76&quot;/&gt;&lt;wsp:rsid wsp:val=&quot;00505CB7&quot;/&gt;&lt;wsp:rsid wsp:val=&quot;005067C6&quot;/&gt;&lt;wsp:rsid wsp:val=&quot;00507AB8&quot;/&gt;&lt;wsp:rsid wsp:val=&quot;00510075&quot;/&gt;&lt;wsp:rsid wsp:val=&quot;005104FB&quot;/&gt;&lt;wsp:rsid wsp:val=&quot;00510E7B&quot;/&gt;&lt;wsp:rsid wsp:val=&quot;00511167&quot;/&gt;&lt;wsp:rsid wsp:val=&quot;00512673&quot;/&gt;&lt;wsp:rsid wsp:val=&quot;005129FD&quot;/&gt;&lt;wsp:rsid wsp:val=&quot;00512ADC&quot;/&gt;&lt;wsp:rsid wsp:val=&quot;00512D2B&quot;/&gt;&lt;wsp:rsid wsp:val=&quot;00512D4C&quot;/&gt;&lt;wsp:rsid wsp:val=&quot;005130E6&quot;/&gt;&lt;wsp:rsid wsp:val=&quot;00513922&quot;/&gt;&lt;wsp:rsid wsp:val=&quot;00513C00&quot;/&gt;&lt;wsp:rsid wsp:val=&quot;00513EEB&quot;/&gt;&lt;wsp:rsid wsp:val=&quot;0051478A&quot;/&gt;&lt;wsp:rsid wsp:val=&quot;0051521E&quot;/&gt;&lt;wsp:rsid wsp:val=&quot;00515467&quot;/&gt;&lt;wsp:rsid wsp:val=&quot;00515EF6&quot;/&gt;&lt;wsp:rsid wsp:val=&quot;00516E06&quot;/&gt;&lt;wsp:rsid wsp:val=&quot;00517102&quot;/&gt;&lt;wsp:rsid wsp:val=&quot;0052033F&quot;/&gt;&lt;wsp:rsid wsp:val=&quot;00520985&quot;/&gt;&lt;wsp:rsid wsp:val=&quot;00521D48&quot;/&gt;&lt;wsp:rsid wsp:val=&quot;00523A42&quot;/&gt;&lt;wsp:rsid wsp:val=&quot;0052448D&quot;/&gt;&lt;wsp:rsid wsp:val=&quot;00524E84&quot;/&gt;&lt;wsp:rsid wsp:val=&quot;00525C25&quot;/&gt;&lt;wsp:rsid wsp:val=&quot;005267FD&quot;/&gt;&lt;wsp:rsid wsp:val=&quot;0052682F&quot;/&gt;&lt;wsp:rsid wsp:val=&quot;0052726F&quot;/&gt;&lt;wsp:rsid wsp:val=&quot;0053015C&quot;/&gt;&lt;wsp:rsid wsp:val=&quot;0053040B&quot;/&gt;&lt;wsp:rsid wsp:val=&quot;0053149A&quot;/&gt;&lt;wsp:rsid wsp:val=&quot;005319E0&quot;/&gt;&lt;wsp:rsid wsp:val=&quot;00533505&quot;/&gt;&lt;wsp:rsid wsp:val=&quot;0053468A&quot;/&gt;&lt;wsp:rsid wsp:val=&quot;00534A0E&quot;/&gt;&lt;wsp:rsid wsp:val=&quot;00534EEB&quot;/&gt;&lt;wsp:rsid wsp:val=&quot;00535E8B&quot;/&gt;&lt;wsp:rsid wsp:val=&quot;00535FAC&quot;/&gt;&lt;wsp:rsid wsp:val=&quot;005360F2&quot;/&gt;&lt;wsp:rsid wsp:val=&quot;0053699A&quot;/&gt;&lt;wsp:rsid wsp:val=&quot;00536C4D&quot;/&gt;&lt;wsp:rsid wsp:val=&quot;00537251&quot;/&gt;&lt;wsp:rsid wsp:val=&quot;0053749E&quot;/&gt;&lt;wsp:rsid wsp:val=&quot;005379ED&quot;/&gt;&lt;wsp:rsid wsp:val=&quot;00537DE6&quot;/&gt;&lt;wsp:rsid wsp:val=&quot;00537EF0&quot;/&gt;&lt;wsp:rsid wsp:val=&quot;005400D7&quot;/&gt;&lt;wsp:rsid wsp:val=&quot;00540954&quot;/&gt;&lt;wsp:rsid wsp:val=&quot;00541B19&quot;/&gt;&lt;wsp:rsid wsp:val=&quot;00541E55&quot;/&gt;&lt;wsp:rsid wsp:val=&quot;00542AE1&quot;/&gt;&lt;wsp:rsid wsp:val=&quot;00543880&quot;/&gt;&lt;wsp:rsid wsp:val=&quot;00543B76&quot;/&gt;&lt;wsp:rsid wsp:val=&quot;00543B7C&quot;/&gt;&lt;wsp:rsid wsp:val=&quot;00543F0C&quot;/&gt;&lt;wsp:rsid wsp:val=&quot;00544249&quot;/&gt;&lt;wsp:rsid wsp:val=&quot;00544412&quot;/&gt;&lt;wsp:rsid wsp:val=&quot;00544D34&quot;/&gt;&lt;wsp:rsid wsp:val=&quot;0054532F&quot;/&gt;&lt;wsp:rsid wsp:val=&quot;005457D7&quot;/&gt;&lt;wsp:rsid wsp:val=&quot;00546DB6&quot;/&gt;&lt;wsp:rsid wsp:val=&quot;0054744D&quot;/&gt;&lt;wsp:rsid wsp:val=&quot;005478E9&quot;/&gt;&lt;wsp:rsid wsp:val=&quot;00547BE0&quot;/&gt;&lt;wsp:rsid wsp:val=&quot;005507DB&quot;/&gt;&lt;wsp:rsid wsp:val=&quot;0055294E&quot;/&gt;&lt;wsp:rsid wsp:val=&quot;0055320F&quot;/&gt;&lt;wsp:rsid wsp:val=&quot;005536E8&quot;/&gt;&lt;wsp:rsid wsp:val=&quot;005537E9&quot;/&gt;&lt;wsp:rsid wsp:val=&quot;005538F3&quot;/&gt;&lt;wsp:rsid wsp:val=&quot;00553915&quot;/&gt;&lt;wsp:rsid wsp:val=&quot;0055419C&quot;/&gt;&lt;wsp:rsid wsp:val=&quot;005542CB&quot;/&gt;&lt;wsp:rsid wsp:val=&quot;0055535E&quot;/&gt;&lt;wsp:rsid wsp:val=&quot;005557BD&quot;/&gt;&lt;wsp:rsid wsp:val=&quot;00555EA0&quot;/&gt;&lt;wsp:rsid wsp:val=&quot;00555F28&quot;/&gt;&lt;wsp:rsid wsp:val=&quot;0055606F&quot;/&gt;&lt;wsp:rsid wsp:val=&quot;005567EC&quot;/&gt;&lt;wsp:rsid wsp:val=&quot;00557616&quot;/&gt;&lt;wsp:rsid wsp:val=&quot;0056012C&quot;/&gt;&lt;wsp:rsid wsp:val=&quot;0056012E&quot;/&gt;&lt;wsp:rsid wsp:val=&quot;00560ABB&quot;/&gt;&lt;wsp:rsid wsp:val=&quot;00560BC5&quot;/&gt;&lt;wsp:rsid wsp:val=&quot;00560C17&quot;/&gt;&lt;wsp:rsid wsp:val=&quot;00560CBB&quot;/&gt;&lt;wsp:rsid wsp:val=&quot;00560D57&quot;/&gt;&lt;wsp:rsid wsp:val=&quot;00561AE6&quot;/&gt;&lt;wsp:rsid wsp:val=&quot;0056319A&quot;/&gt;&lt;wsp:rsid wsp:val=&quot;005632A1&quot;/&gt;&lt;wsp:rsid wsp:val=&quot;0056353A&quot;/&gt;&lt;wsp:rsid wsp:val=&quot;005638AE&quot;/&gt;&lt;wsp:rsid wsp:val=&quot;00563E3B&quot;/&gt;&lt;wsp:rsid wsp:val=&quot;00563F9D&quot;/&gt;&lt;wsp:rsid wsp:val=&quot;0056498C&quot;/&gt;&lt;wsp:rsid wsp:val=&quot;00564E7C&quot;/&gt;&lt;wsp:rsid wsp:val=&quot;00565648&quot;/&gt;&lt;wsp:rsid wsp:val=&quot;005656BC&quot;/&gt;&lt;wsp:rsid wsp:val=&quot;00565E17&quot;/&gt;&lt;wsp:rsid wsp:val=&quot;00565EC2&quot;/&gt;&lt;wsp:rsid wsp:val=&quot;005661EC&quot;/&gt;&lt;wsp:rsid wsp:val=&quot;00566815&quot;/&gt;&lt;wsp:rsid wsp:val=&quot;00566923&quot;/&gt;&lt;wsp:rsid wsp:val=&quot;00566B13&quot;/&gt;&lt;wsp:rsid wsp:val=&quot;005671F0&quot;/&gt;&lt;wsp:rsid wsp:val=&quot;005679FD&quot;/&gt;&lt;wsp:rsid wsp:val=&quot;0057134E&quot;/&gt;&lt;wsp:rsid wsp:val=&quot;00571D41&quot;/&gt;&lt;wsp:rsid wsp:val=&quot;00571FBF&quot;/&gt;&lt;wsp:rsid wsp:val=&quot;005725B6&quot;/&gt;&lt;wsp:rsid wsp:val=&quot;005726A6&quot;/&gt;&lt;wsp:rsid wsp:val=&quot;00573CA6&quot;/&gt;&lt;wsp:rsid wsp:val=&quot;00573DFB&quot;/&gt;&lt;wsp:rsid wsp:val=&quot;00573F78&quot;/&gt;&lt;wsp:rsid wsp:val=&quot;00574D87&quot;/&gt;&lt;wsp:rsid wsp:val=&quot;00574DBC&quot;/&gt;&lt;wsp:rsid wsp:val=&quot;005754A0&quot;/&gt;&lt;wsp:rsid wsp:val=&quot;0057585D&quot;/&gt;&lt;wsp:rsid wsp:val=&quot;00575A1C&quot;/&gt;&lt;wsp:rsid wsp:val=&quot;00575D85&quot;/&gt;&lt;wsp:rsid wsp:val=&quot;00577D01&quot;/&gt;&lt;wsp:rsid wsp:val=&quot;0058081D&quot;/&gt;&lt;wsp:rsid wsp:val=&quot;005827CE&quot;/&gt;&lt;wsp:rsid wsp:val=&quot;00582DF2&quot;/&gt;&lt;wsp:rsid wsp:val=&quot;00584160&quot;/&gt;&lt;wsp:rsid wsp:val=&quot;005849C3&quot;/&gt;&lt;wsp:rsid wsp:val=&quot;005861D8&quot;/&gt;&lt;wsp:rsid wsp:val=&quot;00586431&quot;/&gt;&lt;wsp:rsid wsp:val=&quot;00586C8C&quot;/&gt;&lt;wsp:rsid wsp:val=&quot;00586F8C&quot;/&gt;&lt;wsp:rsid wsp:val=&quot;00587233&quot;/&gt;&lt;wsp:rsid wsp:val=&quot;00587463&quot;/&gt;&lt;wsp:rsid wsp:val=&quot;005901B1&quot;/&gt;&lt;wsp:rsid wsp:val=&quot;0059043E&quot;/&gt;&lt;wsp:rsid wsp:val=&quot;005912C8&quot;/&gt;&lt;wsp:rsid wsp:val=&quot;00591C75&quot;/&gt;&lt;wsp:rsid wsp:val=&quot;005921F7&quot;/&gt;&lt;wsp:rsid wsp:val=&quot;005931A4&quot;/&gt;&lt;wsp:rsid wsp:val=&quot;00593426&quot;/&gt;&lt;wsp:rsid wsp:val=&quot;00593AD7&quot;/&gt;&lt;wsp:rsid wsp:val=&quot;00593F91&quot;/&gt;&lt;wsp:rsid wsp:val=&quot;00593FBB&quot;/&gt;&lt;wsp:rsid wsp:val=&quot;00594CB1&quot;/&gt;&lt;wsp:rsid wsp:val=&quot;0059518A&quot;/&gt;&lt;wsp:rsid wsp:val=&quot;00595451&quot;/&gt;&lt;wsp:rsid wsp:val=&quot;00595926&quot;/&gt;&lt;wsp:rsid wsp:val=&quot;005967AC&quot;/&gt;&lt;wsp:rsid wsp:val=&quot;005969EA&quot;/&gt;&lt;wsp:rsid wsp:val=&quot;00596A15&quot;/&gt;&lt;wsp:rsid wsp:val=&quot;00596FED&quot;/&gt;&lt;wsp:rsid wsp:val=&quot;005973B1&quot;/&gt;&lt;wsp:rsid wsp:val=&quot;0059745B&quot;/&gt;&lt;wsp:rsid wsp:val=&quot;00597E35&quot;/&gt;&lt;wsp:rsid wsp:val=&quot;00597FF9&quot;/&gt;&lt;wsp:rsid wsp:val=&quot;005A0951&quot;/&gt;&lt;wsp:rsid wsp:val=&quot;005A0B98&quot;/&gt;&lt;wsp:rsid wsp:val=&quot;005A25D5&quot;/&gt;&lt;wsp:rsid wsp:val=&quot;005A26D8&quot;/&gt;&lt;wsp:rsid wsp:val=&quot;005A2AAB&quot;/&gt;&lt;wsp:rsid wsp:val=&quot;005A3186&quot;/&gt;&lt;wsp:rsid wsp:val=&quot;005A31DD&quot;/&gt;&lt;wsp:rsid wsp:val=&quot;005A3AED&quot;/&gt;&lt;wsp:rsid wsp:val=&quot;005A3B2B&quot;/&gt;&lt;wsp:rsid wsp:val=&quot;005A3B48&quot;/&gt;&lt;wsp:rsid wsp:val=&quot;005A3EA5&quot;/&gt;&lt;wsp:rsid wsp:val=&quot;005A40E3&quot;/&gt;&lt;wsp:rsid wsp:val=&quot;005A4758&quot;/&gt;&lt;wsp:rsid wsp:val=&quot;005A4A95&quot;/&gt;&lt;wsp:rsid wsp:val=&quot;005A4C75&quot;/&gt;&lt;wsp:rsid wsp:val=&quot;005A619A&quot;/&gt;&lt;wsp:rsid wsp:val=&quot;005A69E1&quot;/&gt;&lt;wsp:rsid wsp:val=&quot;005A6C03&quot;/&gt;&lt;wsp:rsid wsp:val=&quot;005A7096&quot;/&gt;&lt;wsp:rsid wsp:val=&quot;005A70CD&quot;/&gt;&lt;wsp:rsid wsp:val=&quot;005B00AD&quot;/&gt;&lt;wsp:rsid wsp:val=&quot;005B0777&quot;/&gt;&lt;wsp:rsid wsp:val=&quot;005B0A5D&quot;/&gt;&lt;wsp:rsid wsp:val=&quot;005B0B63&quot;/&gt;&lt;wsp:rsid wsp:val=&quot;005B0EF8&quot;/&gt;&lt;wsp:rsid wsp:val=&quot;005B0FCA&quot;/&gt;&lt;wsp:rsid wsp:val=&quot;005B15BE&quot;/&gt;&lt;wsp:rsid wsp:val=&quot;005B229C&quot;/&gt;&lt;wsp:rsid wsp:val=&quot;005B254A&quot;/&gt;&lt;wsp:rsid wsp:val=&quot;005B36C0&quot;/&gt;&lt;wsp:rsid wsp:val=&quot;005B3D30&quot;/&gt;&lt;wsp:rsid wsp:val=&quot;005B3E84&quot;/&gt;&lt;wsp:rsid wsp:val=&quot;005B53DB&quot;/&gt;&lt;wsp:rsid wsp:val=&quot;005B5FFE&quot;/&gt;&lt;wsp:rsid wsp:val=&quot;005B611D&quot;/&gt;&lt;wsp:rsid wsp:val=&quot;005B7D34&quot;/&gt;&lt;wsp:rsid wsp:val=&quot;005C02AC&quot;/&gt;&lt;wsp:rsid wsp:val=&quot;005C0613&quot;/&gt;&lt;wsp:rsid wsp:val=&quot;005C1600&quot;/&gt;&lt;wsp:rsid wsp:val=&quot;005C16A9&quot;/&gt;&lt;wsp:rsid wsp:val=&quot;005C257F&quot;/&gt;&lt;wsp:rsid wsp:val=&quot;005C29DC&quot;/&gt;&lt;wsp:rsid wsp:val=&quot;005C328E&quot;/&gt;&lt;wsp:rsid wsp:val=&quot;005C3670&quot;/&gt;&lt;wsp:rsid wsp:val=&quot;005C3C3D&quot;/&gt;&lt;wsp:rsid wsp:val=&quot;005C60F9&quot;/&gt;&lt;wsp:rsid wsp:val=&quot;005C66CB&quot;/&gt;&lt;wsp:rsid wsp:val=&quot;005C6CFB&quot;/&gt;&lt;wsp:rsid wsp:val=&quot;005C73D9&quot;/&gt;&lt;wsp:rsid wsp:val=&quot;005C7658&quot;/&gt;&lt;wsp:rsid wsp:val=&quot;005D01B1&quot;/&gt;&lt;wsp:rsid wsp:val=&quot;005D05A9&quot;/&gt;&lt;wsp:rsid wsp:val=&quot;005D0BEC&quot;/&gt;&lt;wsp:rsid wsp:val=&quot;005D2042&quot;/&gt;&lt;wsp:rsid wsp:val=&quot;005D3FA3&quot;/&gt;&lt;wsp:rsid wsp:val=&quot;005D4E93&quot;/&gt;&lt;wsp:rsid wsp:val=&quot;005D5585&quot;/&gt;&lt;wsp:rsid wsp:val=&quot;005D5E96&quot;/&gt;&lt;wsp:rsid wsp:val=&quot;005D6633&quot;/&gt;&lt;wsp:rsid wsp:val=&quot;005D67CE&quot;/&gt;&lt;wsp:rsid wsp:val=&quot;005D6831&quot;/&gt;&lt;wsp:rsid wsp:val=&quot;005D691B&quot;/&gt;&lt;wsp:rsid wsp:val=&quot;005D74D2&quot;/&gt;&lt;wsp:rsid wsp:val=&quot;005D790B&quot;/&gt;&lt;wsp:rsid wsp:val=&quot;005E0782&quot;/&gt;&lt;wsp:rsid wsp:val=&quot;005E0C3B&quot;/&gt;&lt;wsp:rsid wsp:val=&quot;005E1160&quot;/&gt;&lt;wsp:rsid wsp:val=&quot;005E1689&quot;/&gt;&lt;wsp:rsid wsp:val=&quot;005E21DC&quot;/&gt;&lt;wsp:rsid wsp:val=&quot;005E2E36&quot;/&gt;&lt;wsp:rsid wsp:val=&quot;005E3A56&quot;/&gt;&lt;wsp:rsid wsp:val=&quot;005E46F8&quot;/&gt;&lt;wsp:rsid wsp:val=&quot;005E4724&quot;/&gt;&lt;wsp:rsid wsp:val=&quot;005E4E00&quot;/&gt;&lt;wsp:rsid wsp:val=&quot;005E54EF&quot;/&gt;&lt;wsp:rsid wsp:val=&quot;005E627F&quot;/&gt;&lt;wsp:rsid wsp:val=&quot;005E6307&quot;/&gt;&lt;wsp:rsid wsp:val=&quot;005E76C2&quot;/&gt;&lt;wsp:rsid wsp:val=&quot;005E76C6&quot;/&gt;&lt;wsp:rsid wsp:val=&quot;005F006F&quot;/&gt;&lt;wsp:rsid wsp:val=&quot;005F115F&quot;/&gt;&lt;wsp:rsid wsp:val=&quot;005F1232&quot;/&gt;&lt;wsp:rsid wsp:val=&quot;005F12BF&quot;/&gt;&lt;wsp:rsid wsp:val=&quot;005F1BF7&quot;/&gt;&lt;wsp:rsid wsp:val=&quot;005F1D07&quot;/&gt;&lt;wsp:rsid wsp:val=&quot;005F3298&quot;/&gt;&lt;wsp:rsid wsp:val=&quot;005F375B&quot;/&gt;&lt;wsp:rsid wsp:val=&quot;005F45A8&quot;/&gt;&lt;wsp:rsid wsp:val=&quot;005F48FA&quot;/&gt;&lt;wsp:rsid wsp:val=&quot;005F4C8C&quot;/&gt;&lt;wsp:rsid wsp:val=&quot;005F4D1A&quot;/&gt;&lt;wsp:rsid wsp:val=&quot;005F70DF&quot;/&gt;&lt;wsp:rsid wsp:val=&quot;005F7324&quot;/&gt;&lt;wsp:rsid wsp:val=&quot;005F7965&quot;/&gt;&lt;wsp:rsid wsp:val=&quot;006000B0&quot;/&gt;&lt;wsp:rsid wsp:val=&quot;00600A61&quot;/&gt;&lt;wsp:rsid wsp:val=&quot;0060102C&quot;/&gt;&lt;wsp:rsid wsp:val=&quot;0060155C&quot;/&gt;&lt;wsp:rsid wsp:val=&quot;0060254E&quot;/&gt;&lt;wsp:rsid wsp:val=&quot;006028B9&quot;/&gt;&lt;wsp:rsid wsp:val=&quot;00602AEA&quot;/&gt;&lt;wsp:rsid wsp:val=&quot;00602FC5&quot;/&gt;&lt;wsp:rsid wsp:val=&quot;00603388&quot;/&gt;&lt;wsp:rsid wsp:val=&quot;00603587&quot;/&gt;&lt;wsp:rsid wsp:val=&quot;006042D4&quot;/&gt;&lt;wsp:rsid wsp:val=&quot;006049FB&quot;/&gt;&lt;wsp:rsid wsp:val=&quot;00605152&quot;/&gt;&lt;wsp:rsid wsp:val=&quot;00605896&quot;/&gt;&lt;wsp:rsid wsp:val=&quot;00605D0F&quot;/&gt;&lt;wsp:rsid wsp:val=&quot;00605E78&quot;/&gt;&lt;wsp:rsid wsp:val=&quot;00607EDD&quot;/&gt;&lt;wsp:rsid wsp:val=&quot;00610480&quot;/&gt;&lt;wsp:rsid wsp:val=&quot;00610F62&quot;/&gt;&lt;wsp:rsid wsp:val=&quot;00612CF3&quot;/&gt;&lt;wsp:rsid wsp:val=&quot;006135E8&quot;/&gt;&lt;wsp:rsid wsp:val=&quot;00613FA5&quot;/&gt;&lt;wsp:rsid wsp:val=&quot;00616ED2&quot;/&gt;&lt;wsp:rsid wsp:val=&quot;0061782A&quot;/&gt;&lt;wsp:rsid wsp:val=&quot;0062064B&quot;/&gt;&lt;wsp:rsid wsp:val=&quot;00620D2D&quot;/&gt;&lt;wsp:rsid wsp:val=&quot;00620F22&quot;/&gt;&lt;wsp:rsid wsp:val=&quot;00620F90&quot;/&gt;&lt;wsp:rsid wsp:val=&quot;006213C8&quot;/&gt;&lt;wsp:rsid wsp:val=&quot;0062223E&quot;/&gt;&lt;wsp:rsid wsp:val=&quot;00622595&quot;/&gt;&lt;wsp:rsid wsp:val=&quot;00623B5F&quot;/&gt;&lt;wsp:rsid wsp:val=&quot;006240F3&quot;/&gt;&lt;wsp:rsid wsp:val=&quot;006242CD&quot;/&gt;&lt;wsp:rsid wsp:val=&quot;0062443C&quot;/&gt;&lt;wsp:rsid wsp:val=&quot;00624516&quot;/&gt;&lt;wsp:rsid wsp:val=&quot;006247DF&quot;/&gt;&lt;wsp:rsid wsp:val=&quot;00624B58&quot;/&gt;&lt;wsp:rsid wsp:val=&quot;00625C46&quot;/&gt;&lt;wsp:rsid wsp:val=&quot;00626874&quot;/&gt;&lt;wsp:rsid wsp:val=&quot;00626DB7&quot;/&gt;&lt;wsp:rsid wsp:val=&quot;00630222&quot;/&gt;&lt;wsp:rsid wsp:val=&quot;006304F8&quot;/&gt;&lt;wsp:rsid wsp:val=&quot;0063068F&quot;/&gt;&lt;wsp:rsid wsp:val=&quot;006322EC&quot;/&gt;&lt;wsp:rsid wsp:val=&quot;0063267B&quot;/&gt;&lt;wsp:rsid wsp:val=&quot;00632948&quot;/&gt;&lt;wsp:rsid wsp:val=&quot;00633427&quot;/&gt;&lt;wsp:rsid wsp:val=&quot;00634ECB&quot;/&gt;&lt;wsp:rsid wsp:val=&quot;00635519&quot;/&gt;&lt;wsp:rsid wsp:val=&quot;006365F0&quot;/&gt;&lt;wsp:rsid wsp:val=&quot;0063670B&quot;/&gt;&lt;wsp:rsid wsp:val=&quot;00636B62&quot;/&gt;&lt;wsp:rsid wsp:val=&quot;00636DAB&quot;/&gt;&lt;wsp:rsid wsp:val=&quot;00637360&quot;/&gt;&lt;wsp:rsid wsp:val=&quot;00637D60&quot;/&gt;&lt;wsp:rsid wsp:val=&quot;00637D7A&quot;/&gt;&lt;wsp:rsid wsp:val=&quot;00640815&quot;/&gt;&lt;wsp:rsid wsp:val=&quot;00640B3E&quot;/&gt;&lt;wsp:rsid wsp:val=&quot;00641360&quot;/&gt;&lt;wsp:rsid wsp:val=&quot;0064232C&quot;/&gt;&lt;wsp:rsid wsp:val=&quot;00642E46&quot;/&gt;&lt;wsp:rsid wsp:val=&quot;0064363D&quot;/&gt;&lt;wsp:rsid wsp:val=&quot;00643649&quot;/&gt;&lt;wsp:rsid wsp:val=&quot;00644C78&quot;/&gt;&lt;wsp:rsid wsp:val=&quot;00646095&quot;/&gt;&lt;wsp:rsid wsp:val=&quot;006465F5&quot;/&gt;&lt;wsp:rsid wsp:val=&quot;006470FE&quot;/&gt;&lt;wsp:rsid wsp:val=&quot;0064739C&quot;/&gt;&lt;wsp:rsid wsp:val=&quot;00647436&quot;/&gt;&lt;wsp:rsid wsp:val=&quot;00647EEF&quot;/&gt;&lt;wsp:rsid wsp:val=&quot;00650575&quot;/&gt;&lt;wsp:rsid wsp:val=&quot;006508E0&quot;/&gt;&lt;wsp:rsid wsp:val=&quot;00650E81&quot;/&gt;&lt;wsp:rsid wsp:val=&quot;0065139C&quot;/&gt;&lt;wsp:rsid wsp:val=&quot;006517B1&quot;/&gt;&lt;wsp:rsid wsp:val=&quot;00651901&quot;/&gt;&lt;wsp:rsid wsp:val=&quot;006527BF&quot;/&gt;&lt;wsp:rsid wsp:val=&quot;00652971&quot;/&gt;&lt;wsp:rsid wsp:val=&quot;00652C3D&quot;/&gt;&lt;wsp:rsid wsp:val=&quot;00653BA4&quot;/&gt;&lt;wsp:rsid wsp:val=&quot;00654BA6&quot;/&gt;&lt;wsp:rsid wsp:val=&quot;00654EEC&quot;/&gt;&lt;wsp:rsid wsp:val=&quot;006556FF&quot;/&gt;&lt;wsp:rsid wsp:val=&quot;00655B79&quot;/&gt;&lt;wsp:rsid wsp:val=&quot;00655E5D&quot;/&gt;&lt;wsp:rsid wsp:val=&quot;00656329&quot;/&gt;&lt;wsp:rsid wsp:val=&quot;00656D69&quot;/&gt;&lt;wsp:rsid wsp:val=&quot;0066057C&quot;/&gt;&lt;wsp:rsid wsp:val=&quot;00661113&quot;/&gt;&lt;wsp:rsid wsp:val=&quot;00661A97&quot;/&gt;&lt;wsp:rsid wsp:val=&quot;0066210B&quot;/&gt;&lt;wsp:rsid wsp:val=&quot;00662481&quot;/&gt;&lt;wsp:rsid wsp:val=&quot;006629C3&quot;/&gt;&lt;wsp:rsid wsp:val=&quot;00662B60&quot;/&gt;&lt;wsp:rsid wsp:val=&quot;00662D09&quot;/&gt;&lt;wsp:rsid wsp:val=&quot;00663021&quot;/&gt;&lt;wsp:rsid wsp:val=&quot;00663385&quot;/&gt;&lt;wsp:rsid wsp:val=&quot;0066393D&quot;/&gt;&lt;wsp:rsid wsp:val=&quot;00663D80&quot;/&gt;&lt;wsp:rsid wsp:val=&quot;006640BE&quot;/&gt;&lt;wsp:rsid wsp:val=&quot;00664B47&quot;/&gt;&lt;wsp:rsid wsp:val=&quot;00665C80&quot;/&gt;&lt;wsp:rsid wsp:val=&quot;00665CF4&quot;/&gt;&lt;wsp:rsid wsp:val=&quot;006664C8&quot;/&gt;&lt;wsp:rsid wsp:val=&quot;006664DA&quot;/&gt;&lt;wsp:rsid wsp:val=&quot;00670F03&quot;/&gt;&lt;wsp:rsid wsp:val=&quot;0067162B&quot;/&gt;&lt;wsp:rsid wsp:val=&quot;00671A06&quot;/&gt;&lt;wsp:rsid wsp:val=&quot;00671CD8&quot;/&gt;&lt;wsp:rsid wsp:val=&quot;006723AB&quot;/&gt;&lt;wsp:rsid wsp:val=&quot;00672898&quot;/&gt;&lt;wsp:rsid wsp:val=&quot;0067295C&quot;/&gt;&lt;wsp:rsid wsp:val=&quot;00672D0C&quot;/&gt;&lt;wsp:rsid wsp:val=&quot;00672ECE&quot;/&gt;&lt;wsp:rsid wsp:val=&quot;006749F7&quot;/&gt;&lt;wsp:rsid wsp:val=&quot;00674E1C&quot;/&gt;&lt;wsp:rsid wsp:val=&quot;00675A6F&quot;/&gt;&lt;wsp:rsid wsp:val=&quot;0067654A&quot;/&gt;&lt;wsp:rsid wsp:val=&quot;00676EAD&quot;/&gt;&lt;wsp:rsid wsp:val=&quot;0068000B&quot;/&gt;&lt;wsp:rsid wsp:val=&quot;0068045B&quot;/&gt;&lt;wsp:rsid wsp:val=&quot;00680C12&quot;/&gt;&lt;wsp:rsid wsp:val=&quot;0068181C&quot;/&gt;&lt;wsp:rsid wsp:val=&quot;0068208F&quot;/&gt;&lt;wsp:rsid wsp:val=&quot;006828AF&quot;/&gt;&lt;wsp:rsid wsp:val=&quot;006837D5&quot;/&gt;&lt;wsp:rsid wsp:val=&quot;00683DD4&quot;/&gt;&lt;wsp:rsid wsp:val=&quot;0068423C&quot;/&gt;&lt;wsp:rsid wsp:val=&quot;006848DC&quot;/&gt;&lt;wsp:rsid wsp:val=&quot;0068545D&quot;/&gt;&lt;wsp:rsid wsp:val=&quot;00685BA0&quot;/&gt;&lt;wsp:rsid wsp:val=&quot;00685F60&quot;/&gt;&lt;wsp:rsid wsp:val=&quot;0068673D&quot;/&gt;&lt;wsp:rsid wsp:val=&quot;0068703A&quot;/&gt;&lt;wsp:rsid wsp:val=&quot;0069040C&quot;/&gt;&lt;wsp:rsid wsp:val=&quot;00691FDC&quot;/&gt;&lt;wsp:rsid wsp:val=&quot;00692855&quot;/&gt;&lt;wsp:rsid wsp:val=&quot;00692B93&quot;/&gt;&lt;wsp:rsid wsp:val=&quot;006930D4&quot;/&gt;&lt;wsp:rsid wsp:val=&quot;006935CE&quot;/&gt;&lt;wsp:rsid wsp:val=&quot;00693ADB&quot;/&gt;&lt;wsp:rsid wsp:val=&quot;00693E40&quot;/&gt;&lt;wsp:rsid wsp:val=&quot;0069479F&quot;/&gt;&lt;wsp:rsid wsp:val=&quot;0069607C&quot;/&gt;&lt;wsp:rsid wsp:val=&quot;00696194&quot;/&gt;&lt;wsp:rsid wsp:val=&quot;00696B02&quot;/&gt;&lt;wsp:rsid wsp:val=&quot;0069763E&quot;/&gt;&lt;wsp:rsid wsp:val=&quot;00697CC0&quot;/&gt;&lt;wsp:rsid wsp:val=&quot;006A1393&quot;/&gt;&lt;wsp:rsid wsp:val=&quot;006A1667&quot;/&gt;&lt;wsp:rsid wsp:val=&quot;006A167F&quot;/&gt;&lt;wsp:rsid wsp:val=&quot;006A2244&quot;/&gt;&lt;wsp:rsid wsp:val=&quot;006A2352&quot;/&gt;&lt;wsp:rsid wsp:val=&quot;006A2B67&quot;/&gt;&lt;wsp:rsid wsp:val=&quot;006A301B&quot;/&gt;&lt;wsp:rsid wsp:val=&quot;006A309B&quot;/&gt;&lt;wsp:rsid wsp:val=&quot;006A33A0&quot;/&gt;&lt;wsp:rsid wsp:val=&quot;006A3B8C&quot;/&gt;&lt;wsp:rsid wsp:val=&quot;006A3DB7&quot;/&gt;&lt;wsp:rsid wsp:val=&quot;006A444E&quot;/&gt;&lt;wsp:rsid wsp:val=&quot;006A4A91&quot;/&gt;&lt;wsp:rsid wsp:val=&quot;006A4DDC&quot;/&gt;&lt;wsp:rsid wsp:val=&quot;006A5302&quot;/&gt;&lt;wsp:rsid wsp:val=&quot;006A57D2&quot;/&gt;&lt;wsp:rsid wsp:val=&quot;006A607F&quot;/&gt;&lt;wsp:rsid wsp:val=&quot;006A65A4&quot;/&gt;&lt;wsp:rsid wsp:val=&quot;006A74B1&quot;/&gt;&lt;wsp:rsid wsp:val=&quot;006B18F8&quot;/&gt;&lt;wsp:rsid wsp:val=&quot;006B1BB0&quot;/&gt;&lt;wsp:rsid wsp:val=&quot;006B1FBD&quot;/&gt;&lt;wsp:rsid wsp:val=&quot;006B20A2&quot;/&gt;&lt;wsp:rsid wsp:val=&quot;006B2169&quot;/&gt;&lt;wsp:rsid wsp:val=&quot;006B26C6&quot;/&gt;&lt;wsp:rsid wsp:val=&quot;006B28CE&quot;/&gt;&lt;wsp:rsid wsp:val=&quot;006B2CFA&quot;/&gt;&lt;wsp:rsid wsp:val=&quot;006B3458&quot;/&gt;&lt;wsp:rsid wsp:val=&quot;006B39F0&quot;/&gt;&lt;wsp:rsid wsp:val=&quot;006B48B0&quot;/&gt;&lt;wsp:rsid wsp:val=&quot;006B4951&quot;/&gt;&lt;wsp:rsid wsp:val=&quot;006B49C4&quot;/&gt;&lt;wsp:rsid wsp:val=&quot;006B543A&quot;/&gt;&lt;wsp:rsid wsp:val=&quot;006B59A7&quot;/&gt;&lt;wsp:rsid wsp:val=&quot;006B62B6&quot;/&gt;&lt;wsp:rsid wsp:val=&quot;006B6468&quot;/&gt;&lt;wsp:rsid wsp:val=&quot;006B675E&quot;/&gt;&lt;wsp:rsid wsp:val=&quot;006B6C47&quot;/&gt;&lt;wsp:rsid wsp:val=&quot;006C00A9&quot;/&gt;&lt;wsp:rsid wsp:val=&quot;006C092F&quot;/&gt;&lt;wsp:rsid wsp:val=&quot;006C280F&quot;/&gt;&lt;wsp:rsid wsp:val=&quot;006C2E3C&quot;/&gt;&lt;wsp:rsid wsp:val=&quot;006C34B2&quot;/&gt;&lt;wsp:rsid wsp:val=&quot;006C34C9&quot;/&gt;&lt;wsp:rsid wsp:val=&quot;006C408B&quot;/&gt;&lt;wsp:rsid wsp:val=&quot;006C5092&quot;/&gt;&lt;wsp:rsid wsp:val=&quot;006C537F&quot;/&gt;&lt;wsp:rsid wsp:val=&quot;006C5D4B&quot;/&gt;&lt;wsp:rsid wsp:val=&quot;006C60B6&quot;/&gt;&lt;wsp:rsid wsp:val=&quot;006C6468&quot;/&gt;&lt;wsp:rsid wsp:val=&quot;006C7D81&quot;/&gt;&lt;wsp:rsid wsp:val=&quot;006D009B&quot;/&gt;&lt;wsp:rsid wsp:val=&quot;006D00F9&quot;/&gt;&lt;wsp:rsid wsp:val=&quot;006D02F4&quot;/&gt;&lt;wsp:rsid wsp:val=&quot;006D0922&quot;/&gt;&lt;wsp:rsid wsp:val=&quot;006D09AF&quot;/&gt;&lt;wsp:rsid wsp:val=&quot;006D0B54&quot;/&gt;&lt;wsp:rsid wsp:val=&quot;006D2B20&quot;/&gt;&lt;wsp:rsid wsp:val=&quot;006D3550&quot;/&gt;&lt;wsp:rsid wsp:val=&quot;006D4486&quot;/&gt;&lt;wsp:rsid wsp:val=&quot;006D44DC&quot;/&gt;&lt;wsp:rsid wsp:val=&quot;006D4CC9&quot;/&gt;&lt;wsp:rsid wsp:val=&quot;006D5059&quot;/&gt;&lt;wsp:rsid wsp:val=&quot;006D5A4A&quot;/&gt;&lt;wsp:rsid wsp:val=&quot;006D5AA1&quot;/&gt;&lt;wsp:rsid wsp:val=&quot;006D5B40&quot;/&gt;&lt;wsp:rsid wsp:val=&quot;006D60B7&quot;/&gt;&lt;wsp:rsid wsp:val=&quot;006D6967&quot;/&gt;&lt;wsp:rsid wsp:val=&quot;006D69E4&quot;/&gt;&lt;wsp:rsid wsp:val=&quot;006D7251&quot;/&gt;&lt;wsp:rsid wsp:val=&quot;006D7673&quot;/&gt;&lt;wsp:rsid wsp:val=&quot;006D7E52&quot;/&gt;&lt;wsp:rsid wsp:val=&quot;006D7FAF&quot;/&gt;&lt;wsp:rsid wsp:val=&quot;006E0172&quot;/&gt;&lt;wsp:rsid wsp:val=&quot;006E147F&quot;/&gt;&lt;wsp:rsid wsp:val=&quot;006E19CD&quot;/&gt;&lt;wsp:rsid wsp:val=&quot;006E21D9&quot;/&gt;&lt;wsp:rsid wsp:val=&quot;006E22BE&quot;/&gt;&lt;wsp:rsid wsp:val=&quot;006E250B&quot;/&gt;&lt;wsp:rsid wsp:val=&quot;006E2765&quot;/&gt;&lt;wsp:rsid wsp:val=&quot;006E3885&quot;/&gt;&lt;wsp:rsid wsp:val=&quot;006E3CF0&quot;/&gt;&lt;wsp:rsid wsp:val=&quot;006E3F91&quot;/&gt;&lt;wsp:rsid wsp:val=&quot;006E4B8A&quot;/&gt;&lt;wsp:rsid wsp:val=&quot;006E4C39&quot;/&gt;&lt;wsp:rsid wsp:val=&quot;006E4D7C&quot;/&gt;&lt;wsp:rsid wsp:val=&quot;006E60F4&quot;/&gt;&lt;wsp:rsid wsp:val=&quot;006E619A&quot;/&gt;&lt;wsp:rsid wsp:val=&quot;006E66D5&quot;/&gt;&lt;wsp:rsid wsp:val=&quot;006E7445&quot;/&gt;&lt;wsp:rsid wsp:val=&quot;006E779C&quot;/&gt;&lt;wsp:rsid wsp:val=&quot;006E7A51&quot;/&gt;&lt;wsp:rsid wsp:val=&quot;006E7E3D&quot;/&gt;&lt;wsp:rsid wsp:val=&quot;006F0142&quot;/&gt;&lt;wsp:rsid wsp:val=&quot;006F05B3&quot;/&gt;&lt;wsp:rsid wsp:val=&quot;006F13CF&quot;/&gt;&lt;wsp:rsid wsp:val=&quot;006F369E&quot;/&gt;&lt;wsp:rsid wsp:val=&quot;006F4136&quot;/&gt;&lt;wsp:rsid wsp:val=&quot;006F56DC&quot;/&gt;&lt;wsp:rsid wsp:val=&quot;006F57C7&quot;/&gt;&lt;wsp:rsid wsp:val=&quot;006F57D5&quot;/&gt;&lt;wsp:rsid wsp:val=&quot;006F598D&quot;/&gt;&lt;wsp:rsid wsp:val=&quot;006F5A49&quot;/&gt;&lt;wsp:rsid wsp:val=&quot;006F5CC1&quot;/&gt;&lt;wsp:rsid wsp:val=&quot;006F63AD&quot;/&gt;&lt;wsp:rsid wsp:val=&quot;006F6957&quot;/&gt;&lt;wsp:rsid wsp:val=&quot;006F7BE6&quot;/&gt;&lt;wsp:rsid wsp:val=&quot;00701359&quot;/&gt;&lt;wsp:rsid wsp:val=&quot;00701D1B&quot;/&gt;&lt;wsp:rsid wsp:val=&quot;00702894&quot;/&gt;&lt;wsp:rsid wsp:val=&quot;0070438E&quot;/&gt;&lt;wsp:rsid wsp:val=&quot;007049EB&quot;/&gt;&lt;wsp:rsid wsp:val=&quot;007053B7&quot;/&gt;&lt;wsp:rsid wsp:val=&quot;00705BF7&quot;/&gt;&lt;wsp:rsid wsp:val=&quot;00705DE9&quot;/&gt;&lt;wsp:rsid wsp:val=&quot;00705F1C&quot;/&gt;&lt;wsp:rsid wsp:val=&quot;00706428&quot;/&gt;&lt;wsp:rsid wsp:val=&quot;007064D0&quot;/&gt;&lt;wsp:rsid wsp:val=&quot;007065B5&quot;/&gt;&lt;wsp:rsid wsp:val=&quot;00706A8A&quot;/&gt;&lt;wsp:rsid wsp:val=&quot;00706EF2&quot;/&gt;&lt;wsp:rsid wsp:val=&quot;007073C6&quot;/&gt;&lt;wsp:rsid wsp:val=&quot;00707457&quot;/&gt;&lt;wsp:rsid wsp:val=&quot;007106FE&quot;/&gt;&lt;wsp:rsid wsp:val=&quot;00710BF6&quot;/&gt;&lt;wsp:rsid wsp:val=&quot;00711232&quot;/&gt;&lt;wsp:rsid wsp:val=&quot;007118AA&quot;/&gt;&lt;wsp:rsid wsp:val=&quot;00711A60&quot;/&gt;&lt;wsp:rsid wsp:val=&quot;0071201B&quot;/&gt;&lt;wsp:rsid wsp:val=&quot;00712510&quot;/&gt;&lt;wsp:rsid wsp:val=&quot;00712DF0&quot;/&gt;&lt;wsp:rsid wsp:val=&quot;00712E3D&quot;/&gt;&lt;wsp:rsid wsp:val=&quot;0071405C&quot;/&gt;&lt;wsp:rsid wsp:val=&quot;00714F57&quot;/&gt;&lt;wsp:rsid wsp:val=&quot;0071789A&quot;/&gt;&lt;wsp:rsid wsp:val=&quot;00722191&quot;/&gt;&lt;wsp:rsid wsp:val=&quot;00722577&quot;/&gt;&lt;wsp:rsid wsp:val=&quot;0072304F&quot;/&gt;&lt;wsp:rsid wsp:val=&quot;0072353D&quot;/&gt;&lt;wsp:rsid wsp:val=&quot;00723569&quot;/&gt;&lt;wsp:rsid wsp:val=&quot;00723931&quot;/&gt;&lt;wsp:rsid wsp:val=&quot;00723D71&quot;/&gt;&lt;wsp:rsid wsp:val=&quot;00724FC8&quot;/&gt;&lt;wsp:rsid wsp:val=&quot;007251C4&quot;/&gt;&lt;wsp:rsid wsp:val=&quot;007255AA&quot;/&gt;&lt;wsp:rsid wsp:val=&quot;007262B7&quot;/&gt;&lt;wsp:rsid wsp:val=&quot;00727037&quot;/&gt;&lt;wsp:rsid wsp:val=&quot;00727095&quot;/&gt;&lt;wsp:rsid wsp:val=&quot;00727254&quot;/&gt;&lt;wsp:rsid wsp:val=&quot;0072732C&quot;/&gt;&lt;wsp:rsid wsp:val=&quot;0072757C&quot;/&gt;&lt;wsp:rsid wsp:val=&quot;0073065F&quot;/&gt;&lt;wsp:rsid wsp:val=&quot;00730EE1&quot;/&gt;&lt;wsp:rsid wsp:val=&quot;007319F7&quot;/&gt;&lt;wsp:rsid wsp:val=&quot;00733019&quot;/&gt;&lt;wsp:rsid wsp:val=&quot;00733419&quot;/&gt;&lt;wsp:rsid wsp:val=&quot;0073473F&quot;/&gt;&lt;wsp:rsid wsp:val=&quot;0073494C&quot;/&gt;&lt;wsp:rsid wsp:val=&quot;00734E83&quot;/&gt;&lt;wsp:rsid wsp:val=&quot;00735096&quot;/&gt;&lt;wsp:rsid wsp:val=&quot;00736079&quot;/&gt;&lt;wsp:rsid wsp:val=&quot;00736BEF&quot;/&gt;&lt;wsp:rsid wsp:val=&quot;007377DB&quot;/&gt;&lt;wsp:rsid wsp:val=&quot;00737C97&quot;/&gt;&lt;wsp:rsid wsp:val=&quot;00737E45&quot;/&gt;&lt;wsp:rsid wsp:val=&quot;00740BED&quot;/&gt;&lt;wsp:rsid wsp:val=&quot;007413CF&quot;/&gt;&lt;wsp:rsid wsp:val=&quot;0074172A&quot;/&gt;&lt;wsp:rsid wsp:val=&quot;00741BA7&quot;/&gt;&lt;wsp:rsid wsp:val=&quot;007420C8&quot;/&gt;&lt;wsp:rsid wsp:val=&quot;0074210E&quot;/&gt;&lt;wsp:rsid wsp:val=&quot;0074311F&quot;/&gt;&lt;wsp:rsid wsp:val=&quot;0074440B&quot;/&gt;&lt;wsp:rsid wsp:val=&quot;00745123&quot;/&gt;&lt;wsp:rsid wsp:val=&quot;00746A35&quot;/&gt;&lt;wsp:rsid wsp:val=&quot;00746EFB&quot;/&gt;&lt;wsp:rsid wsp:val=&quot;00747211&quot;/&gt;&lt;wsp:rsid wsp:val=&quot;0074776C&quot;/&gt;&lt;wsp:rsid wsp:val=&quot;007504A9&quot;/&gt;&lt;wsp:rsid wsp:val=&quot;007506B5&quot;/&gt;&lt;wsp:rsid wsp:val=&quot;00750A37&quot;/&gt;&lt;wsp:rsid wsp:val=&quot;00750CDB&quot;/&gt;&lt;wsp:rsid wsp:val=&quot;00750D4F&quot;/&gt;&lt;wsp:rsid wsp:val=&quot;00750FED&quot;/&gt;&lt;wsp:rsid wsp:val=&quot;00751E52&quot;/&gt;&lt;wsp:rsid wsp:val=&quot;0075269B&quot;/&gt;&lt;wsp:rsid wsp:val=&quot;0075274A&quot;/&gt;&lt;wsp:rsid wsp:val=&quot;0075283E&quot;/&gt;&lt;wsp:rsid wsp:val=&quot;00752A63&quot;/&gt;&lt;wsp:rsid wsp:val=&quot;00753491&quot;/&gt;&lt;wsp:rsid wsp:val=&quot;00753A41&quot;/&gt;&lt;wsp:rsid wsp:val=&quot;00753AD1&quot;/&gt;&lt;wsp:rsid wsp:val=&quot;00753E41&quot;/&gt;&lt;wsp:rsid wsp:val=&quot;00753E82&quot;/&gt;&lt;wsp:rsid wsp:val=&quot;00754C45&quot;/&gt;&lt;wsp:rsid wsp:val=&quot;00754CC8&quot;/&gt;&lt;wsp:rsid wsp:val=&quot;00754E26&quot;/&gt;&lt;wsp:rsid wsp:val=&quot;00760019&quot;/&gt;&lt;wsp:rsid wsp:val=&quot;007600D5&quot;/&gt;&lt;wsp:rsid wsp:val=&quot;00761B61&quot;/&gt;&lt;wsp:rsid wsp:val=&quot;00762609&quot;/&gt;&lt;wsp:rsid wsp:val=&quot;00763481&quot;/&gt;&lt;wsp:rsid wsp:val=&quot;007637A4&quot;/&gt;&lt;wsp:rsid wsp:val=&quot;0076402E&quot;/&gt;&lt;wsp:rsid wsp:val=&quot;00764618&quot;/&gt;&lt;wsp:rsid wsp:val=&quot;00764C5A&quot;/&gt;&lt;wsp:rsid wsp:val=&quot;007650A6&quot;/&gt;&lt;wsp:rsid wsp:val=&quot;0076558D&quot;/&gt;&lt;wsp:rsid wsp:val=&quot;00765F03&quot;/&gt;&lt;wsp:rsid wsp:val=&quot;007662B0&quot;/&gt;&lt;wsp:rsid wsp:val=&quot;00766453&quot;/&gt;&lt;wsp:rsid wsp:val=&quot;007664C4&quot;/&gt;&lt;wsp:rsid wsp:val=&quot;007667B8&quot;/&gt;&lt;wsp:rsid wsp:val=&quot;0077028D&quot;/&gt;&lt;wsp:rsid wsp:val=&quot;007702A4&quot;/&gt;&lt;wsp:rsid wsp:val=&quot;00770E44&quot;/&gt;&lt;wsp:rsid wsp:val=&quot;00772285&quot;/&gt;&lt;wsp:rsid wsp:val=&quot;007724BC&quot;/&gt;&lt;wsp:rsid wsp:val=&quot;0077263A&quot;/&gt;&lt;wsp:rsid wsp:val=&quot;00772852&quot;/&gt;&lt;wsp:rsid wsp:val=&quot;00772B8B&quot;/&gt;&lt;wsp:rsid wsp:val=&quot;007740F4&quot;/&gt;&lt;wsp:rsid wsp:val=&quot;00774E61&quot;/&gt;&lt;wsp:rsid wsp:val=&quot;00775F73&quot;/&gt;&lt;wsp:rsid wsp:val=&quot;007766C1&quot;/&gt;&lt;wsp:rsid wsp:val=&quot;00780A8B&quot;/&gt;&lt;wsp:rsid wsp:val=&quot;00780EE1&quot;/&gt;&lt;wsp:rsid wsp:val=&quot;007816E9&quot;/&gt;&lt;wsp:rsid wsp:val=&quot;00782248&quot;/&gt;&lt;wsp:rsid wsp:val=&quot;00782944&quot;/&gt;&lt;wsp:rsid wsp:val=&quot;0078296C&quot;/&gt;&lt;wsp:rsid wsp:val=&quot;00782DA0&quot;/&gt;&lt;wsp:rsid wsp:val=&quot;00783067&quot;/&gt;&lt;wsp:rsid wsp:val=&quot;007831E5&quot;/&gt;&lt;wsp:rsid wsp:val=&quot;00784B6E&quot;/&gt;&lt;wsp:rsid wsp:val=&quot;007857F4&quot;/&gt;&lt;wsp:rsid wsp:val=&quot;00785825&quot;/&gt;&lt;wsp:rsid wsp:val=&quot;00785EC9&quot;/&gt;&lt;wsp:rsid wsp:val=&quot;00786197&quot;/&gt;&lt;wsp:rsid wsp:val=&quot;007861C0&quot;/&gt;&lt;wsp:rsid wsp:val=&quot;00786248&quot;/&gt;&lt;wsp:rsid wsp:val=&quot;00786E56&quot;/&gt;&lt;wsp:rsid wsp:val=&quot;00787028&quot;/&gt;&lt;wsp:rsid wsp:val=&quot;007874E9&quot;/&gt;&lt;wsp:rsid wsp:val=&quot;0078799C&quot;/&gt;&lt;wsp:rsid wsp:val=&quot;00787ADE&quot;/&gt;&lt;wsp:rsid wsp:val=&quot;00787F5E&quot;/&gt;&lt;wsp:rsid wsp:val=&quot;00790163&quot;/&gt;&lt;wsp:rsid wsp:val=&quot;007905A4&quot;/&gt;&lt;wsp:rsid wsp:val=&quot;0079071A&quot;/&gt;&lt;wsp:rsid wsp:val=&quot;00790BE8&quot;/&gt;&lt;wsp:rsid wsp:val=&quot;007914A6&quot;/&gt;&lt;wsp:rsid wsp:val=&quot;007916BF&quot;/&gt;&lt;wsp:rsid wsp:val=&quot;00791D7E&quot;/&gt;&lt;wsp:rsid wsp:val=&quot;00792047&quot;/&gt;&lt;wsp:rsid wsp:val=&quot;007923C3&quot;/&gt;&lt;wsp:rsid wsp:val=&quot;0079259C&quot;/&gt;&lt;wsp:rsid wsp:val=&quot;007925E6&quot;/&gt;&lt;wsp:rsid wsp:val=&quot;00793231&quot;/&gt;&lt;wsp:rsid wsp:val=&quot;007932BF&quot;/&gt;&lt;wsp:rsid wsp:val=&quot;007944CF&quot;/&gt;&lt;wsp:rsid wsp:val=&quot;007945EC&quot;/&gt;&lt;wsp:rsid wsp:val=&quot;00795992&quot;/&gt;&lt;wsp:rsid wsp:val=&quot;0079646F&quot;/&gt;&lt;wsp:rsid wsp:val=&quot;00796916&quot;/&gt;&lt;wsp:rsid wsp:val=&quot;00796B51&quot;/&gt;&lt;wsp:rsid wsp:val=&quot;00797A76&quot;/&gt;&lt;wsp:rsid wsp:val=&quot;007A005A&quot;/&gt;&lt;wsp:rsid wsp:val=&quot;007A04F8&quot;/&gt;&lt;wsp:rsid wsp:val=&quot;007A085D&quot;/&gt;&lt;wsp:rsid wsp:val=&quot;007A0D0E&quot;/&gt;&lt;wsp:rsid wsp:val=&quot;007A111E&quot;/&gt;&lt;wsp:rsid wsp:val=&quot;007A1A9A&quot;/&gt;&lt;wsp:rsid wsp:val=&quot;007A2343&quot;/&gt;&lt;wsp:rsid wsp:val=&quot;007A2781&quot;/&gt;&lt;wsp:rsid wsp:val=&quot;007A2FD0&quot;/&gt;&lt;wsp:rsid wsp:val=&quot;007A4282&quot;/&gt;&lt;wsp:rsid wsp:val=&quot;007A437E&quot;/&gt;&lt;wsp:rsid wsp:val=&quot;007A4B22&quot;/&gt;&lt;wsp:rsid wsp:val=&quot;007A4DDB&quot;/&gt;&lt;wsp:rsid wsp:val=&quot;007A4E57&quot;/&gt;&lt;wsp:rsid wsp:val=&quot;007A515A&quot;/&gt;&lt;wsp:rsid wsp:val=&quot;007A5232&quot;/&gt;&lt;wsp:rsid wsp:val=&quot;007A64B9&quot;/&gt;&lt;wsp:rsid wsp:val=&quot;007A6593&quot;/&gt;&lt;wsp:rsid wsp:val=&quot;007A71FC&quot;/&gt;&lt;wsp:rsid wsp:val=&quot;007A78A2&quot;/&gt;&lt;wsp:rsid wsp:val=&quot;007B084B&quot;/&gt;&lt;wsp:rsid wsp:val=&quot;007B088F&quot;/&gt;&lt;wsp:rsid wsp:val=&quot;007B178E&quot;/&gt;&lt;wsp:rsid wsp:val=&quot;007B2B0D&quot;/&gt;&lt;wsp:rsid wsp:val=&quot;007B2CC6&quot;/&gt;&lt;wsp:rsid wsp:val=&quot;007B30E7&quot;/&gt;&lt;wsp:rsid wsp:val=&quot;007B3144&quot;/&gt;&lt;wsp:rsid wsp:val=&quot;007B363F&quot;/&gt;&lt;wsp:rsid wsp:val=&quot;007B3A05&quot;/&gt;&lt;wsp:rsid wsp:val=&quot;007B3B22&quot;/&gt;&lt;wsp:rsid wsp:val=&quot;007B3FD6&quot;/&gt;&lt;wsp:rsid wsp:val=&quot;007B464B&quot;/&gt;&lt;wsp:rsid wsp:val=&quot;007B4DEF&quot;/&gt;&lt;wsp:rsid wsp:val=&quot;007B54C3&quot;/&gt;&lt;wsp:rsid wsp:val=&quot;007B55AA&quot;/&gt;&lt;wsp:rsid wsp:val=&quot;007B5F94&quot;/&gt;&lt;wsp:rsid wsp:val=&quot;007B60D4&quot;/&gt;&lt;wsp:rsid wsp:val=&quot;007B6E0C&quot;/&gt;&lt;wsp:rsid wsp:val=&quot;007B7740&quot;/&gt;&lt;wsp:rsid wsp:val=&quot;007C0051&quot;/&gt;&lt;wsp:rsid wsp:val=&quot;007C027D&quot;/&gt;&lt;wsp:rsid wsp:val=&quot;007C163B&quot;/&gt;&lt;wsp:rsid wsp:val=&quot;007C1CB2&quot;/&gt;&lt;wsp:rsid wsp:val=&quot;007C1CDA&quot;/&gt;&lt;wsp:rsid wsp:val=&quot;007C1DE2&quot;/&gt;&lt;wsp:rsid wsp:val=&quot;007C2B16&quot;/&gt;&lt;wsp:rsid wsp:val=&quot;007C337B&quot;/&gt;&lt;wsp:rsid wsp:val=&quot;007C3417&quot;/&gt;&lt;wsp:rsid wsp:val=&quot;007C37A4&quot;/&gt;&lt;wsp:rsid wsp:val=&quot;007C3DBE&quot;/&gt;&lt;wsp:rsid wsp:val=&quot;007C4662&quot;/&gt;&lt;wsp:rsid wsp:val=&quot;007C477D&quot;/&gt;&lt;wsp:rsid wsp:val=&quot;007C50A2&quot;/&gt;&lt;wsp:rsid wsp:val=&quot;007C50B8&quot;/&gt;&lt;wsp:rsid wsp:val=&quot;007C55A1&quot;/&gt;&lt;wsp:rsid wsp:val=&quot;007C6796&quot;/&gt;&lt;wsp:rsid wsp:val=&quot;007C6926&quot;/&gt;&lt;wsp:rsid wsp:val=&quot;007C694B&quot;/&gt;&lt;wsp:rsid wsp:val=&quot;007C6B3D&quot;/&gt;&lt;wsp:rsid wsp:val=&quot;007D0350&quot;/&gt;&lt;wsp:rsid wsp:val=&quot;007D045B&quot;/&gt;&lt;wsp:rsid wsp:val=&quot;007D05C2&quot;/&gt;&lt;wsp:rsid wsp:val=&quot;007D08E8&quot;/&gt;&lt;wsp:rsid wsp:val=&quot;007D1236&quot;/&gt;&lt;wsp:rsid wsp:val=&quot;007D140E&quot;/&gt;&lt;wsp:rsid wsp:val=&quot;007D1624&quot;/&gt;&lt;wsp:rsid wsp:val=&quot;007D1999&quot;/&gt;&lt;wsp:rsid wsp:val=&quot;007D23C8&quot;/&gt;&lt;wsp:rsid wsp:val=&quot;007D2427&quot;/&gt;&lt;wsp:rsid wsp:val=&quot;007D30CA&quot;/&gt;&lt;wsp:rsid wsp:val=&quot;007D32C6&quot;/&gt;&lt;wsp:rsid wsp:val=&quot;007D3E57&quot;/&gt;&lt;wsp:rsid wsp:val=&quot;007D425E&quot;/&gt;&lt;wsp:rsid wsp:val=&quot;007D4D9C&quot;/&gt;&lt;wsp:rsid wsp:val=&quot;007D53FA&quot;/&gt;&lt;wsp:rsid wsp:val=&quot;007D6108&quot;/&gt;&lt;wsp:rsid wsp:val=&quot;007D68B0&quot;/&gt;&lt;wsp:rsid wsp:val=&quot;007D6AF6&quot;/&gt;&lt;wsp:rsid wsp:val=&quot;007D6C1C&quot;/&gt;&lt;wsp:rsid wsp:val=&quot;007E08F6&quot;/&gt;&lt;wsp:rsid wsp:val=&quot;007E0B7D&quot;/&gt;&lt;wsp:rsid wsp:val=&quot;007E17B5&quot;/&gt;&lt;wsp:rsid wsp:val=&quot;007E199A&quot;/&gt;&lt;wsp:rsid wsp:val=&quot;007E1A84&quot;/&gt;&lt;wsp:rsid wsp:val=&quot;007E2301&quot;/&gt;&lt;wsp:rsid wsp:val=&quot;007E231C&quot;/&gt;&lt;wsp:rsid wsp:val=&quot;007E23A1&quot;/&gt;&lt;wsp:rsid wsp:val=&quot;007E2729&quot;/&gt;&lt;wsp:rsid wsp:val=&quot;007E2A81&quot;/&gt;&lt;wsp:rsid wsp:val=&quot;007E3CB1&quot;/&gt;&lt;wsp:rsid wsp:val=&quot;007E3CCC&quot;/&gt;&lt;wsp:rsid wsp:val=&quot;007E3E7C&quot;/&gt;&lt;wsp:rsid wsp:val=&quot;007E4CD3&quot;/&gt;&lt;wsp:rsid wsp:val=&quot;007E5A78&quot;/&gt;&lt;wsp:rsid wsp:val=&quot;007E5FE2&quot;/&gt;&lt;wsp:rsid wsp:val=&quot;007E6E6D&quot;/&gt;&lt;wsp:rsid wsp:val=&quot;007F02F3&quot;/&gt;&lt;wsp:rsid wsp:val=&quot;007F0E2C&quot;/&gt;&lt;wsp:rsid wsp:val=&quot;007F1333&quot;/&gt;&lt;wsp:rsid wsp:val=&quot;007F1B99&quot;/&gt;&lt;wsp:rsid wsp:val=&quot;007F1F35&quot;/&gt;&lt;wsp:rsid wsp:val=&quot;007F20A9&quot;/&gt;&lt;wsp:rsid wsp:val=&quot;007F2263&quot;/&gt;&lt;wsp:rsid wsp:val=&quot;007F395A&quot;/&gt;&lt;wsp:rsid wsp:val=&quot;007F3A34&quot;/&gt;&lt;wsp:rsid wsp:val=&quot;007F468F&quot;/&gt;&lt;wsp:rsid wsp:val=&quot;007F4905&quot;/&gt;&lt;wsp:rsid wsp:val=&quot;007F4F7C&quot;/&gt;&lt;wsp:rsid wsp:val=&quot;007F516A&quot;/&gt;&lt;wsp:rsid wsp:val=&quot;007F5185&quot;/&gt;&lt;wsp:rsid wsp:val=&quot;007F606E&quot;/&gt;&lt;wsp:rsid wsp:val=&quot;007F6930&quot;/&gt;&lt;wsp:rsid wsp:val=&quot;007F720A&quot;/&gt;&lt;wsp:rsid wsp:val=&quot;00800DD2&quot;/&gt;&lt;wsp:rsid wsp:val=&quot;008016B4&quot;/&gt;&lt;wsp:rsid wsp:val=&quot;00801A2D&quot;/&gt;&lt;wsp:rsid wsp:val=&quot;00801F74&quot;/&gt;&lt;wsp:rsid wsp:val=&quot;00802013&quot;/&gt;&lt;wsp:rsid wsp:val=&quot;008020C9&quot;/&gt;&lt;wsp:rsid wsp:val=&quot;008020FA&quot;/&gt;&lt;wsp:rsid wsp:val=&quot;00802541&quot;/&gt;&lt;wsp:rsid wsp:val=&quot;008026F6&quot;/&gt;&lt;wsp:rsid wsp:val=&quot;00802C71&quot;/&gt;&lt;wsp:rsid wsp:val=&quot;0080372A&quot;/&gt;&lt;wsp:rsid wsp:val=&quot;00803A03&quot;/&gt;&lt;wsp:rsid wsp:val=&quot;00803DD1&quot;/&gt;&lt;wsp:rsid wsp:val=&quot;00804467&quot;/&gt;&lt;wsp:rsid wsp:val=&quot;008044AD&quot;/&gt;&lt;wsp:rsid wsp:val=&quot;008051D5&quot;/&gt;&lt;wsp:rsid wsp:val=&quot;008058D1&quot;/&gt;&lt;wsp:rsid wsp:val=&quot;00805960&quot;/&gt;&lt;wsp:rsid wsp:val=&quot;00805A9B&quot;/&gt;&lt;wsp:rsid wsp:val=&quot;008062B0&quot;/&gt;&lt;wsp:rsid wsp:val=&quot;008062C3&quot;/&gt;&lt;wsp:rsid wsp:val=&quot;00807C4E&quot;/&gt;&lt;wsp:rsid wsp:val=&quot;00807DC4&quot;/&gt;&lt;wsp:rsid wsp:val=&quot;00810320&quot;/&gt;&lt;wsp:rsid wsp:val=&quot;00811492&quot;/&gt;&lt;wsp:rsid wsp:val=&quot;0081197B&quot;/&gt;&lt;wsp:rsid wsp:val=&quot;00811FA0&quot;/&gt;&lt;wsp:rsid wsp:val=&quot;00812A51&quot;/&gt;&lt;wsp:rsid wsp:val=&quot;008130E7&quot;/&gt;&lt;wsp:rsid wsp:val=&quot;00813384&quot;/&gt;&lt;wsp:rsid wsp:val=&quot;00813F25&quot;/&gt;&lt;wsp:rsid wsp:val=&quot;00813F26&quot;/&gt;&lt;wsp:rsid wsp:val=&quot;008142C8&quot;/&gt;&lt;wsp:rsid wsp:val=&quot;00814AC7&quot;/&gt;&lt;wsp:rsid wsp:val=&quot;00814B7D&quot;/&gt;&lt;wsp:rsid wsp:val=&quot;00814C52&quot;/&gt;&lt;wsp:rsid wsp:val=&quot;00816086&quot;/&gt;&lt;wsp:rsid wsp:val=&quot;00817284&quot;/&gt;&lt;wsp:rsid wsp:val=&quot;008175B1&quot;/&gt;&lt;wsp:rsid wsp:val=&quot;00817746&quot;/&gt;&lt;wsp:rsid wsp:val=&quot;0081796C&quot;/&gt;&lt;wsp:rsid wsp:val=&quot;00817D87&quot;/&gt;&lt;wsp:rsid wsp:val=&quot;008201CC&quot;/&gt;&lt;wsp:rsid wsp:val=&quot;00820A44&quot;/&gt;&lt;wsp:rsid wsp:val=&quot;00820D5A&quot;/&gt;&lt;wsp:rsid wsp:val=&quot;00821D03&quot;/&gt;&lt;wsp:rsid wsp:val=&quot;00823648&quot;/&gt;&lt;wsp:rsid wsp:val=&quot;00823CFA&quot;/&gt;&lt;wsp:rsid wsp:val=&quot;00823F0B&quot;/&gt;&lt;wsp:rsid wsp:val=&quot;008246BC&quot;/&gt;&lt;wsp:rsid wsp:val=&quot;00824B35&quot;/&gt;&lt;wsp:rsid wsp:val=&quot;00825119&quot;/&gt;&lt;wsp:rsid wsp:val=&quot;008264AA&quot;/&gt;&lt;wsp:rsid wsp:val=&quot;00826FA9&quot;/&gt;&lt;wsp:rsid wsp:val=&quot;00827604&quot;/&gt;&lt;wsp:rsid wsp:val=&quot;00827653&quot;/&gt;&lt;wsp:rsid wsp:val=&quot;00827D47&quot;/&gt;&lt;wsp:rsid wsp:val=&quot;00827F21&quot;/&gt;&lt;wsp:rsid wsp:val=&quot;00830136&quot;/&gt;&lt;wsp:rsid wsp:val=&quot;00831096&quot;/&gt;&lt;wsp:rsid wsp:val=&quot;008314E9&quot;/&gt;&lt;wsp:rsid wsp:val=&quot;00832440&quot;/&gt;&lt;wsp:rsid wsp:val=&quot;0083422C&quot;/&gt;&lt;wsp:rsid wsp:val=&quot;00834FFA&quot;/&gt;&lt;wsp:rsid wsp:val=&quot;008351B2&quot;/&gt;&lt;wsp:rsid wsp:val=&quot;00835424&quot;/&gt;&lt;wsp:rsid wsp:val=&quot;00835E54&quot;/&gt;&lt;wsp:rsid wsp:val=&quot;0083687D&quot;/&gt;&lt;wsp:rsid wsp:val=&quot;00836DDA&quot;/&gt;&lt;wsp:rsid wsp:val=&quot;00837224&quot;/&gt;&lt;wsp:rsid wsp:val=&quot;008408A9&quot;/&gt;&lt;wsp:rsid wsp:val=&quot;0084196D&quot;/&gt;&lt;wsp:rsid wsp:val=&quot;008428F1&quot;/&gt;&lt;wsp:rsid wsp:val=&quot;00842A35&quot;/&gt;&lt;wsp:rsid wsp:val=&quot;00845365&quot;/&gt;&lt;wsp:rsid wsp:val=&quot;00846FC4&quot;/&gt;&lt;wsp:rsid wsp:val=&quot;008472D3&quot;/&gt;&lt;wsp:rsid wsp:val=&quot;00847813&quot;/&gt;&lt;wsp:rsid wsp:val=&quot;00847B75&quot;/&gt;&lt;wsp:rsid wsp:val=&quot;0085019B&quot;/&gt;&lt;wsp:rsid wsp:val=&quot;008507EA&quot;/&gt;&lt;wsp:rsid wsp:val=&quot;00850F9D&quot;/&gt;&lt;wsp:rsid wsp:val=&quot;008512FF&quot;/&gt;&lt;wsp:rsid wsp:val=&quot;00852191&quot;/&gt;&lt;wsp:rsid wsp:val=&quot;00852505&quot;/&gt;&lt;wsp:rsid wsp:val=&quot;00852978&quot;/&gt;&lt;wsp:rsid wsp:val=&quot;00852994&quot;/&gt;&lt;wsp:rsid wsp:val=&quot;00852B38&quot;/&gt;&lt;wsp:rsid wsp:val=&quot;00852BFE&quot;/&gt;&lt;wsp:rsid wsp:val=&quot;00853956&quot;/&gt;&lt;wsp:rsid wsp:val=&quot;00853E9E&quot;/&gt;&lt;wsp:rsid wsp:val=&quot;00854503&quot;/&gt;&lt;wsp:rsid wsp:val=&quot;00854BC4&quot;/&gt;&lt;wsp:rsid wsp:val=&quot;00854E1E&quot;/&gt;&lt;wsp:rsid wsp:val=&quot;0085655C&quot;/&gt;&lt;wsp:rsid wsp:val=&quot;00856C55&quot;/&gt;&lt;wsp:rsid wsp:val=&quot;00856EAD&quot;/&gt;&lt;wsp:rsid wsp:val=&quot;00856FF7&quot;/&gt;&lt;wsp:rsid wsp:val=&quot;0085768A&quot;/&gt;&lt;wsp:rsid wsp:val=&quot;00860133&quot;/&gt;&lt;wsp:rsid wsp:val=&quot;00861397&quot;/&gt;&lt;wsp:rsid wsp:val=&quot;00861B7A&quot;/&gt;&lt;wsp:rsid wsp:val=&quot;00861EBD&quot;/&gt;&lt;wsp:rsid wsp:val=&quot;00862FE0&quot;/&gt;&lt;wsp:rsid wsp:val=&quot;008639EE&quot;/&gt;&lt;wsp:rsid wsp:val=&quot;00863B06&quot;/&gt;&lt;wsp:rsid wsp:val=&quot;00864763&quot;/&gt;&lt;wsp:rsid wsp:val=&quot;00864907&quot;/&gt;&lt;wsp:rsid wsp:val=&quot;00865596&quot;/&gt;&lt;wsp:rsid wsp:val=&quot;00866111&quot;/&gt;&lt;wsp:rsid wsp:val=&quot;008664DF&quot;/&gt;&lt;wsp:rsid wsp:val=&quot;00866E06&quot;/&gt;&lt;wsp:rsid wsp:val=&quot;00866E29&quot;/&gt;&lt;wsp:rsid wsp:val=&quot;00867271&quot;/&gt;&lt;wsp:rsid wsp:val=&quot;008708D9&quot;/&gt;&lt;wsp:rsid wsp:val=&quot;00872939&quot;/&gt;&lt;wsp:rsid wsp:val=&quot;008730D2&quot;/&gt;&lt;wsp:rsid wsp:val=&quot;008730D6&quot;/&gt;&lt;wsp:rsid wsp:val=&quot;00873B7A&quot;/&gt;&lt;wsp:rsid wsp:val=&quot;008744E3&quot;/&gt;&lt;wsp:rsid wsp:val=&quot;00874DF6&quot;/&gt;&lt;wsp:rsid wsp:val=&quot;00875099&quot;/&gt;&lt;wsp:rsid wsp:val=&quot;008757DB&quot;/&gt;&lt;wsp:rsid wsp:val=&quot;008759BA&quot;/&gt;&lt;wsp:rsid wsp:val=&quot;00875A30&quot;/&gt;&lt;wsp:rsid wsp:val=&quot;00875BCD&quot;/&gt;&lt;wsp:rsid wsp:val=&quot;00875D06&quot;/&gt;&lt;wsp:rsid wsp:val=&quot;0087655F&quot;/&gt;&lt;wsp:rsid wsp:val=&quot;00877266&quot;/&gt;&lt;wsp:rsid wsp:val=&quot;00877704&quot;/&gt;&lt;wsp:rsid wsp:val=&quot;00877EBD&quot;/&gt;&lt;wsp:rsid wsp:val=&quot;00880055&quot;/&gt;&lt;wsp:rsid wsp:val=&quot;008803BF&quot;/&gt;&lt;wsp:rsid wsp:val=&quot;00880899&quot;/&gt;&lt;wsp:rsid wsp:val=&quot;00880C73&quot;/&gt;&lt;wsp:rsid wsp:val=&quot;008814B7&quot;/&gt;&lt;wsp:rsid wsp:val=&quot;00882E7B&quot;/&gt;&lt;wsp:rsid wsp:val=&quot;008830DD&quot;/&gt;&lt;wsp:rsid wsp:val=&quot;008849AF&quot;/&gt;&lt;wsp:rsid wsp:val=&quot;00884F21&quot;/&gt;&lt;wsp:rsid wsp:val=&quot;008859BE&quot;/&gt;&lt;wsp:rsid wsp:val=&quot;00885C12&quot;/&gt;&lt;wsp:rsid wsp:val=&quot;00885EDC&quot;/&gt;&lt;wsp:rsid wsp:val=&quot;00886619&quot;/&gt;&lt;wsp:rsid wsp:val=&quot;0088661C&quot;/&gt;&lt;wsp:rsid wsp:val=&quot;00886D39&quot;/&gt;&lt;wsp:rsid wsp:val=&quot;008877B6&quot;/&gt;&lt;wsp:rsid wsp:val=&quot;00887C1C&quot;/&gt;&lt;wsp:rsid wsp:val=&quot;00887D00&quot;/&gt;&lt;wsp:rsid wsp:val=&quot;0089015A&quot;/&gt;&lt;wsp:rsid wsp:val=&quot;00891358&quot;/&gt;&lt;wsp:rsid wsp:val=&quot;0089168F&quot;/&gt;&lt;wsp:rsid wsp:val=&quot;00892103&quot;/&gt;&lt;wsp:rsid wsp:val=&quot;00892863&quot;/&gt;&lt;wsp:rsid wsp:val=&quot;00892A1B&quot;/&gt;&lt;wsp:rsid wsp:val=&quot;00893E1C&quot;/&gt;&lt;wsp:rsid wsp:val=&quot;00894065&quot;/&gt;&lt;wsp:rsid wsp:val=&quot;00894877&quot;/&gt;&lt;wsp:rsid wsp:val=&quot;00894D76&quot;/&gt;&lt;wsp:rsid wsp:val=&quot;008951DC&quot;/&gt;&lt;wsp:rsid wsp:val=&quot;00895222&quot;/&gt;&lt;wsp:rsid wsp:val=&quot;0089545C&quot;/&gt;&lt;wsp:rsid wsp:val=&quot;008954C5&quot;/&gt;&lt;wsp:rsid wsp:val=&quot;00896049&quot;/&gt;&lt;wsp:rsid wsp:val=&quot;008963E9&quot;/&gt;&lt;wsp:rsid wsp:val=&quot;00897167&quot;/&gt;&lt;wsp:rsid wsp:val=&quot;0089717D&quot;/&gt;&lt;wsp:rsid wsp:val=&quot;008973C7&quot;/&gt;&lt;wsp:rsid wsp:val=&quot;008978FD&quot;/&gt;&lt;wsp:rsid wsp:val=&quot;00897906&quot;/&gt;&lt;wsp:rsid wsp:val=&quot;008A0384&quot;/&gt;&lt;wsp:rsid wsp:val=&quot;008A117B&quot;/&gt;&lt;wsp:rsid wsp:val=&quot;008A180F&quot;/&gt;&lt;wsp:rsid wsp:val=&quot;008A1F54&quot;/&gt;&lt;wsp:rsid wsp:val=&quot;008A2DAC&quot;/&gt;&lt;wsp:rsid wsp:val=&quot;008A3999&quot;/&gt;&lt;wsp:rsid wsp:val=&quot;008A3C91&quot;/&gt;&lt;wsp:rsid wsp:val=&quot;008A3EBA&quot;/&gt;&lt;wsp:rsid wsp:val=&quot;008A489F&quot;/&gt;&lt;wsp:rsid wsp:val=&quot;008A4D1E&quot;/&gt;&lt;wsp:rsid wsp:val=&quot;008A4E3F&quot;/&gt;&lt;wsp:rsid wsp:val=&quot;008A4FFF&quot;/&gt;&lt;wsp:rsid wsp:val=&quot;008A542D&quot;/&gt;&lt;wsp:rsid wsp:val=&quot;008A5C1A&quot;/&gt;&lt;wsp:rsid wsp:val=&quot;008A5C50&quot;/&gt;&lt;wsp:rsid wsp:val=&quot;008A639E&quot;/&gt;&lt;wsp:rsid wsp:val=&quot;008A7D4F&quot;/&gt;&lt;wsp:rsid wsp:val=&quot;008B0278&quot;/&gt;&lt;wsp:rsid wsp:val=&quot;008B1FA4&quot;/&gt;&lt;wsp:rsid wsp:val=&quot;008B26DF&quot;/&gt;&lt;wsp:rsid wsp:val=&quot;008B288B&quot;/&gt;&lt;wsp:rsid wsp:val=&quot;008B3607&quot;/&gt;&lt;wsp:rsid wsp:val=&quot;008B367D&quot;/&gt;&lt;wsp:rsid wsp:val=&quot;008B395B&quot;/&gt;&lt;wsp:rsid wsp:val=&quot;008B4093&quot;/&gt;&lt;wsp:rsid wsp:val=&quot;008B4617&quot;/&gt;&lt;wsp:rsid wsp:val=&quot;008B4BF5&quot;/&gt;&lt;wsp:rsid wsp:val=&quot;008B5A0B&quot;/&gt;&lt;wsp:rsid wsp:val=&quot;008B5F0B&quot;/&gt;&lt;wsp:rsid wsp:val=&quot;008B69BC&quot;/&gt;&lt;wsp:rsid wsp:val=&quot;008B6A4E&quot;/&gt;&lt;wsp:rsid wsp:val=&quot;008B705B&quot;/&gt;&lt;wsp:rsid wsp:val=&quot;008B74E8&quot;/&gt;&lt;wsp:rsid wsp:val=&quot;008B76B9&quot;/&gt;&lt;wsp:rsid wsp:val=&quot;008C0A23&quot;/&gt;&lt;wsp:rsid wsp:val=&quot;008C0AFC&quot;/&gt;&lt;wsp:rsid wsp:val=&quot;008C1641&quot;/&gt;&lt;wsp:rsid wsp:val=&quot;008C17FA&quot;/&gt;&lt;wsp:rsid wsp:val=&quot;008C182D&quot;/&gt;&lt;wsp:rsid wsp:val=&quot;008C193D&quot;/&gt;&lt;wsp:rsid wsp:val=&quot;008C255A&quot;/&gt;&lt;wsp:rsid wsp:val=&quot;008C332D&quot;/&gt;&lt;wsp:rsid wsp:val=&quot;008C380C&quot;/&gt;&lt;wsp:rsid wsp:val=&quot;008C43EC&quot;/&gt;&lt;wsp:rsid wsp:val=&quot;008C4728&quot;/&gt;&lt;wsp:rsid wsp:val=&quot;008C4DB6&quot;/&gt;&lt;wsp:rsid wsp:val=&quot;008C4F57&quot;/&gt;&lt;wsp:rsid wsp:val=&quot;008C5160&quot;/&gt;&lt;wsp:rsid wsp:val=&quot;008C6203&quot;/&gt;&lt;wsp:rsid wsp:val=&quot;008C65DB&quot;/&gt;&lt;wsp:rsid wsp:val=&quot;008C6A17&quot;/&gt;&lt;wsp:rsid wsp:val=&quot;008C6A6B&quot;/&gt;&lt;wsp:rsid wsp:val=&quot;008C6ACD&quot;/&gt;&lt;wsp:rsid wsp:val=&quot;008C70AC&quot;/&gt;&lt;wsp:rsid wsp:val=&quot;008D06BC&quot;/&gt;&lt;wsp:rsid wsp:val=&quot;008D079B&quot;/&gt;&lt;wsp:rsid wsp:val=&quot;008D0F6F&quot;/&gt;&lt;wsp:rsid wsp:val=&quot;008D12A4&quot;/&gt;&lt;wsp:rsid wsp:val=&quot;008D155C&quot;/&gt;&lt;wsp:rsid wsp:val=&quot;008D1D62&quot;/&gt;&lt;wsp:rsid wsp:val=&quot;008D21BC&quot;/&gt;&lt;wsp:rsid wsp:val=&quot;008D319F&quot;/&gt;&lt;wsp:rsid wsp:val=&quot;008D49FF&quot;/&gt;&lt;wsp:rsid wsp:val=&quot;008D4A50&quot;/&gt;&lt;wsp:rsid wsp:val=&quot;008D4FF9&quot;/&gt;&lt;wsp:rsid wsp:val=&quot;008D696F&quot;/&gt;&lt;wsp:rsid wsp:val=&quot;008D6A6E&quot;/&gt;&lt;wsp:rsid wsp:val=&quot;008D6BE0&quot;/&gt;&lt;wsp:rsid wsp:val=&quot;008D75AE&quot;/&gt;&lt;wsp:rsid wsp:val=&quot;008E063F&quot;/&gt;&lt;wsp:rsid wsp:val=&quot;008E1101&quot;/&gt;&lt;wsp:rsid wsp:val=&quot;008E13D3&quot;/&gt;&lt;wsp:rsid wsp:val=&quot;008E2EA1&quot;/&gt;&lt;wsp:rsid wsp:val=&quot;008E30AB&quot;/&gt;&lt;wsp:rsid wsp:val=&quot;008E311E&quot;/&gt;&lt;wsp:rsid wsp:val=&quot;008E41B5&quot;/&gt;&lt;wsp:rsid wsp:val=&quot;008E4EAE&quot;/&gt;&lt;wsp:rsid wsp:val=&quot;008E5F74&quot;/&gt;&lt;wsp:rsid wsp:val=&quot;008E64BD&quot;/&gt;&lt;wsp:rsid wsp:val=&quot;008E6DAC&quot;/&gt;&lt;wsp:rsid wsp:val=&quot;008E6FB3&quot;/&gt;&lt;wsp:rsid wsp:val=&quot;008E6FB6&quot;/&gt;&lt;wsp:rsid wsp:val=&quot;008E750E&quot;/&gt;&lt;wsp:rsid wsp:val=&quot;008E75B0&quot;/&gt;&lt;wsp:rsid wsp:val=&quot;008E7971&quot;/&gt;&lt;wsp:rsid wsp:val=&quot;008E7BD8&quot;/&gt;&lt;wsp:rsid wsp:val=&quot;008E7FD6&quot;/&gt;&lt;wsp:rsid wsp:val=&quot;008F0BDB&quot;/&gt;&lt;wsp:rsid wsp:val=&quot;008F0CE8&quot;/&gt;&lt;wsp:rsid wsp:val=&quot;008F1046&quot;/&gt;&lt;wsp:rsid wsp:val=&quot;008F17B0&quot;/&gt;&lt;wsp:rsid wsp:val=&quot;008F2716&quot;/&gt;&lt;wsp:rsid wsp:val=&quot;008F3642&quot;/&gt;&lt;wsp:rsid wsp:val=&quot;008F3932&quot;/&gt;&lt;wsp:rsid wsp:val=&quot;008F3C30&quot;/&gt;&lt;wsp:rsid wsp:val=&quot;008F3D7E&quot;/&gt;&lt;wsp:rsid wsp:val=&quot;008F6D53&quot;/&gt;&lt;wsp:rsid wsp:val=&quot;008F76D2&quot;/&gt;&lt;wsp:rsid wsp:val=&quot;008F78E4&quot;/&gt;&lt;wsp:rsid wsp:val=&quot;008F7C1D&quot;/&gt;&lt;wsp:rsid wsp:val=&quot;008F7C5A&quot;/&gt;&lt;wsp:rsid wsp:val=&quot;00900E72&quot;/&gt;&lt;wsp:rsid wsp:val=&quot;00901195&quot;/&gt;&lt;wsp:rsid wsp:val=&quot;00901AE3&quot;/&gt;&lt;wsp:rsid wsp:val=&quot;00901C93&quot;/&gt;&lt;wsp:rsid wsp:val=&quot;009039DF&quot;/&gt;&lt;wsp:rsid wsp:val=&quot;009043AE&quot;/&gt;&lt;wsp:rsid wsp:val=&quot;00904BEC&quot;/&gt;&lt;wsp:rsid wsp:val=&quot;00905C0B&quot;/&gt;&lt;wsp:rsid wsp:val=&quot;00905CDB&quot;/&gt;&lt;wsp:rsid wsp:val=&quot;00907069&quot;/&gt;&lt;wsp:rsid wsp:val=&quot;00907D71&quot;/&gt;&lt;wsp:rsid wsp:val=&quot;00911B00&quot;/&gt;&lt;wsp:rsid wsp:val=&quot;009136F6&quot;/&gt;&lt;wsp:rsid wsp:val=&quot;009146DC&quot;/&gt;&lt;wsp:rsid wsp:val=&quot;00914E42&quot;/&gt;&lt;wsp:rsid wsp:val=&quot;00914ED3&quot;/&gt;&lt;wsp:rsid wsp:val=&quot;00915E77&quot;/&gt;&lt;wsp:rsid wsp:val=&quot;00916A9C&quot;/&gt;&lt;wsp:rsid wsp:val=&quot;0091779D&quot;/&gt;&lt;wsp:rsid wsp:val=&quot;0091795A&quot;/&gt;&lt;wsp:rsid wsp:val=&quot;009201EF&quot;/&gt;&lt;wsp:rsid wsp:val=&quot;0092047B&quot;/&gt;&lt;wsp:rsid wsp:val=&quot;00920F2D&quot;/&gt;&lt;wsp:rsid wsp:val=&quot;009210F7&quot;/&gt;&lt;wsp:rsid wsp:val=&quot;009223CE&quot;/&gt;&lt;wsp:rsid wsp:val=&quot;009226AB&quot;/&gt;&lt;wsp:rsid wsp:val=&quot;009246A5&quot;/&gt;&lt;wsp:rsid wsp:val=&quot;009247DD&quot;/&gt;&lt;wsp:rsid wsp:val=&quot;00925F03&quot;/&gt;&lt;wsp:rsid wsp:val=&quot;009260F4&quot;/&gt;&lt;wsp:rsid wsp:val=&quot;00926C28&quot;/&gt;&lt;wsp:rsid wsp:val=&quot;009272A4&quot;/&gt;&lt;wsp:rsid wsp:val=&quot;00927753&quot;/&gt;&lt;wsp:rsid wsp:val=&quot;00930817&quot;/&gt;&lt;wsp:rsid wsp:val=&quot;00931475&quot;/&gt;&lt;wsp:rsid wsp:val=&quot;0093171C&quot;/&gt;&lt;wsp:rsid wsp:val=&quot;00931CD9&quot;/&gt;&lt;wsp:rsid wsp:val=&quot;00931F3C&quot;/&gt;&lt;wsp:rsid wsp:val=&quot;00932DB6&quot;/&gt;&lt;wsp:rsid wsp:val=&quot;00932F0B&quot;/&gt;&lt;wsp:rsid wsp:val=&quot;0093403C&quot;/&gt;&lt;wsp:rsid wsp:val=&quot;009340C1&quot;/&gt;&lt;wsp:rsid wsp:val=&quot;0093421B&quot;/&gt;&lt;wsp:rsid wsp:val=&quot;00935380&quot;/&gt;&lt;wsp:rsid wsp:val=&quot;00935F1E&quot;/&gt;&lt;wsp:rsid wsp:val=&quot;009361EB&quot;/&gt;&lt;wsp:rsid wsp:val=&quot;00936AEC&quot;/&gt;&lt;wsp:rsid wsp:val=&quot;00936F36&quot;/&gt;&lt;wsp:rsid wsp:val=&quot;009406FF&quot;/&gt;&lt;wsp:rsid wsp:val=&quot;00940B0E&quot;/&gt;&lt;wsp:rsid wsp:val=&quot;009428C3&quot;/&gt;&lt;wsp:rsid wsp:val=&quot;00942E69&quot;/&gt;&lt;wsp:rsid wsp:val=&quot;009437E2&quot;/&gt;&lt;wsp:rsid wsp:val=&quot;0094422D&quot;/&gt;&lt;wsp:rsid wsp:val=&quot;00944AC8&quot;/&gt;&lt;wsp:rsid wsp:val=&quot;00945224&quot;/&gt;&lt;wsp:rsid wsp:val=&quot;00947755&quot;/&gt;&lt;wsp:rsid wsp:val=&quot;00950389&quot;/&gt;&lt;wsp:rsid wsp:val=&quot;00950906&quot;/&gt;&lt;wsp:rsid wsp:val=&quot;00950F95&quot;/&gt;&lt;wsp:rsid wsp:val=&quot;009512E3&quot;/&gt;&lt;wsp:rsid wsp:val=&quot;00951338&quot;/&gt;&lt;wsp:rsid wsp:val=&quot;00951EA5&quot;/&gt;&lt;wsp:rsid wsp:val=&quot;00952E28&quot;/&gt;&lt;wsp:rsid wsp:val=&quot;00953532&quot;/&gt;&lt;wsp:rsid wsp:val=&quot;00954665&quot;/&gt;&lt;wsp:rsid wsp:val=&quot;00954953&quot;/&gt;&lt;wsp:rsid wsp:val=&quot;009561DE&quot;/&gt;&lt;wsp:rsid wsp:val=&quot;00957242&quot;/&gt;&lt;wsp:rsid wsp:val=&quot;00957253&quot;/&gt;&lt;wsp:rsid wsp:val=&quot;00957481&quot;/&gt;&lt;wsp:rsid wsp:val=&quot;00960419&quot;/&gt;&lt;wsp:rsid wsp:val=&quot;009607CE&quot;/&gt;&lt;wsp:rsid wsp:val=&quot;0096200B&quot;/&gt;&lt;wsp:rsid wsp:val=&quot;009623B4&quot;/&gt;&lt;wsp:rsid wsp:val=&quot;0096272F&quot;/&gt;&lt;wsp:rsid wsp:val=&quot;00963EF6&quot;/&gt;&lt;wsp:rsid wsp:val=&quot;00964310&quot;/&gt;&lt;wsp:rsid wsp:val=&quot;00964434&quot;/&gt;&lt;wsp:rsid wsp:val=&quot;00964823&quot;/&gt;&lt;wsp:rsid wsp:val=&quot;00965573&quot;/&gt;&lt;wsp:rsid wsp:val=&quot;00965891&quot;/&gt;&lt;wsp:rsid wsp:val=&quot;009660F2&quot;/&gt;&lt;wsp:rsid wsp:val=&quot;009669D8&quot;/&gt;&lt;wsp:rsid wsp:val=&quot;00966AD9&quot;/&gt;&lt;wsp:rsid wsp:val=&quot;00967159&quot;/&gt;&lt;wsp:rsid wsp:val=&quot;009673BE&quot;/&gt;&lt;wsp:rsid wsp:val=&quot;00967764&quot;/&gt;&lt;wsp:rsid wsp:val=&quot;009679A0&quot;/&gt;&lt;wsp:rsid wsp:val=&quot;00967BC9&quot;/&gt;&lt;wsp:rsid wsp:val=&quot;009702F2&quot;/&gt;&lt;wsp:rsid wsp:val=&quot;00970518&quot;/&gt;&lt;wsp:rsid wsp:val=&quot;009706C8&quot;/&gt;&lt;wsp:rsid wsp:val=&quot;00970B9F&quot;/&gt;&lt;wsp:rsid wsp:val=&quot;00971714&quot;/&gt;&lt;wsp:rsid wsp:val=&quot;00971764&quot;/&gt;&lt;wsp:rsid wsp:val=&quot;00971E5D&quot;/&gt;&lt;wsp:rsid wsp:val=&quot;00972867&quot;/&gt;&lt;wsp:rsid wsp:val=&quot;00973956&quot;/&gt;&lt;wsp:rsid wsp:val=&quot;009739F7&quot;/&gt;&lt;wsp:rsid wsp:val=&quot;009740C7&quot;/&gt;&lt;wsp:rsid wsp:val=&quot;00974E4F&quot;/&gt;&lt;wsp:rsid wsp:val=&quot;00975647&quot;/&gt;&lt;wsp:rsid wsp:val=&quot;00975816&quot;/&gt;&lt;wsp:rsid wsp:val=&quot;00975FCF&quot;/&gt;&lt;wsp:rsid wsp:val=&quot;009769E8&quot;/&gt;&lt;wsp:rsid wsp:val=&quot;0097739A&quot;/&gt;&lt;wsp:rsid wsp:val=&quot;00982A9C&quot;/&gt;&lt;wsp:rsid wsp:val=&quot;009832DC&quot;/&gt;&lt;wsp:rsid wsp:val=&quot;00983319&quot;/&gt;&lt;wsp:rsid wsp:val=&quot;00983325&quot;/&gt;&lt;wsp:rsid wsp:val=&quot;0098372C&quot;/&gt;&lt;wsp:rsid wsp:val=&quot;00983867&quot;/&gt;&lt;wsp:rsid wsp:val=&quot;00983A04&quot;/&gt;&lt;wsp:rsid wsp:val=&quot;00983F8E&quot;/&gt;&lt;wsp:rsid wsp:val=&quot;009843A9&quot;/&gt;&lt;wsp:rsid wsp:val=&quot;009852FB&quot;/&gt;&lt;wsp:rsid wsp:val=&quot;00985D4A&quot;/&gt;&lt;wsp:rsid wsp:val=&quot;00986DC9&quot;/&gt;&lt;wsp:rsid wsp:val=&quot;00986E67&quot;/&gt;&lt;wsp:rsid wsp:val=&quot;0098799A&quot;/&gt;&lt;wsp:rsid wsp:val=&quot;00987A7E&quot;/&gt;&lt;wsp:rsid wsp:val=&quot;00987CDB&quot;/&gt;&lt;wsp:rsid wsp:val=&quot;00990114&quot;/&gt;&lt;wsp:rsid wsp:val=&quot;00990851&quot;/&gt;&lt;wsp:rsid wsp:val=&quot;00990F28&quot;/&gt;&lt;wsp:rsid wsp:val=&quot;00991279&quot;/&gt;&lt;wsp:rsid wsp:val=&quot;009916E5&quot;/&gt;&lt;wsp:rsid wsp:val=&quot;009919D8&quot;/&gt;&lt;wsp:rsid wsp:val=&quot;00992862&quot;/&gt;&lt;wsp:rsid wsp:val=&quot;00992B0F&quot;/&gt;&lt;wsp:rsid wsp:val=&quot;00993573&quot;/&gt;&lt;wsp:rsid wsp:val=&quot;00993A33&quot;/&gt;&lt;wsp:rsid wsp:val=&quot;00993EB0&quot;/&gt;&lt;wsp:rsid wsp:val=&quot;00994535&quot;/&gt;&lt;wsp:rsid wsp:val=&quot;009947C3&quot;/&gt;&lt;wsp:rsid wsp:val=&quot;00994859&quot;/&gt;&lt;wsp:rsid wsp:val=&quot;009952BB&quot;/&gt;&lt;wsp:rsid wsp:val=&quot;00995D82&quot;/&gt;&lt;wsp:rsid wsp:val=&quot;00996195&quot;/&gt;&lt;wsp:rsid wsp:val=&quot;00996DE2&quot;/&gt;&lt;wsp:rsid wsp:val=&quot;0099728E&quot;/&gt;&lt;wsp:rsid wsp:val=&quot;009975B5&quot;/&gt;&lt;wsp:rsid wsp:val=&quot;009A0153&quot;/&gt;&lt;wsp:rsid wsp:val=&quot;009A019F&quot;/&gt;&lt;wsp:rsid wsp:val=&quot;009A05D5&quot;/&gt;&lt;wsp:rsid wsp:val=&quot;009A1C89&quot;/&gt;&lt;wsp:rsid wsp:val=&quot;009A2D7C&quot;/&gt;&lt;wsp:rsid wsp:val=&quot;009A38F0&quot;/&gt;&lt;wsp:rsid wsp:val=&quot;009A397B&quot;/&gt;&lt;wsp:rsid wsp:val=&quot;009A4CDA&quot;/&gt;&lt;wsp:rsid wsp:val=&quot;009A4F6A&quot;/&gt;&lt;wsp:rsid wsp:val=&quot;009A50D5&quot;/&gt;&lt;wsp:rsid wsp:val=&quot;009A75BE&quot;/&gt;&lt;wsp:rsid wsp:val=&quot;009A7811&quot;/&gt;&lt;wsp:rsid wsp:val=&quot;009A7840&quot;/&gt;&lt;wsp:rsid wsp:val=&quot;009A7866&quot;/&gt;&lt;wsp:rsid wsp:val=&quot;009A7F5C&quot;/&gt;&lt;wsp:rsid wsp:val=&quot;009B0A1B&quot;/&gt;&lt;wsp:rsid wsp:val=&quot;009B0C86&quot;/&gt;&lt;wsp:rsid wsp:val=&quot;009B1151&quot;/&gt;&lt;wsp:rsid wsp:val=&quot;009B1459&quot;/&gt;&lt;wsp:rsid wsp:val=&quot;009B17C7&quot;/&gt;&lt;wsp:rsid wsp:val=&quot;009B1D8F&quot;/&gt;&lt;wsp:rsid wsp:val=&quot;009B1DE3&quot;/&gt;&lt;wsp:rsid wsp:val=&quot;009B22C9&quot;/&gt;&lt;wsp:rsid wsp:val=&quot;009B29E4&quot;/&gt;&lt;wsp:rsid wsp:val=&quot;009B2DC1&quot;/&gt;&lt;wsp:rsid wsp:val=&quot;009B357F&quot;/&gt;&lt;wsp:rsid wsp:val=&quot;009B47A2&quot;/&gt;&lt;wsp:rsid wsp:val=&quot;009B545A&quot;/&gt;&lt;wsp:rsid wsp:val=&quot;009B6DFC&quot;/&gt;&lt;wsp:rsid wsp:val=&quot;009B7377&quot;/&gt;&lt;wsp:rsid wsp:val=&quot;009B7FCB&quot;/&gt;&lt;wsp:rsid wsp:val=&quot;009C005C&quot;/&gt;&lt;wsp:rsid wsp:val=&quot;009C01D6&quot;/&gt;&lt;wsp:rsid wsp:val=&quot;009C2066&quot;/&gt;&lt;wsp:rsid wsp:val=&quot;009C359B&quot;/&gt;&lt;wsp:rsid wsp:val=&quot;009C3733&quot;/&gt;&lt;wsp:rsid wsp:val=&quot;009C3880&quot;/&gt;&lt;wsp:rsid wsp:val=&quot;009C3C94&quot;/&gt;&lt;wsp:rsid wsp:val=&quot;009C4BC7&quot;/&gt;&lt;wsp:rsid wsp:val=&quot;009C5D16&quot;/&gt;&lt;wsp:rsid wsp:val=&quot;009C6047&quot;/&gt;&lt;wsp:rsid wsp:val=&quot;009C611B&quot;/&gt;&lt;wsp:rsid wsp:val=&quot;009C613F&quot;/&gt;&lt;wsp:rsid wsp:val=&quot;009C7541&quot;/&gt;&lt;wsp:rsid wsp:val=&quot;009C7E11&quot;/&gt;&lt;wsp:rsid wsp:val=&quot;009D021D&quot;/&gt;&lt;wsp:rsid wsp:val=&quot;009D05C0&quot;/&gt;&lt;wsp:rsid wsp:val=&quot;009D0885&quot;/&gt;&lt;wsp:rsid wsp:val=&quot;009D0FAB&quot;/&gt;&lt;wsp:rsid wsp:val=&quot;009D231F&quot;/&gt;&lt;wsp:rsid wsp:val=&quot;009D2975&quot;/&gt;&lt;wsp:rsid wsp:val=&quot;009D29DE&quot;/&gt;&lt;wsp:rsid wsp:val=&quot;009D3017&quot;/&gt;&lt;wsp:rsid wsp:val=&quot;009D3D03&quot;/&gt;&lt;wsp:rsid wsp:val=&quot;009D3DB6&quot;/&gt;&lt;wsp:rsid wsp:val=&quot;009D4388&quot;/&gt;&lt;wsp:rsid wsp:val=&quot;009D54AC&quot;/&gt;&lt;wsp:rsid wsp:val=&quot;009D60F6&quot;/&gt;&lt;wsp:rsid wsp:val=&quot;009D614B&quot;/&gt;&lt;wsp:rsid wsp:val=&quot;009D6564&quot;/&gt;&lt;wsp:rsid wsp:val=&quot;009D65CD&quot;/&gt;&lt;wsp:rsid wsp:val=&quot;009D7D16&quot;/&gt;&lt;wsp:rsid wsp:val=&quot;009E04D6&quot;/&gt;&lt;wsp:rsid wsp:val=&quot;009E10E1&quot;/&gt;&lt;wsp:rsid wsp:val=&quot;009E10F3&quot;/&gt;&lt;wsp:rsid wsp:val=&quot;009E15B2&quot;/&gt;&lt;wsp:rsid wsp:val=&quot;009E211E&quot;/&gt;&lt;wsp:rsid wsp:val=&quot;009E2C22&quot;/&gt;&lt;wsp:rsid wsp:val=&quot;009E349F&quot;/&gt;&lt;wsp:rsid wsp:val=&quot;009E430C&quot;/&gt;&lt;wsp:rsid wsp:val=&quot;009E49EB&quot;/&gt;&lt;wsp:rsid wsp:val=&quot;009E4BC1&quot;/&gt;&lt;wsp:rsid wsp:val=&quot;009E561B&quot;/&gt;&lt;wsp:rsid wsp:val=&quot;009E5FB7&quot;/&gt;&lt;wsp:rsid wsp:val=&quot;009E779A&quot;/&gt;&lt;wsp:rsid wsp:val=&quot;009E7912&quot;/&gt;&lt;wsp:rsid wsp:val=&quot;009E7A22&quot;/&gt;&lt;wsp:rsid wsp:val=&quot;009E7DCF&quot;/&gt;&lt;wsp:rsid wsp:val=&quot;009E7E57&quot;/&gt;&lt;wsp:rsid wsp:val=&quot;009F0421&quot;/&gt;&lt;wsp:rsid wsp:val=&quot;009F0986&quot;/&gt;&lt;wsp:rsid wsp:val=&quot;009F17AF&quot;/&gt;&lt;wsp:rsid wsp:val=&quot;009F19EE&quot;/&gt;&lt;wsp:rsid wsp:val=&quot;009F1DA7&quot;/&gt;&lt;wsp:rsid wsp:val=&quot;009F1E6D&quot;/&gt;&lt;wsp:rsid wsp:val=&quot;009F1EF4&quot;/&gt;&lt;wsp:rsid wsp:val=&quot;009F3576&quot;/&gt;&lt;wsp:rsid wsp:val=&quot;009F3BE1&quot;/&gt;&lt;wsp:rsid wsp:val=&quot;009F3CD3&quot;/&gt;&lt;wsp:rsid wsp:val=&quot;009F41E9&quot;/&gt;&lt;wsp:rsid wsp:val=&quot;009F430D&quot;/&gt;&lt;wsp:rsid wsp:val=&quot;009F5898&quot;/&gt;&lt;wsp:rsid wsp:val=&quot;009F5A4B&quot;/&gt;&lt;wsp:rsid wsp:val=&quot;009F5C47&quot;/&gt;&lt;wsp:rsid wsp:val=&quot;009F6AB7&quot;/&gt;&lt;wsp:rsid wsp:val=&quot;009F78A6&quot;/&gt;&lt;wsp:rsid wsp:val=&quot;00A01967&quot;/&gt;&lt;wsp:rsid wsp:val=&quot;00A01E3F&quot;/&gt;&lt;wsp:rsid wsp:val=&quot;00A01E88&quot;/&gt;&lt;wsp:rsid wsp:val=&quot;00A02D8F&quot;/&gt;&lt;wsp:rsid wsp:val=&quot;00A02F82&quot;/&gt;&lt;wsp:rsid wsp:val=&quot;00A03015&quot;/&gt;&lt;wsp:rsid wsp:val=&quot;00A03D30&quot;/&gt;&lt;wsp:rsid wsp:val=&quot;00A04127&quot;/&gt;&lt;wsp:rsid wsp:val=&quot;00A042E7&quot;/&gt;&lt;wsp:rsid wsp:val=&quot;00A053DE&quot;/&gt;&lt;wsp:rsid wsp:val=&quot;00A05541&quot;/&gt;&lt;wsp:rsid wsp:val=&quot;00A05B70&quot;/&gt;&lt;wsp:rsid wsp:val=&quot;00A062EB&quot;/&gt;&lt;wsp:rsid wsp:val=&quot;00A07876&quot;/&gt;&lt;wsp:rsid wsp:val=&quot;00A113E7&quot;/&gt;&lt;wsp:rsid wsp:val=&quot;00A11793&quot;/&gt;&lt;wsp:rsid wsp:val=&quot;00A117BB&quot;/&gt;&lt;wsp:rsid wsp:val=&quot;00A118E8&quot;/&gt;&lt;wsp:rsid wsp:val=&quot;00A11953&quot;/&gt;&lt;wsp:rsid wsp:val=&quot;00A12474&quot;/&gt;&lt;wsp:rsid wsp:val=&quot;00A124C8&quot;/&gt;&lt;wsp:rsid wsp:val=&quot;00A12533&quot;/&gt;&lt;wsp:rsid wsp:val=&quot;00A12999&quot;/&gt;&lt;wsp:rsid wsp:val=&quot;00A12D03&quot;/&gt;&lt;wsp:rsid wsp:val=&quot;00A12DBC&quot;/&gt;&lt;wsp:rsid wsp:val=&quot;00A141EE&quot;/&gt;&lt;wsp:rsid wsp:val=&quot;00A142B5&quot;/&gt;&lt;wsp:rsid wsp:val=&quot;00A14E2F&quot;/&gt;&lt;wsp:rsid wsp:val=&quot;00A150E3&quot;/&gt;&lt;wsp:rsid wsp:val=&quot;00A1529C&quot;/&gt;&lt;wsp:rsid wsp:val=&quot;00A16520&quot;/&gt;&lt;wsp:rsid wsp:val=&quot;00A171A3&quot;/&gt;&lt;wsp:rsid wsp:val=&quot;00A176C2&quot;/&gt;&lt;wsp:rsid wsp:val=&quot;00A1784D&quot;/&gt;&lt;wsp:rsid wsp:val=&quot;00A1785E&quot;/&gt;&lt;wsp:rsid wsp:val=&quot;00A1798D&quot;/&gt;&lt;wsp:rsid wsp:val=&quot;00A17EE5&quot;/&gt;&lt;wsp:rsid wsp:val=&quot;00A20214&quot;/&gt;&lt;wsp:rsid wsp:val=&quot;00A20410&quot;/&gt;&lt;wsp:rsid wsp:val=&quot;00A20F0D&quot;/&gt;&lt;wsp:rsid wsp:val=&quot;00A21517&quot;/&gt;&lt;wsp:rsid wsp:val=&quot;00A21738&quot;/&gt;&lt;wsp:rsid wsp:val=&quot;00A21983&quot;/&gt;&lt;wsp:rsid wsp:val=&quot;00A21DBD&quot;/&gt;&lt;wsp:rsid wsp:val=&quot;00A24436&quot;/&gt;&lt;wsp:rsid wsp:val=&quot;00A24B49&quot;/&gt;&lt;wsp:rsid wsp:val=&quot;00A24DD0&quot;/&gt;&lt;wsp:rsid wsp:val=&quot;00A24F35&quot;/&gt;&lt;wsp:rsid wsp:val=&quot;00A25167&quot;/&gt;&lt;wsp:rsid wsp:val=&quot;00A262FD&quot;/&gt;&lt;wsp:rsid wsp:val=&quot;00A26CF4&quot;/&gt;&lt;wsp:rsid wsp:val=&quot;00A26D46&quot;/&gt;&lt;wsp:rsid wsp:val=&quot;00A27D58&quot;/&gt;&lt;wsp:rsid wsp:val=&quot;00A3013F&quot;/&gt;&lt;wsp:rsid wsp:val=&quot;00A301BB&quot;/&gt;&lt;wsp:rsid wsp:val=&quot;00A30947&quot;/&gt;&lt;wsp:rsid wsp:val=&quot;00A30B54&quot;/&gt;&lt;wsp:rsid wsp:val=&quot;00A30CE9&quot;/&gt;&lt;wsp:rsid wsp:val=&quot;00A31BF8&quot;/&gt;&lt;wsp:rsid wsp:val=&quot;00A32374&quot;/&gt;&lt;wsp:rsid wsp:val=&quot;00A33435&quot;/&gt;&lt;wsp:rsid wsp:val=&quot;00A33A55&quot;/&gt;&lt;wsp:rsid wsp:val=&quot;00A34E98&quot;/&gt;&lt;wsp:rsid wsp:val=&quot;00A35818&quot;/&gt;&lt;wsp:rsid wsp:val=&quot;00A37385&quot;/&gt;&lt;wsp:rsid wsp:val=&quot;00A37EC6&quot;/&gt;&lt;wsp:rsid wsp:val=&quot;00A407EC&quot;/&gt;&lt;wsp:rsid wsp:val=&quot;00A40A65&quot;/&gt;&lt;wsp:rsid wsp:val=&quot;00A4105B&quot;/&gt;&lt;wsp:rsid wsp:val=&quot;00A41A13&quot;/&gt;&lt;wsp:rsid wsp:val=&quot;00A41A4E&quot;/&gt;&lt;wsp:rsid wsp:val=&quot;00A42363&quot;/&gt;&lt;wsp:rsid wsp:val=&quot;00A448E9&quot;/&gt;&lt;wsp:rsid wsp:val=&quot;00A454CF&quot;/&gt;&lt;wsp:rsid wsp:val=&quot;00A45540&quot;/&gt;&lt;wsp:rsid wsp:val=&quot;00A45AD0&quot;/&gt;&lt;wsp:rsid wsp:val=&quot;00A50001&quot;/&gt;&lt;wsp:rsid wsp:val=&quot;00A50573&quot;/&gt;&lt;wsp:rsid wsp:val=&quot;00A506F1&quot;/&gt;&lt;wsp:rsid wsp:val=&quot;00A51380&quot;/&gt;&lt;wsp:rsid wsp:val=&quot;00A519E2&quot;/&gt;&lt;wsp:rsid wsp:val=&quot;00A51B70&quot;/&gt;&lt;wsp:rsid wsp:val=&quot;00A52353&quot;/&gt;&lt;wsp:rsid wsp:val=&quot;00A523D1&quot;/&gt;&lt;wsp:rsid wsp:val=&quot;00A52773&quot;/&gt;&lt;wsp:rsid wsp:val=&quot;00A5285C&quot;/&gt;&lt;wsp:rsid wsp:val=&quot;00A52F5C&quot;/&gt;&lt;wsp:rsid wsp:val=&quot;00A53540&quot;/&gt;&lt;wsp:rsid wsp:val=&quot;00A546C5&quot;/&gt;&lt;wsp:rsid wsp:val=&quot;00A549A7&quot;/&gt;&lt;wsp:rsid wsp:val=&quot;00A56089&quot;/&gt;&lt;wsp:rsid wsp:val=&quot;00A5670B&quot;/&gt;&lt;wsp:rsid wsp:val=&quot;00A57A9B&quot;/&gt;&lt;wsp:rsid wsp:val=&quot;00A6044D&quot;/&gt;&lt;wsp:rsid wsp:val=&quot;00A61452&quot;/&gt;&lt;wsp:rsid wsp:val=&quot;00A6228D&quot;/&gt;&lt;wsp:rsid wsp:val=&quot;00A629FE&quot;/&gt;&lt;wsp:rsid wsp:val=&quot;00A62B42&quot;/&gt;&lt;wsp:rsid wsp:val=&quot;00A62C66&quot;/&gt;&lt;wsp:rsid wsp:val=&quot;00A6325F&quot;/&gt;&lt;wsp:rsid wsp:val=&quot;00A640C7&quot;/&gt;&lt;wsp:rsid wsp:val=&quot;00A644A1&quot;/&gt;&lt;wsp:rsid wsp:val=&quot;00A64C79&quot;/&gt;&lt;wsp:rsid wsp:val=&quot;00A64D17&quot;/&gt;&lt;wsp:rsid wsp:val=&quot;00A65EAC&quot;/&gt;&lt;wsp:rsid wsp:val=&quot;00A65F75&quot;/&gt;&lt;wsp:rsid wsp:val=&quot;00A6656F&quot;/&gt;&lt;wsp:rsid wsp:val=&quot;00A66DC8&quot;/&gt;&lt;wsp:rsid wsp:val=&quot;00A6774D&quot;/&gt;&lt;wsp:rsid wsp:val=&quot;00A67B3B&quot;/&gt;&lt;wsp:rsid wsp:val=&quot;00A67BE7&quot;/&gt;&lt;wsp:rsid wsp:val=&quot;00A7054F&quot;/&gt;&lt;wsp:rsid wsp:val=&quot;00A7088C&quot;/&gt;&lt;wsp:rsid wsp:val=&quot;00A713DE&quot;/&gt;&lt;wsp:rsid wsp:val=&quot;00A71A97&quot;/&gt;&lt;wsp:rsid wsp:val=&quot;00A7248C&quot;/&gt;&lt;wsp:rsid wsp:val=&quot;00A72DF6&quot;/&gt;&lt;wsp:rsid wsp:val=&quot;00A735B2&quot;/&gt;&lt;wsp:rsid wsp:val=&quot;00A73629&quot;/&gt;&lt;wsp:rsid wsp:val=&quot;00A7377C&quot;/&gt;&lt;wsp:rsid wsp:val=&quot;00A74592&quot;/&gt;&lt;wsp:rsid wsp:val=&quot;00A74B98&quot;/&gt;&lt;wsp:rsid wsp:val=&quot;00A74C71&quot;/&gt;&lt;wsp:rsid wsp:val=&quot;00A74D78&quot;/&gt;&lt;wsp:rsid wsp:val=&quot;00A76322&quot;/&gt;&lt;wsp:rsid wsp:val=&quot;00A7712A&quot;/&gt;&lt;wsp:rsid wsp:val=&quot;00A7782F&quot;/&gt;&lt;wsp:rsid wsp:val=&quot;00A803A3&quot;/&gt;&lt;wsp:rsid wsp:val=&quot;00A80666&quot;/&gt;&lt;wsp:rsid wsp:val=&quot;00A807EF&quot;/&gt;&lt;wsp:rsid wsp:val=&quot;00A812A0&quot;/&gt;&lt;wsp:rsid wsp:val=&quot;00A817FB&quot;/&gt;&lt;wsp:rsid wsp:val=&quot;00A819A4&quot;/&gt;&lt;wsp:rsid wsp:val=&quot;00A81F4B&quot;/&gt;&lt;wsp:rsid wsp:val=&quot;00A8273F&quot;/&gt;&lt;wsp:rsid wsp:val=&quot;00A828CC&quot;/&gt;&lt;wsp:rsid wsp:val=&quot;00A82DA8&quot;/&gt;&lt;wsp:rsid wsp:val=&quot;00A8322C&quot;/&gt;&lt;wsp:rsid wsp:val=&quot;00A835E7&quot;/&gt;&lt;wsp:rsid wsp:val=&quot;00A83C60&quot;/&gt;&lt;wsp:rsid wsp:val=&quot;00A84061&quot;/&gt;&lt;wsp:rsid wsp:val=&quot;00A84472&quot;/&gt;&lt;wsp:rsid wsp:val=&quot;00A84735&quot;/&gt;&lt;wsp:rsid wsp:val=&quot;00A8791A&quot;/&gt;&lt;wsp:rsid wsp:val=&quot;00A87EA9&quot;/&gt;&lt;wsp:rsid wsp:val=&quot;00A90B23&quot;/&gt;&lt;wsp:rsid wsp:val=&quot;00A91736&quot;/&gt;&lt;wsp:rsid wsp:val=&quot;00A92198&quot;/&gt;&lt;wsp:rsid wsp:val=&quot;00A92F43&quot;/&gt;&lt;wsp:rsid wsp:val=&quot;00A937AC&quot;/&gt;&lt;wsp:rsid wsp:val=&quot;00A93F77&quot;/&gt;&lt;wsp:rsid wsp:val=&quot;00A945A4&quot;/&gt;&lt;wsp:rsid wsp:val=&quot;00A94EE6&quot;/&gt;&lt;wsp:rsid wsp:val=&quot;00A95262&quot;/&gt;&lt;wsp:rsid wsp:val=&quot;00A973B8&quot;/&gt;&lt;wsp:rsid wsp:val=&quot;00A9755B&quot;/&gt;&lt;wsp:rsid wsp:val=&quot;00A97BE8&quot;/&gt;&lt;wsp:rsid wsp:val=&quot;00A97E19&quot;/&gt;&lt;wsp:rsid wsp:val=&quot;00AA056A&quot;/&gt;&lt;wsp:rsid wsp:val=&quot;00AA1EA4&quot;/&gt;&lt;wsp:rsid wsp:val=&quot;00AA1F2A&quot;/&gt;&lt;wsp:rsid wsp:val=&quot;00AA2591&quot;/&gt;&lt;wsp:rsid wsp:val=&quot;00AA27B4&quot;/&gt;&lt;wsp:rsid wsp:val=&quot;00AA28F4&quot;/&gt;&lt;wsp:rsid wsp:val=&quot;00AA348F&quot;/&gt;&lt;wsp:rsid wsp:val=&quot;00AA363D&quot;/&gt;&lt;wsp:rsid wsp:val=&quot;00AA37AB&quot;/&gt;&lt;wsp:rsid wsp:val=&quot;00AA3E68&quot;/&gt;&lt;wsp:rsid wsp:val=&quot;00AA45BF&quot;/&gt;&lt;wsp:rsid wsp:val=&quot;00AA479B&quot;/&gt;&lt;wsp:rsid wsp:val=&quot;00AA5E41&quot;/&gt;&lt;wsp:rsid wsp:val=&quot;00AA6FE3&quot;/&gt;&lt;wsp:rsid wsp:val=&quot;00AA7344&quot;/&gt;&lt;wsp:rsid wsp:val=&quot;00AA78A6&quot;/&gt;&lt;wsp:rsid wsp:val=&quot;00AA78EA&quot;/&gt;&lt;wsp:rsid wsp:val=&quot;00AB0742&quot;/&gt;&lt;wsp:rsid wsp:val=&quot;00AB1B33&quot;/&gt;&lt;wsp:rsid wsp:val=&quot;00AB2AA5&quot;/&gt;&lt;wsp:rsid wsp:val=&quot;00AB2C22&quot;/&gt;&lt;wsp:rsid wsp:val=&quot;00AB2C50&quot;/&gt;&lt;wsp:rsid wsp:val=&quot;00AB2D71&quot;/&gt;&lt;wsp:rsid wsp:val=&quot;00AB2EC9&quot;/&gt;&lt;wsp:rsid wsp:val=&quot;00AB2F08&quot;/&gt;&lt;wsp:rsid wsp:val=&quot;00AB3174&quot;/&gt;&lt;wsp:rsid wsp:val=&quot;00AB321F&quot;/&gt;&lt;wsp:rsid wsp:val=&quot;00AB5147&quot;/&gt;&lt;wsp:rsid wsp:val=&quot;00AB5CBE&quot;/&gt;&lt;wsp:rsid wsp:val=&quot;00AB6629&quot;/&gt;&lt;wsp:rsid wsp:val=&quot;00AB6A7B&quot;/&gt;&lt;wsp:rsid wsp:val=&quot;00AB6D08&quot;/&gt;&lt;wsp:rsid wsp:val=&quot;00AB72E1&quot;/&gt;&lt;wsp:rsid wsp:val=&quot;00AB75F7&quot;/&gt;&lt;wsp:rsid wsp:val=&quot;00AB7624&quot;/&gt;&lt;wsp:rsid wsp:val=&quot;00AB7932&quot;/&gt;&lt;wsp:rsid wsp:val=&quot;00AB7A1A&quot;/&gt;&lt;wsp:rsid wsp:val=&quot;00AC038B&quot;/&gt;&lt;wsp:rsid wsp:val=&quot;00AC0632&quot;/&gt;&lt;wsp:rsid wsp:val=&quot;00AC0CC3&quot;/&gt;&lt;wsp:rsid wsp:val=&quot;00AC0E00&quot;/&gt;&lt;wsp:rsid wsp:val=&quot;00AC1012&quot;/&gt;&lt;wsp:rsid wsp:val=&quot;00AC182A&quot;/&gt;&lt;wsp:rsid wsp:val=&quot;00AC1B4B&quot;/&gt;&lt;wsp:rsid wsp:val=&quot;00AC209C&quot;/&gt;&lt;wsp:rsid wsp:val=&quot;00AC23AE&quot;/&gt;&lt;wsp:rsid wsp:val=&quot;00AC24BA&quot;/&gt;&lt;wsp:rsid wsp:val=&quot;00AC259B&quot;/&gt;&lt;wsp:rsid wsp:val=&quot;00AC387D&quot;/&gt;&lt;wsp:rsid wsp:val=&quot;00AC4850&quot;/&gt;&lt;wsp:rsid wsp:val=&quot;00AC5E99&quot;/&gt;&lt;wsp:rsid wsp:val=&quot;00AC61A4&quot;/&gt;&lt;wsp:rsid wsp:val=&quot;00AC6B13&quot;/&gt;&lt;wsp:rsid wsp:val=&quot;00AC7144&quot;/&gt;&lt;wsp:rsid wsp:val=&quot;00AD01F7&quot;/&gt;&lt;wsp:rsid wsp:val=&quot;00AD0D0A&quot;/&gt;&lt;wsp:rsid wsp:val=&quot;00AD14AE&quot;/&gt;&lt;wsp:rsid wsp:val=&quot;00AD193F&quot;/&gt;&lt;wsp:rsid wsp:val=&quot;00AD1D3B&quot;/&gt;&lt;wsp:rsid wsp:val=&quot;00AD278F&quot;/&gt;&lt;wsp:rsid wsp:val=&quot;00AD2909&quot;/&gt;&lt;wsp:rsid wsp:val=&quot;00AD31F7&quot;/&gt;&lt;wsp:rsid wsp:val=&quot;00AD42A7&quot;/&gt;&lt;wsp:rsid wsp:val=&quot;00AD4833&quot;/&gt;&lt;wsp:rsid wsp:val=&quot;00AD66DC&quot;/&gt;&lt;wsp:rsid wsp:val=&quot;00AD6925&quot;/&gt;&lt;wsp:rsid wsp:val=&quot;00AD6DCE&quot;/&gt;&lt;wsp:rsid wsp:val=&quot;00AD7673&quot;/&gt;&lt;wsp:rsid wsp:val=&quot;00AD7858&quot;/&gt;&lt;wsp:rsid wsp:val=&quot;00AE01F9&quot;/&gt;&lt;wsp:rsid wsp:val=&quot;00AE02BE&quot;/&gt;&lt;wsp:rsid wsp:val=&quot;00AE02FB&quot;/&gt;&lt;wsp:rsid wsp:val=&quot;00AE07DA&quot;/&gt;&lt;wsp:rsid wsp:val=&quot;00AE2A8B&quot;/&gt;&lt;wsp:rsid wsp:val=&quot;00AE3413&quot;/&gt;&lt;wsp:rsid wsp:val=&quot;00AE38B9&quot;/&gt;&lt;wsp:rsid wsp:val=&quot;00AE38DC&quot;/&gt;&lt;wsp:rsid wsp:val=&quot;00AE3BE5&quot;/&gt;&lt;wsp:rsid wsp:val=&quot;00AE4A27&quot;/&gt;&lt;wsp:rsid wsp:val=&quot;00AE5295&quot;/&gt;&lt;wsp:rsid wsp:val=&quot;00AE6D63&quot;/&gt;&lt;wsp:rsid wsp:val=&quot;00AE701D&quot;/&gt;&lt;wsp:rsid wsp:val=&quot;00AE7B4F&quot;/&gt;&lt;wsp:rsid wsp:val=&quot;00AE7CD9&quot;/&gt;&lt;wsp:rsid wsp:val=&quot;00AF0373&quot;/&gt;&lt;wsp:rsid wsp:val=&quot;00AF0DF1&quot;/&gt;&lt;wsp:rsid wsp:val=&quot;00AF16B5&quot;/&gt;&lt;wsp:rsid wsp:val=&quot;00AF16BF&quot;/&gt;&lt;wsp:rsid wsp:val=&quot;00AF18AF&quot;/&gt;&lt;wsp:rsid wsp:val=&quot;00AF1D18&quot;/&gt;&lt;wsp:rsid wsp:val=&quot;00AF26CC&quot;/&gt;&lt;wsp:rsid wsp:val=&quot;00AF26D5&quot;/&gt;&lt;wsp:rsid wsp:val=&quot;00AF2DC3&quot;/&gt;&lt;wsp:rsid wsp:val=&quot;00AF2FB5&quot;/&gt;&lt;wsp:rsid wsp:val=&quot;00AF3026&quot;/&gt;&lt;wsp:rsid wsp:val=&quot;00AF315C&quot;/&gt;&lt;wsp:rsid wsp:val=&quot;00AF31B6&quot;/&gt;&lt;wsp:rsid wsp:val=&quot;00AF32EF&quot;/&gt;&lt;wsp:rsid wsp:val=&quot;00AF3302&quot;/&gt;&lt;wsp:rsid wsp:val=&quot;00AF3C00&quot;/&gt;&lt;wsp:rsid wsp:val=&quot;00AF3D74&quot;/&gt;&lt;wsp:rsid wsp:val=&quot;00AF40C8&quot;/&gt;&lt;wsp:rsid wsp:val=&quot;00AF41D4&quot;/&gt;&lt;wsp:rsid wsp:val=&quot;00AF4B85&quot;/&gt;&lt;wsp:rsid wsp:val=&quot;00AF4CCA&quot;/&gt;&lt;wsp:rsid wsp:val=&quot;00AF4E39&quot;/&gt;&lt;wsp:rsid wsp:val=&quot;00AF5C63&quot;/&gt;&lt;wsp:rsid wsp:val=&quot;00AF60B5&quot;/&gt;&lt;wsp:rsid wsp:val=&quot;00AF670F&quot;/&gt;&lt;wsp:rsid wsp:val=&quot;00B018B8&quot;/&gt;&lt;wsp:rsid wsp:val=&quot;00B01C22&quot;/&gt;&lt;wsp:rsid wsp:val=&quot;00B0225B&quot;/&gt;&lt;wsp:rsid wsp:val=&quot;00B02531&quot;/&gt;&lt;wsp:rsid wsp:val=&quot;00B02866&quot;/&gt;&lt;wsp:rsid wsp:val=&quot;00B029B4&quot;/&gt;&lt;wsp:rsid wsp:val=&quot;00B029DB&quot;/&gt;&lt;wsp:rsid wsp:val=&quot;00B02EDE&quot;/&gt;&lt;wsp:rsid wsp:val=&quot;00B02F50&quot;/&gt;&lt;wsp:rsid wsp:val=&quot;00B03473&quot;/&gt;&lt;wsp:rsid wsp:val=&quot;00B03CF3&quot;/&gt;&lt;wsp:rsid wsp:val=&quot;00B03EFC&quot;/&gt;&lt;wsp:rsid wsp:val=&quot;00B03FE2&quot;/&gt;&lt;wsp:rsid wsp:val=&quot;00B04829&quot;/&gt;&lt;wsp:rsid wsp:val=&quot;00B04EA4&quot;/&gt;&lt;wsp:rsid wsp:val=&quot;00B05800&quot;/&gt;&lt;wsp:rsid wsp:val=&quot;00B06543&quot;/&gt;&lt;wsp:rsid wsp:val=&quot;00B0670A&quot;/&gt;&lt;wsp:rsid wsp:val=&quot;00B068FA&quot;/&gt;&lt;wsp:rsid wsp:val=&quot;00B072E0&quot;/&gt;&lt;wsp:rsid wsp:val=&quot;00B0797D&quot;/&gt;&lt;wsp:rsid wsp:val=&quot;00B07E12&quot;/&gt;&lt;wsp:rsid wsp:val=&quot;00B10D88&quot;/&gt;&lt;wsp:rsid wsp:val=&quot;00B11089&quot;/&gt;&lt;wsp:rsid wsp:val=&quot;00B11A32&quot;/&gt;&lt;wsp:rsid wsp:val=&quot;00B11D1C&quot;/&gt;&lt;wsp:rsid wsp:val=&quot;00B12430&quot;/&gt;&lt;wsp:rsid wsp:val=&quot;00B1267B&quot;/&gt;&lt;wsp:rsid wsp:val=&quot;00B126EF&quot;/&gt;&lt;wsp:rsid wsp:val=&quot;00B1284A&quot;/&gt;&lt;wsp:rsid wsp:val=&quot;00B13997&quot;/&gt;&lt;wsp:rsid wsp:val=&quot;00B13DD0&quot;/&gt;&lt;wsp:rsid wsp:val=&quot;00B1425D&quot;/&gt;&lt;wsp:rsid wsp:val=&quot;00B15478&quot;/&gt;&lt;wsp:rsid wsp:val=&quot;00B15627&quot;/&gt;&lt;wsp:rsid wsp:val=&quot;00B15BB0&quot;/&gt;&lt;wsp:rsid wsp:val=&quot;00B16206&quot;/&gt;&lt;wsp:rsid wsp:val=&quot;00B206C3&quot;/&gt;&lt;wsp:rsid wsp:val=&quot;00B20BBF&quot;/&gt;&lt;wsp:rsid wsp:val=&quot;00B21D0F&quot;/&gt;&lt;wsp:rsid wsp:val=&quot;00B22025&quot;/&gt;&lt;wsp:rsid wsp:val=&quot;00B22688&quot;/&gt;&lt;wsp:rsid wsp:val=&quot;00B239BB&quot;/&gt;&lt;wsp:rsid wsp:val=&quot;00B244A4&quot;/&gt;&lt;wsp:rsid wsp:val=&quot;00B24712&quot;/&gt;&lt;wsp:rsid wsp:val=&quot;00B2530C&quot;/&gt;&lt;wsp:rsid wsp:val=&quot;00B2566D&quot;/&gt;&lt;wsp:rsid wsp:val=&quot;00B25C79&quot;/&gt;&lt;wsp:rsid wsp:val=&quot;00B262FA&quot;/&gt;&lt;wsp:rsid wsp:val=&quot;00B266AE&quot;/&gt;&lt;wsp:rsid wsp:val=&quot;00B26B5D&quot;/&gt;&lt;wsp:rsid wsp:val=&quot;00B27495&quot;/&gt;&lt;wsp:rsid wsp:val=&quot;00B27E17&quot;/&gt;&lt;wsp:rsid wsp:val=&quot;00B3043F&quot;/&gt;&lt;wsp:rsid wsp:val=&quot;00B30724&quot;/&gt;&lt;wsp:rsid wsp:val=&quot;00B30F95&quot;/&gt;&lt;wsp:rsid wsp:val=&quot;00B314B2&quot;/&gt;&lt;wsp:rsid wsp:val=&quot;00B31F84&quot;/&gt;&lt;wsp:rsid wsp:val=&quot;00B32219&quot;/&gt;&lt;wsp:rsid wsp:val=&quot;00B32366&quot;/&gt;&lt;wsp:rsid wsp:val=&quot;00B32663&quot;/&gt;&lt;wsp:rsid wsp:val=&quot;00B3329D&quot;/&gt;&lt;wsp:rsid wsp:val=&quot;00B33924&quot;/&gt;&lt;wsp:rsid wsp:val=&quot;00B33BE6&quot;/&gt;&lt;wsp:rsid wsp:val=&quot;00B33CC0&quot;/&gt;&lt;wsp:rsid wsp:val=&quot;00B34AE5&quot;/&gt;&lt;wsp:rsid wsp:val=&quot;00B35A96&quot;/&gt;&lt;wsp:rsid wsp:val=&quot;00B365EA&quot;/&gt;&lt;wsp:rsid wsp:val=&quot;00B36F87&quot;/&gt;&lt;wsp:rsid wsp:val=&quot;00B3703E&quot;/&gt;&lt;wsp:rsid wsp:val=&quot;00B37B11&quot;/&gt;&lt;wsp:rsid wsp:val=&quot;00B37CE2&quot;/&gt;&lt;wsp:rsid wsp:val=&quot;00B37DD0&quot;/&gt;&lt;wsp:rsid wsp:val=&quot;00B41275&quot;/&gt;&lt;wsp:rsid wsp:val=&quot;00B41967&quot;/&gt;&lt;wsp:rsid wsp:val=&quot;00B41AC0&quot;/&gt;&lt;wsp:rsid wsp:val=&quot;00B41D0B&quot;/&gt;&lt;wsp:rsid wsp:val=&quot;00B42371&quot;/&gt;&lt;wsp:rsid wsp:val=&quot;00B42421&quot;/&gt;&lt;wsp:rsid wsp:val=&quot;00B42B1E&quot;/&gt;&lt;wsp:rsid wsp:val=&quot;00B42D1E&quot;/&gt;&lt;wsp:rsid wsp:val=&quot;00B435A8&quot;/&gt;&lt;wsp:rsid wsp:val=&quot;00B43C33&quot;/&gt;&lt;wsp:rsid wsp:val=&quot;00B44626&quot;/&gt;&lt;wsp:rsid wsp:val=&quot;00B46997&quot;/&gt;&lt;wsp:rsid wsp:val=&quot;00B469AB&quot;/&gt;&lt;wsp:rsid wsp:val=&quot;00B46BF2&quot;/&gt;&lt;wsp:rsid wsp:val=&quot;00B474B5&quot;/&gt;&lt;wsp:rsid wsp:val=&quot;00B504E1&quot;/&gt;&lt;wsp:rsid wsp:val=&quot;00B50A20&quot;/&gt;&lt;wsp:rsid wsp:val=&quot;00B51DF2&quot;/&gt;&lt;wsp:rsid wsp:val=&quot;00B51EA2&quot;/&gt;&lt;wsp:rsid wsp:val=&quot;00B51FCC&quot;/&gt;&lt;wsp:rsid wsp:val=&quot;00B52442&quot;/&gt;&lt;wsp:rsid wsp:val=&quot;00B52E88&quot;/&gt;&lt;wsp:rsid wsp:val=&quot;00B53CC0&quot;/&gt;&lt;wsp:rsid wsp:val=&quot;00B542EF&quot;/&gt;&lt;wsp:rsid wsp:val=&quot;00B554FB&quot;/&gt;&lt;wsp:rsid wsp:val=&quot;00B559F2&quot;/&gt;&lt;wsp:rsid wsp:val=&quot;00B55AEC&quot;/&gt;&lt;wsp:rsid wsp:val=&quot;00B560F9&quot;/&gt;&lt;wsp:rsid wsp:val=&quot;00B564D8&quot;/&gt;&lt;wsp:rsid wsp:val=&quot;00B56A48&quot;/&gt;&lt;wsp:rsid wsp:val=&quot;00B56F78&quot;/&gt;&lt;wsp:rsid wsp:val=&quot;00B60DC6&quot;/&gt;&lt;wsp:rsid wsp:val=&quot;00B610E4&quot;/&gt;&lt;wsp:rsid wsp:val=&quot;00B61297&quot;/&gt;&lt;wsp:rsid wsp:val=&quot;00B620E5&quot;/&gt;&lt;wsp:rsid wsp:val=&quot;00B62101&quot;/&gt;&lt;wsp:rsid wsp:val=&quot;00B621A0&quot;/&gt;&lt;wsp:rsid wsp:val=&quot;00B632A1&quot;/&gt;&lt;wsp:rsid wsp:val=&quot;00B63949&quot;/&gt;&lt;wsp:rsid wsp:val=&quot;00B63974&quot;/&gt;&lt;wsp:rsid wsp:val=&quot;00B6460A&quot;/&gt;&lt;wsp:rsid wsp:val=&quot;00B64B0B&quot;/&gt;&lt;wsp:rsid wsp:val=&quot;00B65027&quot;/&gt;&lt;wsp:rsid wsp:val=&quot;00B6562C&quot;/&gt;&lt;wsp:rsid wsp:val=&quot;00B670D9&quot;/&gt;&lt;wsp:rsid wsp:val=&quot;00B67E30&quot;/&gt;&lt;wsp:rsid wsp:val=&quot;00B67F24&quot;/&gt;&lt;wsp:rsid wsp:val=&quot;00B70271&quot;/&gt;&lt;wsp:rsid wsp:val=&quot;00B70325&quot;/&gt;&lt;wsp:rsid wsp:val=&quot;00B713AE&quot;/&gt;&lt;wsp:rsid wsp:val=&quot;00B721AA&quot;/&gt;&lt;wsp:rsid wsp:val=&quot;00B7271F&quot;/&gt;&lt;wsp:rsid wsp:val=&quot;00B7302B&quot;/&gt;&lt;wsp:rsid wsp:val=&quot;00B73354&quot;/&gt;&lt;wsp:rsid wsp:val=&quot;00B743AE&quot;/&gt;&lt;wsp:rsid wsp:val=&quot;00B74F58&quot;/&gt;&lt;wsp:rsid wsp:val=&quot;00B75010&quot;/&gt;&lt;wsp:rsid wsp:val=&quot;00B75CEB&quot;/&gt;&lt;wsp:rsid wsp:val=&quot;00B7648C&quot;/&gt;&lt;wsp:rsid wsp:val=&quot;00B766E8&quot;/&gt;&lt;wsp:rsid wsp:val=&quot;00B76810&quot;/&gt;&lt;wsp:rsid wsp:val=&quot;00B77519&quot;/&gt;&lt;wsp:rsid wsp:val=&quot;00B77883&quot;/&gt;&lt;wsp:rsid wsp:val=&quot;00B77D66&quot;/&gt;&lt;wsp:rsid wsp:val=&quot;00B80087&quot;/&gt;&lt;wsp:rsid wsp:val=&quot;00B80599&quot;/&gt;&lt;wsp:rsid wsp:val=&quot;00B80AFA&quot;/&gt;&lt;wsp:rsid wsp:val=&quot;00B810C2&quot;/&gt;&lt;wsp:rsid wsp:val=&quot;00B8229B&quot;/&gt;&lt;wsp:rsid wsp:val=&quot;00B827C3&quot;/&gt;&lt;wsp:rsid wsp:val=&quot;00B833C1&quot;/&gt;&lt;wsp:rsid wsp:val=&quot;00B8394E&quot;/&gt;&lt;wsp:rsid wsp:val=&quot;00B83C53&quot;/&gt;&lt;wsp:rsid wsp:val=&quot;00B8409A&quot;/&gt;&lt;wsp:rsid wsp:val=&quot;00B844BA&quot;/&gt;&lt;wsp:rsid wsp:val=&quot;00B84CEB&quot;/&gt;&lt;wsp:rsid wsp:val=&quot;00B85BC9&quot;/&gt;&lt;wsp:rsid wsp:val=&quot;00B85CC8&quot;/&gt;&lt;wsp:rsid wsp:val=&quot;00B85D97&quot;/&gt;&lt;wsp:rsid wsp:val=&quot;00B86E1E&quot;/&gt;&lt;wsp:rsid wsp:val=&quot;00B87296&quot;/&gt;&lt;wsp:rsid wsp:val=&quot;00B87FFA&quot;/&gt;&lt;wsp:rsid wsp:val=&quot;00B9049C&quot;/&gt;&lt;wsp:rsid wsp:val=&quot;00B90D99&quot;/&gt;&lt;wsp:rsid wsp:val=&quot;00B90DC6&quot;/&gt;&lt;wsp:rsid wsp:val=&quot;00B92C2A&quot;/&gt;&lt;wsp:rsid wsp:val=&quot;00B932A0&quot;/&gt;&lt;wsp:rsid wsp:val=&quot;00B94E60&quot;/&gt;&lt;wsp:rsid wsp:val=&quot;00B95EE2&quot;/&gt;&lt;wsp:rsid wsp:val=&quot;00B960BF&quot;/&gt;&lt;wsp:rsid wsp:val=&quot;00B96928&quot;/&gt;&lt;wsp:rsid wsp:val=&quot;00B96A54&quot;/&gt;&lt;wsp:rsid wsp:val=&quot;00B9741B&quot;/&gt;&lt;wsp:rsid wsp:val=&quot;00B976B4&quot;/&gt;&lt;wsp:rsid wsp:val=&quot;00B977E6&quot;/&gt;&lt;wsp:rsid wsp:val=&quot;00B97B42&quot;/&gt;&lt;wsp:rsid wsp:val=&quot;00B97CF8&quot;/&gt;&lt;wsp:rsid wsp:val=&quot;00BA127D&quot;/&gt;&lt;wsp:rsid wsp:val=&quot;00BA2408&quot;/&gt;&lt;wsp:rsid wsp:val=&quot;00BA2FA9&quot;/&gt;&lt;wsp:rsid wsp:val=&quot;00BA38E1&quot;/&gt;&lt;wsp:rsid wsp:val=&quot;00BA3AFC&quot;/&gt;&lt;wsp:rsid wsp:val=&quot;00BA3CCC&quot;/&gt;&lt;wsp:rsid wsp:val=&quot;00BA4524&quot;/&gt;&lt;wsp:rsid wsp:val=&quot;00BA48F1&quot;/&gt;&lt;wsp:rsid wsp:val=&quot;00BA4BCE&quot;/&gt;&lt;wsp:rsid wsp:val=&quot;00BA5267&quot;/&gt;&lt;wsp:rsid wsp:val=&quot;00BA54F4&quot;/&gt;&lt;wsp:rsid wsp:val=&quot;00BA5696&quot;/&gt;&lt;wsp:rsid wsp:val=&quot;00BA5920&quot;/&gt;&lt;wsp:rsid wsp:val=&quot;00BA5ADE&quot;/&gt;&lt;wsp:rsid wsp:val=&quot;00BA633B&quot;/&gt;&lt;wsp:rsid wsp:val=&quot;00BA6550&quot;/&gt;&lt;wsp:rsid wsp:val=&quot;00BA6F2A&quot;/&gt;&lt;wsp:rsid wsp:val=&quot;00BA6FDA&quot;/&gt;&lt;wsp:rsid wsp:val=&quot;00BA762F&quot;/&gt;&lt;wsp:rsid wsp:val=&quot;00BA7631&quot;/&gt;&lt;wsp:rsid wsp:val=&quot;00BB01CF&quot;/&gt;&lt;wsp:rsid wsp:val=&quot;00BB05E1&quot;/&gt;&lt;wsp:rsid wsp:val=&quot;00BB0782&quot;/&gt;&lt;wsp:rsid wsp:val=&quot;00BB26C3&quot;/&gt;&lt;wsp:rsid wsp:val=&quot;00BB299D&quot;/&gt;&lt;wsp:rsid wsp:val=&quot;00BB2BFE&quot;/&gt;&lt;wsp:rsid wsp:val=&quot;00BB30FA&quot;/&gt;&lt;wsp:rsid wsp:val=&quot;00BB314D&quot;/&gt;&lt;wsp:rsid wsp:val=&quot;00BB3649&quot;/&gt;&lt;wsp:rsid wsp:val=&quot;00BB3802&quot;/&gt;&lt;wsp:rsid wsp:val=&quot;00BB39BF&quot;/&gt;&lt;wsp:rsid wsp:val=&quot;00BB39EA&quot;/&gt;&lt;wsp:rsid wsp:val=&quot;00BB3F69&quot;/&gt;&lt;wsp:rsid wsp:val=&quot;00BB4724&quot;/&gt;&lt;wsp:rsid wsp:val=&quot;00BB484A&quot;/&gt;&lt;wsp:rsid wsp:val=&quot;00BB5378&quot;/&gt;&lt;wsp:rsid wsp:val=&quot;00BB57CF&quot;/&gt;&lt;wsp:rsid wsp:val=&quot;00BB5913&quot;/&gt;&lt;wsp:rsid wsp:val=&quot;00BB5EBD&quot;/&gt;&lt;wsp:rsid wsp:val=&quot;00BB6855&quot;/&gt;&lt;wsp:rsid wsp:val=&quot;00BB718C&quot;/&gt;&lt;wsp:rsid wsp:val=&quot;00BB7B11&quot;/&gt;&lt;wsp:rsid wsp:val=&quot;00BB7B24&quot;/&gt;&lt;wsp:rsid wsp:val=&quot;00BB7CF4&quot;/&gt;&lt;wsp:rsid wsp:val=&quot;00BC0F2B&quot;/&gt;&lt;wsp:rsid wsp:val=&quot;00BC22DB&quot;/&gt;&lt;wsp:rsid wsp:val=&quot;00BC2603&quot;/&gt;&lt;wsp:rsid wsp:val=&quot;00BC2FC1&quot;/&gt;&lt;wsp:rsid wsp:val=&quot;00BC3751&quot;/&gt;&lt;wsp:rsid wsp:val=&quot;00BC3A49&quot;/&gt;&lt;wsp:rsid wsp:val=&quot;00BC3DC7&quot;/&gt;&lt;wsp:rsid wsp:val=&quot;00BC4E5B&quot;/&gt;&lt;wsp:rsid wsp:val=&quot;00BC5B5D&quot;/&gt;&lt;wsp:rsid wsp:val=&quot;00BC64D7&quot;/&gt;&lt;wsp:rsid wsp:val=&quot;00BC6516&quot;/&gt;&lt;wsp:rsid wsp:val=&quot;00BC66A0&quot;/&gt;&lt;wsp:rsid wsp:val=&quot;00BC66DD&quot;/&gt;&lt;wsp:rsid wsp:val=&quot;00BC7154&quot;/&gt;&lt;wsp:rsid wsp:val=&quot;00BC71B5&quot;/&gt;&lt;wsp:rsid wsp:val=&quot;00BC726A&quot;/&gt;&lt;wsp:rsid wsp:val=&quot;00BC7389&quot;/&gt;&lt;wsp:rsid wsp:val=&quot;00BC756B&quot;/&gt;&lt;wsp:rsid wsp:val=&quot;00BC7BC5&quot;/&gt;&lt;wsp:rsid wsp:val=&quot;00BD09CE&quot;/&gt;&lt;wsp:rsid wsp:val=&quot;00BD10E1&quot;/&gt;&lt;wsp:rsid wsp:val=&quot;00BD1154&quot;/&gt;&lt;wsp:rsid wsp:val=&quot;00BD1B78&quot;/&gt;&lt;wsp:rsid wsp:val=&quot;00BD2FB7&quot;/&gt;&lt;wsp:rsid wsp:val=&quot;00BD327D&quot;/&gt;&lt;wsp:rsid wsp:val=&quot;00BD3B63&quot;/&gt;&lt;wsp:rsid wsp:val=&quot;00BD46FE&quot;/&gt;&lt;wsp:rsid wsp:val=&quot;00BD55BC&quot;/&gt;&lt;wsp:rsid wsp:val=&quot;00BD70AE&quot;/&gt;&lt;wsp:rsid wsp:val=&quot;00BD7B1F&quot;/&gt;&lt;wsp:rsid wsp:val=&quot;00BE1AB8&quot;/&gt;&lt;wsp:rsid wsp:val=&quot;00BE1DE3&quot;/&gt;&lt;wsp:rsid wsp:val=&quot;00BE2A4F&quot;/&gt;&lt;wsp:rsid wsp:val=&quot;00BE3FE0&quot;/&gt;&lt;wsp:rsid wsp:val=&quot;00BE4528&quot;/&gt;&lt;wsp:rsid wsp:val=&quot;00BE5145&quot;/&gt;&lt;wsp:rsid wsp:val=&quot;00BE5210&quot;/&gt;&lt;wsp:rsid wsp:val=&quot;00BE52F1&quot;/&gt;&lt;wsp:rsid wsp:val=&quot;00BE56DA&quot;/&gt;&lt;wsp:rsid wsp:val=&quot;00BE6034&quot;/&gt;&lt;wsp:rsid wsp:val=&quot;00BE614A&quot;/&gt;&lt;wsp:rsid wsp:val=&quot;00BE6229&quot;/&gt;&lt;wsp:rsid wsp:val=&quot;00BE7020&quot;/&gt;&lt;wsp:rsid wsp:val=&quot;00BE769C&quot;/&gt;&lt;wsp:rsid wsp:val=&quot;00BE78A2&quot;/&gt;&lt;wsp:rsid wsp:val=&quot;00BE7EF3&quot;/&gt;&lt;wsp:rsid wsp:val=&quot;00BF0F45&quot;/&gt;&lt;wsp:rsid wsp:val=&quot;00BF19C5&quot;/&gt;&lt;wsp:rsid wsp:val=&quot;00BF298D&quot;/&gt;&lt;wsp:rsid wsp:val=&quot;00BF33AF&quot;/&gt;&lt;wsp:rsid wsp:val=&quot;00BF438A&quot;/&gt;&lt;wsp:rsid wsp:val=&quot;00BF4D28&quot;/&gt;&lt;wsp:rsid wsp:val=&quot;00BF536F&quot;/&gt;&lt;wsp:rsid wsp:val=&quot;00BF5510&quot;/&gt;&lt;wsp:rsid wsp:val=&quot;00BF5CD0&quot;/&gt;&lt;wsp:rsid wsp:val=&quot;00BF616B&quot;/&gt;&lt;wsp:rsid wsp:val=&quot;00BF628C&quot;/&gt;&lt;wsp:rsid wsp:val=&quot;00BF66B8&quot;/&gt;&lt;wsp:rsid wsp:val=&quot;00BF770F&quot;/&gt;&lt;wsp:rsid wsp:val=&quot;00BF7730&quot;/&gt;&lt;wsp:rsid wsp:val=&quot;00BF7FE5&quot;/&gt;&lt;wsp:rsid wsp:val=&quot;00C001A3&quot;/&gt;&lt;wsp:rsid wsp:val=&quot;00C0113F&quot;/&gt;&lt;wsp:rsid wsp:val=&quot;00C012FA&quot;/&gt;&lt;wsp:rsid wsp:val=&quot;00C01772&quot;/&gt;&lt;wsp:rsid wsp:val=&quot;00C0266B&quot;/&gt;&lt;wsp:rsid wsp:val=&quot;00C027EF&quot;/&gt;&lt;wsp:rsid wsp:val=&quot;00C02B76&quot;/&gt;&lt;wsp:rsid wsp:val=&quot;00C0326A&quot;/&gt;&lt;wsp:rsid wsp:val=&quot;00C03B82&quot;/&gt;&lt;wsp:rsid wsp:val=&quot;00C040F1&quot;/&gt;&lt;wsp:rsid wsp:val=&quot;00C06099&quot;/&gt;&lt;wsp:rsid wsp:val=&quot;00C062E9&quot;/&gt;&lt;wsp:rsid wsp:val=&quot;00C07B1C&quot;/&gt;&lt;wsp:rsid wsp:val=&quot;00C07DD3&quot;/&gt;&lt;wsp:rsid wsp:val=&quot;00C10842&quot;/&gt;&lt;wsp:rsid wsp:val=&quot;00C10897&quot;/&gt;&lt;wsp:rsid wsp:val=&quot;00C112A0&quot;/&gt;&lt;wsp:rsid wsp:val=&quot;00C11E3C&quot;/&gt;&lt;wsp:rsid wsp:val=&quot;00C13ACB&quot;/&gt;&lt;wsp:rsid wsp:val=&quot;00C13D7D&quot;/&gt;&lt;wsp:rsid wsp:val=&quot;00C1437A&quot;/&gt;&lt;wsp:rsid wsp:val=&quot;00C1477D&quot;/&gt;&lt;wsp:rsid wsp:val=&quot;00C147F1&quot;/&gt;&lt;wsp:rsid wsp:val=&quot;00C148C6&quot;/&gt;&lt;wsp:rsid wsp:val=&quot;00C14BF8&quot;/&gt;&lt;wsp:rsid wsp:val=&quot;00C14F14&quot;/&gt;&lt;wsp:rsid wsp:val=&quot;00C14FCD&quot;/&gt;&lt;wsp:rsid wsp:val=&quot;00C1523E&quot;/&gt;&lt;wsp:rsid wsp:val=&quot;00C158AC&quot;/&gt;&lt;wsp:rsid wsp:val=&quot;00C17FFE&quot;/&gt;&lt;wsp:rsid wsp:val=&quot;00C208CA&quot;/&gt;&lt;wsp:rsid wsp:val=&quot;00C20D36&quot;/&gt;&lt;wsp:rsid wsp:val=&quot;00C215D9&quot;/&gt;&lt;wsp:rsid wsp:val=&quot;00C21E3D&quot;/&gt;&lt;wsp:rsid wsp:val=&quot;00C22030&quot;/&gt;&lt;wsp:rsid wsp:val=&quot;00C230FB&quot;/&gt;&lt;wsp:rsid wsp:val=&quot;00C23CB8&quot;/&gt;&lt;wsp:rsid wsp:val=&quot;00C24C55&quot;/&gt;&lt;wsp:rsid wsp:val=&quot;00C24D69&quot;/&gt;&lt;wsp:rsid wsp:val=&quot;00C25094&quot;/&gt;&lt;wsp:rsid wsp:val=&quot;00C25A88&quot;/&gt;&lt;wsp:rsid wsp:val=&quot;00C25BF3&quot;/&gt;&lt;wsp:rsid wsp:val=&quot;00C272DE&quot;/&gt;&lt;wsp:rsid wsp:val=&quot;00C2738C&quot;/&gt;&lt;wsp:rsid wsp:val=&quot;00C2766D&quot;/&gt;&lt;wsp:rsid wsp:val=&quot;00C27C70&quot;/&gt;&lt;wsp:rsid wsp:val=&quot;00C304C4&quot;/&gt;&lt;wsp:rsid wsp:val=&quot;00C305EB&quot;/&gt;&lt;wsp:rsid wsp:val=&quot;00C318C9&quot;/&gt;&lt;wsp:rsid wsp:val=&quot;00C31E47&quot;/&gt;&lt;wsp:rsid wsp:val=&quot;00C323DC&quot;/&gt;&lt;wsp:rsid wsp:val=&quot;00C32B40&quot;/&gt;&lt;wsp:rsid wsp:val=&quot;00C344FF&quot;/&gt;&lt;wsp:rsid wsp:val=&quot;00C34E8D&quot;/&gt;&lt;wsp:rsid wsp:val=&quot;00C359F5&quot;/&gt;&lt;wsp:rsid wsp:val=&quot;00C35C4A&quot;/&gt;&lt;wsp:rsid wsp:val=&quot;00C363F7&quot;/&gt;&lt;wsp:rsid wsp:val=&quot;00C36B09&quot;/&gt;&lt;wsp:rsid wsp:val=&quot;00C36BF7&quot;/&gt;&lt;wsp:rsid wsp:val=&quot;00C36D0F&quot;/&gt;&lt;wsp:rsid wsp:val=&quot;00C37795&quot;/&gt;&lt;wsp:rsid wsp:val=&quot;00C400A4&quot;/&gt;&lt;wsp:rsid wsp:val=&quot;00C4092B&quot;/&gt;&lt;wsp:rsid wsp:val=&quot;00C40BFC&quot;/&gt;&lt;wsp:rsid wsp:val=&quot;00C413DD&quot;/&gt;&lt;wsp:rsid wsp:val=&quot;00C41752&quot;/&gt;&lt;wsp:rsid wsp:val=&quot;00C417E1&quot;/&gt;&lt;wsp:rsid wsp:val=&quot;00C4192A&quot;/&gt;&lt;wsp:rsid wsp:val=&quot;00C41F4E&quot;/&gt;&lt;wsp:rsid wsp:val=&quot;00C426C9&quot;/&gt;&lt;wsp:rsid wsp:val=&quot;00C42CD7&quot;/&gt;&lt;wsp:rsid wsp:val=&quot;00C430E7&quot;/&gt;&lt;wsp:rsid wsp:val=&quot;00C431C2&quot;/&gt;&lt;wsp:rsid wsp:val=&quot;00C43A16&quot;/&gt;&lt;wsp:rsid wsp:val=&quot;00C4402B&quot;/&gt;&lt;wsp:rsid wsp:val=&quot;00C44EF6&quot;/&gt;&lt;wsp:rsid wsp:val=&quot;00C4599B&quot;/&gt;&lt;wsp:rsid wsp:val=&quot;00C45C92&quot;/&gt;&lt;wsp:rsid wsp:val=&quot;00C45E3C&quot;/&gt;&lt;wsp:rsid wsp:val=&quot;00C4602A&quot;/&gt;&lt;wsp:rsid wsp:val=&quot;00C46427&quot;/&gt;&lt;wsp:rsid wsp:val=&quot;00C467B0&quot;/&gt;&lt;wsp:rsid wsp:val=&quot;00C47567&quot;/&gt;&lt;wsp:rsid wsp:val=&quot;00C47D87&quot;/&gt;&lt;wsp:rsid wsp:val=&quot;00C50D38&quot;/&gt;&lt;wsp:rsid wsp:val=&quot;00C515DF&quot;/&gt;&lt;wsp:rsid wsp:val=&quot;00C5185C&quot;/&gt;&lt;wsp:rsid wsp:val=&quot;00C5223B&quot;/&gt;&lt;wsp:rsid wsp:val=&quot;00C523F9&quot;/&gt;&lt;wsp:rsid wsp:val=&quot;00C52C82&quot;/&gt;&lt;wsp:rsid wsp:val=&quot;00C53931&quot;/&gt;&lt;wsp:rsid wsp:val=&quot;00C54458&quot;/&gt;&lt;wsp:rsid wsp:val=&quot;00C55379&quot;/&gt;&lt;wsp:rsid wsp:val=&quot;00C556AB&quot;/&gt;&lt;wsp:rsid wsp:val=&quot;00C56645&quot;/&gt;&lt;wsp:rsid wsp:val=&quot;00C56908&quot;/&gt;&lt;wsp:rsid wsp:val=&quot;00C56A81&quot;/&gt;&lt;wsp:rsid wsp:val=&quot;00C57199&quot;/&gt;&lt;wsp:rsid wsp:val=&quot;00C57781&quot;/&gt;&lt;wsp:rsid wsp:val=&quot;00C57979&quot;/&gt;&lt;wsp:rsid wsp:val=&quot;00C60165&quot;/&gt;&lt;wsp:rsid wsp:val=&quot;00C61A0C&quot;/&gt;&lt;wsp:rsid wsp:val=&quot;00C62559&quot;/&gt;&lt;wsp:rsid wsp:val=&quot;00C62735&quot;/&gt;&lt;wsp:rsid wsp:val=&quot;00C62A6B&quot;/&gt;&lt;wsp:rsid wsp:val=&quot;00C632DF&quot;/&gt;&lt;wsp:rsid wsp:val=&quot;00C63D05&quot;/&gt;&lt;wsp:rsid wsp:val=&quot;00C63F97&quot;/&gt;&lt;wsp:rsid wsp:val=&quot;00C64188&quot;/&gt;&lt;wsp:rsid wsp:val=&quot;00C65C13&quot;/&gt;&lt;wsp:rsid wsp:val=&quot;00C66214&quot;/&gt;&lt;wsp:rsid wsp:val=&quot;00C66B4C&quot;/&gt;&lt;wsp:rsid wsp:val=&quot;00C6746F&quot;/&gt;&lt;wsp:rsid wsp:val=&quot;00C67745&quot;/&gt;&lt;wsp:rsid wsp:val=&quot;00C6778E&quot;/&gt;&lt;wsp:rsid wsp:val=&quot;00C67820&quot;/&gt;&lt;wsp:rsid wsp:val=&quot;00C70000&quot;/&gt;&lt;wsp:rsid wsp:val=&quot;00C702C2&quot;/&gt;&lt;wsp:rsid wsp:val=&quot;00C70BC2&quot;/&gt;&lt;wsp:rsid wsp:val=&quot;00C70E08&quot;/&gt;&lt;wsp:rsid wsp:val=&quot;00C7194A&quot;/&gt;&lt;wsp:rsid wsp:val=&quot;00C71FA3&quot;/&gt;&lt;wsp:rsid wsp:val=&quot;00C72581&quot;/&gt;&lt;wsp:rsid wsp:val=&quot;00C7262D&quot;/&gt;&lt;wsp:rsid wsp:val=&quot;00C73015&quot;/&gt;&lt;wsp:rsid wsp:val=&quot;00C737D9&quot;/&gt;&lt;wsp:rsid wsp:val=&quot;00C73C96&quot;/&gt;&lt;wsp:rsid wsp:val=&quot;00C73E4E&quot;/&gt;&lt;wsp:rsid wsp:val=&quot;00C74C36&quot;/&gt;&lt;wsp:rsid wsp:val=&quot;00C74FAA&quot;/&gt;&lt;wsp:rsid wsp:val=&quot;00C75411&quot;/&gt;&lt;wsp:rsid wsp:val=&quot;00C757ED&quot;/&gt;&lt;wsp:rsid wsp:val=&quot;00C7580F&quot;/&gt;&lt;wsp:rsid wsp:val=&quot;00C76054&quot;/&gt;&lt;wsp:rsid wsp:val=&quot;00C76080&quot;/&gt;&lt;wsp:rsid wsp:val=&quot;00C76336&quot;/&gt;&lt;wsp:rsid wsp:val=&quot;00C77C87&quot;/&gt;&lt;wsp:rsid wsp:val=&quot;00C80CF6&quot;/&gt;&lt;wsp:rsid wsp:val=&quot;00C81790&quot;/&gt;&lt;wsp:rsid wsp:val=&quot;00C8281F&quot;/&gt;&lt;wsp:rsid wsp:val=&quot;00C83651&quot;/&gt;&lt;wsp:rsid wsp:val=&quot;00C837D6&quot;/&gt;&lt;wsp:rsid wsp:val=&quot;00C83E95&quot;/&gt;&lt;wsp:rsid wsp:val=&quot;00C84EAD&quot;/&gt;&lt;wsp:rsid wsp:val=&quot;00C850D9&quot;/&gt;&lt;wsp:rsid wsp:val=&quot;00C858EE&quot;/&gt;&lt;wsp:rsid wsp:val=&quot;00C85C3A&quot;/&gt;&lt;wsp:rsid wsp:val=&quot;00C85EF3&quot;/&gt;&lt;wsp:rsid wsp:val=&quot;00C86304&quot;/&gt;&lt;wsp:rsid wsp:val=&quot;00C86EAF&quot;/&gt;&lt;wsp:rsid wsp:val=&quot;00C86FC9&quot;/&gt;&lt;wsp:rsid wsp:val=&quot;00C86FF9&quot;/&gt;&lt;wsp:rsid wsp:val=&quot;00C905BF&quot;/&gt;&lt;wsp:rsid wsp:val=&quot;00C90D95&quot;/&gt;&lt;wsp:rsid wsp:val=&quot;00C912BD&quot;/&gt;&lt;wsp:rsid wsp:val=&quot;00C915CF&quot;/&gt;&lt;wsp:rsid wsp:val=&quot;00C9198B&quot;/&gt;&lt;wsp:rsid wsp:val=&quot;00C91C88&quot;/&gt;&lt;wsp:rsid wsp:val=&quot;00C92E83&quot;/&gt;&lt;wsp:rsid wsp:val=&quot;00C93773&quot;/&gt;&lt;wsp:rsid wsp:val=&quot;00C94705&quot;/&gt;&lt;wsp:rsid wsp:val=&quot;00C94A2F&quot;/&gt;&lt;wsp:rsid wsp:val=&quot;00C95751&quot;/&gt;&lt;wsp:rsid wsp:val=&quot;00C96108&quot;/&gt;&lt;wsp:rsid wsp:val=&quot;00C961CB&quot;/&gt;&lt;wsp:rsid wsp:val=&quot;00C96EF7&quot;/&gt;&lt;wsp:rsid wsp:val=&quot;00CA1A78&quot;/&gt;&lt;wsp:rsid wsp:val=&quot;00CA1E73&quot;/&gt;&lt;wsp:rsid wsp:val=&quot;00CA28E2&quot;/&gt;&lt;wsp:rsid wsp:val=&quot;00CA2AFF&quot;/&gt;&lt;wsp:rsid wsp:val=&quot;00CA35D9&quot;/&gt;&lt;wsp:rsid wsp:val=&quot;00CA3CF7&quot;/&gt;&lt;wsp:rsid wsp:val=&quot;00CA5441&quot;/&gt;&lt;wsp:rsid wsp:val=&quot;00CA5E38&quot;/&gt;&lt;wsp:rsid wsp:val=&quot;00CA66AE&quot;/&gt;&lt;wsp:rsid wsp:val=&quot;00CA7032&quot;/&gt;&lt;wsp:rsid wsp:val=&quot;00CA74A1&quot;/&gt;&lt;wsp:rsid wsp:val=&quot;00CA7BEB&quot;/&gt;&lt;wsp:rsid wsp:val=&quot;00CA7D91&quot;/&gt;&lt;wsp:rsid wsp:val=&quot;00CA7DF4&quot;/&gt;&lt;wsp:rsid wsp:val=&quot;00CB0066&quot;/&gt;&lt;wsp:rsid wsp:val=&quot;00CB0584&quot;/&gt;&lt;wsp:rsid wsp:val=&quot;00CB1117&quot;/&gt;&lt;wsp:rsid wsp:val=&quot;00CB2C9F&quot;/&gt;&lt;wsp:rsid wsp:val=&quot;00CB2E90&quot;/&gt;&lt;wsp:rsid wsp:val=&quot;00CB2EC7&quot;/&gt;&lt;wsp:rsid wsp:val=&quot;00CB2FC2&quot;/&gt;&lt;wsp:rsid wsp:val=&quot;00CB3000&quot;/&gt;&lt;wsp:rsid wsp:val=&quot;00CB3A06&quot;/&gt;&lt;wsp:rsid wsp:val=&quot;00CB3D0B&quot;/&gt;&lt;wsp:rsid wsp:val=&quot;00CB3F5A&quot;/&gt;&lt;wsp:rsid wsp:val=&quot;00CB5269&quot;/&gt;&lt;wsp:rsid wsp:val=&quot;00CB5487&quot;/&gt;&lt;wsp:rsid wsp:val=&quot;00CB5856&quot;/&gt;&lt;wsp:rsid wsp:val=&quot;00CB58E0&quot;/&gt;&lt;wsp:rsid wsp:val=&quot;00CB7241&quot;/&gt;&lt;wsp:rsid wsp:val=&quot;00CB72CA&quot;/&gt;&lt;wsp:rsid wsp:val=&quot;00CB7ADA&quot;/&gt;&lt;wsp:rsid wsp:val=&quot;00CB7FBB&quot;/&gt;&lt;wsp:rsid wsp:val=&quot;00CC0E82&quot;/&gt;&lt;wsp:rsid wsp:val=&quot;00CC0F81&quot;/&gt;&lt;wsp:rsid wsp:val=&quot;00CC1281&quot;/&gt;&lt;wsp:rsid wsp:val=&quot;00CC1A72&quot;/&gt;&lt;wsp:rsid wsp:val=&quot;00CC1B1F&quot;/&gt;&lt;wsp:rsid wsp:val=&quot;00CC1CCB&quot;/&gt;&lt;wsp:rsid wsp:val=&quot;00CC243D&quot;/&gt;&lt;wsp:rsid wsp:val=&quot;00CC2AF4&quot;/&gt;&lt;wsp:rsid wsp:val=&quot;00CC3003&quot;/&gt;&lt;wsp:rsid wsp:val=&quot;00CC36D5&quot;/&gt;&lt;wsp:rsid wsp:val=&quot;00CC3AF1&quot;/&gt;&lt;wsp:rsid wsp:val=&quot;00CC3D71&quot;/&gt;&lt;wsp:rsid wsp:val=&quot;00CC3E80&quot;/&gt;&lt;wsp:rsid wsp:val=&quot;00CC418E&quot;/&gt;&lt;wsp:rsid wsp:val=&quot;00CC4E3D&quot;/&gt;&lt;wsp:rsid wsp:val=&quot;00CC599D&quot;/&gt;&lt;wsp:rsid wsp:val=&quot;00CC6655&quot;/&gt;&lt;wsp:rsid wsp:val=&quot;00CC71A0&quot;/&gt;&lt;wsp:rsid wsp:val=&quot;00CC7AAD&quot;/&gt;&lt;wsp:rsid wsp:val=&quot;00CC7CDA&quot;/&gt;&lt;wsp:rsid wsp:val=&quot;00CC7D18&quot;/&gt;&lt;wsp:rsid wsp:val=&quot;00CC7EE5&quot;/&gt;&lt;wsp:rsid wsp:val=&quot;00CD0050&quot;/&gt;&lt;wsp:rsid wsp:val=&quot;00CD0F6E&quot;/&gt;&lt;wsp:rsid wsp:val=&quot;00CD2A87&quot;/&gt;&lt;wsp:rsid wsp:val=&quot;00CD2F64&quot;/&gt;&lt;wsp:rsid wsp:val=&quot;00CD30CC&quot;/&gt;&lt;wsp:rsid wsp:val=&quot;00CD3644&quot;/&gt;&lt;wsp:rsid wsp:val=&quot;00CD4287&quot;/&gt;&lt;wsp:rsid wsp:val=&quot;00CD441A&quot;/&gt;&lt;wsp:rsid wsp:val=&quot;00CD47DA&quot;/&gt;&lt;wsp:rsid wsp:val=&quot;00CD4B1E&quot;/&gt;&lt;wsp:rsid wsp:val=&quot;00CD5E8F&quot;/&gt;&lt;wsp:rsid wsp:val=&quot;00CD693E&quot;/&gt;&lt;wsp:rsid wsp:val=&quot;00CD7B1A&quot;/&gt;&lt;wsp:rsid wsp:val=&quot;00CE021F&quot;/&gt;&lt;wsp:rsid wsp:val=&quot;00CE1B2C&quot;/&gt;&lt;wsp:rsid wsp:val=&quot;00CE2B5E&quot;/&gt;&lt;wsp:rsid wsp:val=&quot;00CE3AED&quot;/&gt;&lt;wsp:rsid wsp:val=&quot;00CE45C9&quot;/&gt;&lt;wsp:rsid wsp:val=&quot;00CE46A8&quot;/&gt;&lt;wsp:rsid wsp:val=&quot;00CE46C7&quot;/&gt;&lt;wsp:rsid wsp:val=&quot;00CE487E&quot;/&gt;&lt;wsp:rsid wsp:val=&quot;00CE4ADB&quot;/&gt;&lt;wsp:rsid wsp:val=&quot;00CE4FAC&quot;/&gt;&lt;wsp:rsid wsp:val=&quot;00CE518B&quot;/&gt;&lt;wsp:rsid wsp:val=&quot;00CE5302&quot;/&gt;&lt;wsp:rsid wsp:val=&quot;00CE5811&quot;/&gt;&lt;wsp:rsid wsp:val=&quot;00CE5A60&quot;/&gt;&lt;wsp:rsid wsp:val=&quot;00CE5E8F&quot;/&gt;&lt;wsp:rsid wsp:val=&quot;00CE5EB3&quot;/&gt;&lt;wsp:rsid wsp:val=&quot;00CE617F&quot;/&gt;&lt;wsp:rsid wsp:val=&quot;00CE67AF&quot;/&gt;&lt;wsp:rsid wsp:val=&quot;00CE6860&quot;/&gt;&lt;wsp:rsid wsp:val=&quot;00CE6FE0&quot;/&gt;&lt;wsp:rsid wsp:val=&quot;00CE7F16&quot;/&gt;&lt;wsp:rsid wsp:val=&quot;00CF001D&quot;/&gt;&lt;wsp:rsid wsp:val=&quot;00CF0BEF&quot;/&gt;&lt;wsp:rsid wsp:val=&quot;00CF102E&quot;/&gt;&lt;wsp:rsid wsp:val=&quot;00CF25B5&quot;/&gt;&lt;wsp:rsid wsp:val=&quot;00CF27EC&quot;/&gt;&lt;wsp:rsid wsp:val=&quot;00CF385E&quot;/&gt;&lt;wsp:rsid wsp:val=&quot;00CF3CFC&quot;/&gt;&lt;wsp:rsid wsp:val=&quot;00CF4713&quot;/&gt;&lt;wsp:rsid wsp:val=&quot;00CF5177&quot;/&gt;&lt;wsp:rsid wsp:val=&quot;00CF6E55&quot;/&gt;&lt;wsp:rsid wsp:val=&quot;00CF6F87&quot;/&gt;&lt;wsp:rsid wsp:val=&quot;00CF7858&quot;/&gt;&lt;wsp:rsid wsp:val=&quot;00CF78B8&quot;/&gt;&lt;wsp:rsid wsp:val=&quot;00CF7938&quot;/&gt;&lt;wsp:rsid wsp:val=&quot;00CF7BA8&quot;/&gt;&lt;wsp:rsid wsp:val=&quot;00D00479&quot;/&gt;&lt;wsp:rsid wsp:val=&quot;00D00AAA&quot;/&gt;&lt;wsp:rsid wsp:val=&quot;00D03138&quot;/&gt;&lt;wsp:rsid wsp:val=&quot;00D033A5&quot;/&gt;&lt;wsp:rsid wsp:val=&quot;00D033E6&quot;/&gt;&lt;wsp:rsid wsp:val=&quot;00D03A85&quot;/&gt;&lt;wsp:rsid wsp:val=&quot;00D0523A&quot;/&gt;&lt;wsp:rsid wsp:val=&quot;00D058D9&quot;/&gt;&lt;wsp:rsid wsp:val=&quot;00D06862&quot;/&gt;&lt;wsp:rsid wsp:val=&quot;00D07431&quot;/&gt;&lt;wsp:rsid wsp:val=&quot;00D076FD&quot;/&gt;&lt;wsp:rsid wsp:val=&quot;00D07DD3&quot;/&gt;&lt;wsp:rsid wsp:val=&quot;00D104E2&quot;/&gt;&lt;wsp:rsid wsp:val=&quot;00D10500&quot;/&gt;&lt;wsp:rsid wsp:val=&quot;00D1123A&quot;/&gt;&lt;wsp:rsid wsp:val=&quot;00D11608&quot;/&gt;&lt;wsp:rsid wsp:val=&quot;00D1199C&quot;/&gt;&lt;wsp:rsid wsp:val=&quot;00D1316F&quot;/&gt;&lt;wsp:rsid wsp:val=&quot;00D13DA9&quot;/&gt;&lt;wsp:rsid wsp:val=&quot;00D13DD5&quot;/&gt;&lt;wsp:rsid wsp:val=&quot;00D1436F&quot;/&gt;&lt;wsp:rsid wsp:val=&quot;00D14768&quot;/&gt;&lt;wsp:rsid wsp:val=&quot;00D155AF&quot;/&gt;&lt;wsp:rsid wsp:val=&quot;00D157D1&quot;/&gt;&lt;wsp:rsid wsp:val=&quot;00D1645A&quot;/&gt;&lt;wsp:rsid wsp:val=&quot;00D16B89&quot;/&gt;&lt;wsp:rsid wsp:val=&quot;00D16B8D&quot;/&gt;&lt;wsp:rsid wsp:val=&quot;00D1751D&quot;/&gt;&lt;wsp:rsid wsp:val=&quot;00D17A5B&quot;/&gt;&lt;wsp:rsid wsp:val=&quot;00D204E6&quot;/&gt;&lt;wsp:rsid wsp:val=&quot;00D20A23&quot;/&gt;&lt;wsp:rsid wsp:val=&quot;00D20FEF&quot;/&gt;&lt;wsp:rsid wsp:val=&quot;00D21243&quot;/&gt;&lt;wsp:rsid wsp:val=&quot;00D2228F&quot;/&gt;&lt;wsp:rsid wsp:val=&quot;00D22351&quot;/&gt;&lt;wsp:rsid wsp:val=&quot;00D2246E&quot;/&gt;&lt;wsp:rsid wsp:val=&quot;00D22560&quot;/&gt;&lt;wsp:rsid wsp:val=&quot;00D2284B&quot;/&gt;&lt;wsp:rsid wsp:val=&quot;00D22B41&quot;/&gt;&lt;wsp:rsid wsp:val=&quot;00D234CD&quot;/&gt;&lt;wsp:rsid wsp:val=&quot;00D23D28&quot;/&gt;&lt;wsp:rsid wsp:val=&quot;00D23F33&quot;/&gt;&lt;wsp:rsid wsp:val=&quot;00D2434A&quot;/&gt;&lt;wsp:rsid wsp:val=&quot;00D24698&quot;/&gt;&lt;wsp:rsid wsp:val=&quot;00D25268&quot;/&gt;&lt;wsp:rsid wsp:val=&quot;00D25521&quot;/&gt;&lt;wsp:rsid wsp:val=&quot;00D25F65&quot;/&gt;&lt;wsp:rsid wsp:val=&quot;00D26227&quot;/&gt;&lt;wsp:rsid wsp:val=&quot;00D2650D&quot;/&gt;&lt;wsp:rsid wsp:val=&quot;00D26C44&quot;/&gt;&lt;wsp:rsid wsp:val=&quot;00D271BE&quot;/&gt;&lt;wsp:rsid wsp:val=&quot;00D272A7&quot;/&gt;&lt;wsp:rsid wsp:val=&quot;00D273F6&quot;/&gt;&lt;wsp:rsid wsp:val=&quot;00D27BB5&quot;/&gt;&lt;wsp:rsid wsp:val=&quot;00D27E35&quot;/&gt;&lt;wsp:rsid wsp:val=&quot;00D31202&quot;/&gt;&lt;wsp:rsid wsp:val=&quot;00D31C8B&quot;/&gt;&lt;wsp:rsid wsp:val=&quot;00D3229A&quot;/&gt;&lt;wsp:rsid wsp:val=&quot;00D323FB&quot;/&gt;&lt;wsp:rsid wsp:val=&quot;00D328B7&quot;/&gt;&lt;wsp:rsid wsp:val=&quot;00D32A13&quot;/&gt;&lt;wsp:rsid wsp:val=&quot;00D32C56&quot;/&gt;&lt;wsp:rsid wsp:val=&quot;00D32FB1&quot;/&gt;&lt;wsp:rsid wsp:val=&quot;00D334BA&quot;/&gt;&lt;wsp:rsid wsp:val=&quot;00D33617&quot;/&gt;&lt;wsp:rsid wsp:val=&quot;00D33680&quot;/&gt;&lt;wsp:rsid wsp:val=&quot;00D33D32&quot;/&gt;&lt;wsp:rsid wsp:val=&quot;00D33FD3&quot;/&gt;&lt;wsp:rsid wsp:val=&quot;00D354A8&quot;/&gt;&lt;wsp:rsid wsp:val=&quot;00D363D3&quot;/&gt;&lt;wsp:rsid wsp:val=&quot;00D3779F&quot;/&gt;&lt;wsp:rsid wsp:val=&quot;00D377BA&quot;/&gt;&lt;wsp:rsid wsp:val=&quot;00D37AE4&quot;/&gt;&lt;wsp:rsid wsp:val=&quot;00D40181&quot;/&gt;&lt;wsp:rsid wsp:val=&quot;00D41119&quot;/&gt;&lt;wsp:rsid wsp:val=&quot;00D41839&quot;/&gt;&lt;wsp:rsid wsp:val=&quot;00D4184E&quot;/&gt;&lt;wsp:rsid wsp:val=&quot;00D42012&quot;/&gt;&lt;wsp:rsid wsp:val=&quot;00D426F7&quot;/&gt;&lt;wsp:rsid wsp:val=&quot;00D42821&quot;/&gt;&lt;wsp:rsid wsp:val=&quot;00D42E73&quot;/&gt;&lt;wsp:rsid wsp:val=&quot;00D438A2&quot;/&gt;&lt;wsp:rsid wsp:val=&quot;00D4562E&quot;/&gt;&lt;wsp:rsid wsp:val=&quot;00D50793&quot;/&gt;&lt;wsp:rsid wsp:val=&quot;00D50C92&quot;/&gt;&lt;wsp:rsid wsp:val=&quot;00D51003&quot;/&gt;&lt;wsp:rsid wsp:val=&quot;00D51A8F&quot;/&gt;&lt;wsp:rsid wsp:val=&quot;00D52448&quot;/&gt;&lt;wsp:rsid wsp:val=&quot;00D524D5&quot;/&gt;&lt;wsp:rsid wsp:val=&quot;00D52731&quot;/&gt;&lt;wsp:rsid wsp:val=&quot;00D52AA8&quot;/&gt;&lt;wsp:rsid wsp:val=&quot;00D52E22&quot;/&gt;&lt;wsp:rsid wsp:val=&quot;00D535F5&quot;/&gt;&lt;wsp:rsid wsp:val=&quot;00D53924&quot;/&gt;&lt;wsp:rsid wsp:val=&quot;00D544BA&quot;/&gt;&lt;wsp:rsid wsp:val=&quot;00D545A8&quot;/&gt;&lt;wsp:rsid wsp:val=&quot;00D55357&quot;/&gt;&lt;wsp:rsid wsp:val=&quot;00D55520&quot;/&gt;&lt;wsp:rsid wsp:val=&quot;00D56B94&quot;/&gt;&lt;wsp:rsid wsp:val=&quot;00D577CB&quot;/&gt;&lt;wsp:rsid wsp:val=&quot;00D578E1&quot;/&gt;&lt;wsp:rsid wsp:val=&quot;00D5793F&quot;/&gt;&lt;wsp:rsid wsp:val=&quot;00D57FDB&quot;/&gt;&lt;wsp:rsid wsp:val=&quot;00D57FEC&quot;/&gt;&lt;wsp:rsid wsp:val=&quot;00D61748&quot;/&gt;&lt;wsp:rsid wsp:val=&quot;00D617D5&quot;/&gt;&lt;wsp:rsid wsp:val=&quot;00D61854&quot;/&gt;&lt;wsp:rsid wsp:val=&quot;00D61CEF&quot;/&gt;&lt;wsp:rsid wsp:val=&quot;00D621F9&quot;/&gt;&lt;wsp:rsid wsp:val=&quot;00D630AA&quot;/&gt;&lt;wsp:rsid wsp:val=&quot;00D65F7C&quot;/&gt;&lt;wsp:rsid wsp:val=&quot;00D669B8&quot;/&gt;&lt;wsp:rsid wsp:val=&quot;00D6708E&quot;/&gt;&lt;wsp:rsid wsp:val=&quot;00D67CD2&quot;/&gt;&lt;wsp:rsid wsp:val=&quot;00D70239&quot;/&gt;&lt;wsp:rsid wsp:val=&quot;00D70CB3&quot;/&gt;&lt;wsp:rsid wsp:val=&quot;00D70DB7&quot;/&gt;&lt;wsp:rsid wsp:val=&quot;00D7166A&quot;/&gt;&lt;wsp:rsid wsp:val=&quot;00D71EFC&quot;/&gt;&lt;wsp:rsid wsp:val=&quot;00D73FB5&quot;/&gt;&lt;wsp:rsid wsp:val=&quot;00D74397&quot;/&gt;&lt;wsp:rsid wsp:val=&quot;00D74AEB&quot;/&gt;&lt;wsp:rsid wsp:val=&quot;00D75454&quot;/&gt;&lt;wsp:rsid wsp:val=&quot;00D75478&quot;/&gt;&lt;wsp:rsid wsp:val=&quot;00D75F1A&quot;/&gt;&lt;wsp:rsid wsp:val=&quot;00D7628A&quot;/&gt;&lt;wsp:rsid wsp:val=&quot;00D769D5&quot;/&gt;&lt;wsp:rsid wsp:val=&quot;00D7718B&quot;/&gt;&lt;wsp:rsid wsp:val=&quot;00D774A4&quot;/&gt;&lt;wsp:rsid wsp:val=&quot;00D779FF&quot;/&gt;&lt;wsp:rsid wsp:val=&quot;00D77B5D&quot;/&gt;&lt;wsp:rsid wsp:val=&quot;00D80080&quot;/&gt;&lt;wsp:rsid wsp:val=&quot;00D807EE&quot;/&gt;&lt;wsp:rsid wsp:val=&quot;00D80859&quot;/&gt;&lt;wsp:rsid wsp:val=&quot;00D8196E&quot;/&gt;&lt;wsp:rsid wsp:val=&quot;00D81ADE&quot;/&gt;&lt;wsp:rsid wsp:val=&quot;00D81D6D&quot;/&gt;&lt;wsp:rsid wsp:val=&quot;00D823AF&quot;/&gt;&lt;wsp:rsid wsp:val=&quot;00D826E6&quot;/&gt;&lt;wsp:rsid wsp:val=&quot;00D83687&quot;/&gt;&lt;wsp:rsid wsp:val=&quot;00D83D31&quot;/&gt;&lt;wsp:rsid wsp:val=&quot;00D84805&quot;/&gt;&lt;wsp:rsid wsp:val=&quot;00D8550D&quot;/&gt;&lt;wsp:rsid wsp:val=&quot;00D85FC9&quot;/&gt;&lt;wsp:rsid wsp:val=&quot;00D8704E&quot;/&gt;&lt;wsp:rsid wsp:val=&quot;00D90DE5&quot;/&gt;&lt;wsp:rsid wsp:val=&quot;00D9129F&quot;/&gt;&lt;wsp:rsid wsp:val=&quot;00D9141E&quot;/&gt;&lt;wsp:rsid wsp:val=&quot;00D918F6&quot;/&gt;&lt;wsp:rsid wsp:val=&quot;00D91FCC&quot;/&gt;&lt;wsp:rsid wsp:val=&quot;00D921EB&quot;/&gt;&lt;wsp:rsid wsp:val=&quot;00D923A9&quot;/&gt;&lt;wsp:rsid wsp:val=&quot;00D92BDB&quot;/&gt;&lt;wsp:rsid wsp:val=&quot;00D93644&quot;/&gt;&lt;wsp:rsid wsp:val=&quot;00D937BE&quot;/&gt;&lt;wsp:rsid wsp:val=&quot;00D939E3&quot;/&gt;&lt;wsp:rsid wsp:val=&quot;00D94B0D&quot;/&gt;&lt;wsp:rsid wsp:val=&quot;00D94D65&quot;/&gt;&lt;wsp:rsid wsp:val=&quot;00D955B4&quot;/&gt;&lt;wsp:rsid wsp:val=&quot;00D95889&quot;/&gt;&lt;wsp:rsid wsp:val=&quot;00DA0450&quot;/&gt;&lt;wsp:rsid wsp:val=&quot;00DA0A8A&quot;/&gt;&lt;wsp:rsid wsp:val=&quot;00DA0BC7&quot;/&gt;&lt;wsp:rsid wsp:val=&quot;00DA1643&quot;/&gt;&lt;wsp:rsid wsp:val=&quot;00DA1EFB&quot;/&gt;&lt;wsp:rsid wsp:val=&quot;00DA2189&quot;/&gt;&lt;wsp:rsid wsp:val=&quot;00DA21E7&quot;/&gt;&lt;wsp:rsid wsp:val=&quot;00DA2524&quot;/&gt;&lt;wsp:rsid wsp:val=&quot;00DA2761&quot;/&gt;&lt;wsp:rsid wsp:val=&quot;00DA2D34&quot;/&gt;&lt;wsp:rsid wsp:val=&quot;00DA2E0D&quot;/&gt;&lt;wsp:rsid wsp:val=&quot;00DA33CE&quot;/&gt;&lt;wsp:rsid wsp:val=&quot;00DA35F9&quot;/&gt;&lt;wsp:rsid wsp:val=&quot;00DA3611&quot;/&gt;&lt;wsp:rsid wsp:val=&quot;00DA3819&quot;/&gt;&lt;wsp:rsid wsp:val=&quot;00DA3C9B&quot;/&gt;&lt;wsp:rsid wsp:val=&quot;00DA440D&quot;/&gt;&lt;wsp:rsid wsp:val=&quot;00DA4512&quot;/&gt;&lt;wsp:rsid wsp:val=&quot;00DA4BA6&quot;/&gt;&lt;wsp:rsid wsp:val=&quot;00DA4F4C&quot;/&gt;&lt;wsp:rsid wsp:val=&quot;00DA4FB6&quot;/&gt;&lt;wsp:rsid wsp:val=&quot;00DA5F23&quot;/&gt;&lt;wsp:rsid wsp:val=&quot;00DA6998&quot;/&gt;&lt;wsp:rsid wsp:val=&quot;00DA736B&quot;/&gt;&lt;wsp:rsid wsp:val=&quot;00DA7652&quot;/&gt;&lt;wsp:rsid wsp:val=&quot;00DA7A7A&quot;/&gt;&lt;wsp:rsid wsp:val=&quot;00DA7C3F&quot;/&gt;&lt;wsp:rsid wsp:val=&quot;00DA7CB3&quot;/&gt;&lt;wsp:rsid wsp:val=&quot;00DB00F4&quot;/&gt;&lt;wsp:rsid wsp:val=&quot;00DB06CA&quot;/&gt;&lt;wsp:rsid wsp:val=&quot;00DB10FE&quot;/&gt;&lt;wsp:rsid wsp:val=&quot;00DB145B&quot;/&gt;&lt;wsp:rsid wsp:val=&quot;00DB1516&quot;/&gt;&lt;wsp:rsid wsp:val=&quot;00DB2993&quot;/&gt;&lt;wsp:rsid wsp:val=&quot;00DB2BF1&quot;/&gt;&lt;wsp:rsid wsp:val=&quot;00DB401B&quot;/&gt;&lt;wsp:rsid wsp:val=&quot;00DB44CA&quot;/&gt;&lt;wsp:rsid wsp:val=&quot;00DB477F&quot;/&gt;&lt;wsp:rsid wsp:val=&quot;00DB4C52&quot;/&gt;&lt;wsp:rsid wsp:val=&quot;00DB5785&quot;/&gt;&lt;wsp:rsid wsp:val=&quot;00DB685A&quot;/&gt;&lt;wsp:rsid wsp:val=&quot;00DB6FB4&quot;/&gt;&lt;wsp:rsid wsp:val=&quot;00DB6FC7&quot;/&gt;&lt;wsp:rsid wsp:val=&quot;00DB735E&quot;/&gt;&lt;wsp:rsid wsp:val=&quot;00DB73CB&quot;/&gt;&lt;wsp:rsid wsp:val=&quot;00DB7C66&quot;/&gt;&lt;wsp:rsid wsp:val=&quot;00DC002C&quot;/&gt;&lt;wsp:rsid wsp:val=&quot;00DC0955&quot;/&gt;&lt;wsp:rsid wsp:val=&quot;00DC0D00&quot;/&gt;&lt;wsp:rsid wsp:val=&quot;00DC17DF&quot;/&gt;&lt;wsp:rsid wsp:val=&quot;00DC3112&quot;/&gt;&lt;wsp:rsid wsp:val=&quot;00DC3CE5&quot;/&gt;&lt;wsp:rsid wsp:val=&quot;00DC43BB&quot;/&gt;&lt;wsp:rsid wsp:val=&quot;00DC47DB&quot;/&gt;&lt;wsp:rsid wsp:val=&quot;00DC5320&quot;/&gt;&lt;wsp:rsid wsp:val=&quot;00DC5441&quot;/&gt;&lt;wsp:rsid wsp:val=&quot;00DC5A36&quot;/&gt;&lt;wsp:rsid wsp:val=&quot;00DC7063&quot;/&gt;&lt;wsp:rsid wsp:val=&quot;00DC7146&quot;/&gt;&lt;wsp:rsid wsp:val=&quot;00DD0736&quot;/&gt;&lt;wsp:rsid wsp:val=&quot;00DD14DB&quot;/&gt;&lt;wsp:rsid wsp:val=&quot;00DD1C00&quot;/&gt;&lt;wsp:rsid wsp:val=&quot;00DD1E01&quot;/&gt;&lt;wsp:rsid wsp:val=&quot;00DD2297&quot;/&gt;&lt;wsp:rsid wsp:val=&quot;00DD2371&quot;/&gt;&lt;wsp:rsid wsp:val=&quot;00DD2740&quot;/&gt;&lt;wsp:rsid wsp:val=&quot;00DD2E04&quot;/&gt;&lt;wsp:rsid wsp:val=&quot;00DD3216&quot;/&gt;&lt;wsp:rsid wsp:val=&quot;00DD3829&quot;/&gt;&lt;wsp:rsid wsp:val=&quot;00DD48DE&quot;/&gt;&lt;wsp:rsid wsp:val=&quot;00DD5C62&quot;/&gt;&lt;wsp:rsid wsp:val=&quot;00DD6116&quot;/&gt;&lt;wsp:rsid wsp:val=&quot;00DD6477&quot;/&gt;&lt;wsp:rsid wsp:val=&quot;00DD6ED2&quot;/&gt;&lt;wsp:rsid wsp:val=&quot;00DD730A&quot;/&gt;&lt;wsp:rsid wsp:val=&quot;00DD7F1A&quot;/&gt;&lt;wsp:rsid wsp:val=&quot;00DE0337&quot;/&gt;&lt;wsp:rsid wsp:val=&quot;00DE0E3A&quot;/&gt;&lt;wsp:rsid wsp:val=&quot;00DE11B3&quot;/&gt;&lt;wsp:rsid wsp:val=&quot;00DE1C88&quot;/&gt;&lt;wsp:rsid wsp:val=&quot;00DE2451&quot;/&gt;&lt;wsp:rsid wsp:val=&quot;00DE29E8&quot;/&gt;&lt;wsp:rsid wsp:val=&quot;00DE2F09&quot;/&gt;&lt;wsp:rsid wsp:val=&quot;00DE3199&quot;/&gt;&lt;wsp:rsid wsp:val=&quot;00DE36A3&quot;/&gt;&lt;wsp:rsid wsp:val=&quot;00DE3B95&quot;/&gt;&lt;wsp:rsid wsp:val=&quot;00DE4056&quot;/&gt;&lt;wsp:rsid wsp:val=&quot;00DE46FE&quot;/&gt;&lt;wsp:rsid wsp:val=&quot;00DE5FEA&quot;/&gt;&lt;wsp:rsid wsp:val=&quot;00DE6DAF&quot;/&gt;&lt;wsp:rsid wsp:val=&quot;00DE6EDC&quot;/&gt;&lt;wsp:rsid wsp:val=&quot;00DE7E77&quot;/&gt;&lt;wsp:rsid wsp:val=&quot;00DE7FC7&quot;/&gt;&lt;wsp:rsid wsp:val=&quot;00DF0764&quot;/&gt;&lt;wsp:rsid wsp:val=&quot;00DF206C&quot;/&gt;&lt;wsp:rsid wsp:val=&quot;00DF3353&quot;/&gt;&lt;wsp:rsid wsp:val=&quot;00DF37AB&quot;/&gt;&lt;wsp:rsid wsp:val=&quot;00DF380F&quot;/&gt;&lt;wsp:rsid wsp:val=&quot;00DF3A19&quot;/&gt;&lt;wsp:rsid wsp:val=&quot;00DF49D8&quot;/&gt;&lt;wsp:rsid wsp:val=&quot;00DF4A65&quot;/&gt;&lt;wsp:rsid wsp:val=&quot;00DF5FA0&quot;/&gt;&lt;wsp:rsid wsp:val=&quot;00DF6954&quot;/&gt;&lt;wsp:rsid wsp:val=&quot;00DF6D14&quot;/&gt;&lt;wsp:rsid wsp:val=&quot;00DF71C4&quot;/&gt;&lt;wsp:rsid wsp:val=&quot;00DF7390&quot;/&gt;&lt;wsp:rsid wsp:val=&quot;00DF7534&quot;/&gt;&lt;wsp:rsid wsp:val=&quot;00E00E52&quot;/&gt;&lt;wsp:rsid wsp:val=&quot;00E01205&quot;/&gt;&lt;wsp:rsid wsp:val=&quot;00E02363&quot;/&gt;&lt;wsp:rsid wsp:val=&quot;00E02E9C&quot;/&gt;&lt;wsp:rsid wsp:val=&quot;00E04819&quot;/&gt;&lt;wsp:rsid wsp:val=&quot;00E04C86&quot;/&gt;&lt;wsp:rsid wsp:val=&quot;00E05516&quot;/&gt;&lt;wsp:rsid wsp:val=&quot;00E06654&quot;/&gt;&lt;wsp:rsid wsp:val=&quot;00E073B4&quot;/&gt;&lt;wsp:rsid wsp:val=&quot;00E076D2&quot;/&gt;&lt;wsp:rsid wsp:val=&quot;00E077B1&quot;/&gt;&lt;wsp:rsid wsp:val=&quot;00E1020E&quot;/&gt;&lt;wsp:rsid wsp:val=&quot;00E1191F&quot;/&gt;&lt;wsp:rsid wsp:val=&quot;00E12163&quot;/&gt;&lt;wsp:rsid wsp:val=&quot;00E1221D&quot;/&gt;&lt;wsp:rsid wsp:val=&quot;00E12514&quot;/&gt;&lt;wsp:rsid wsp:val=&quot;00E12C94&quot;/&gt;&lt;wsp:rsid wsp:val=&quot;00E1313B&quot;/&gt;&lt;wsp:rsid wsp:val=&quot;00E13CCE&quot;/&gt;&lt;wsp:rsid wsp:val=&quot;00E1436D&quot;/&gt;&lt;wsp:rsid wsp:val=&quot;00E146CD&quot;/&gt;&lt;wsp:rsid wsp:val=&quot;00E155B9&quot;/&gt;&lt;wsp:rsid wsp:val=&quot;00E15E27&quot;/&gt;&lt;wsp:rsid wsp:val=&quot;00E160B9&quot;/&gt;&lt;wsp:rsid wsp:val=&quot;00E16E3F&quot;/&gt;&lt;wsp:rsid wsp:val=&quot;00E1749D&quot;/&gt;&lt;wsp:rsid wsp:val=&quot;00E17509&quot;/&gt;&lt;wsp:rsid wsp:val=&quot;00E204CE&quot;/&gt;&lt;wsp:rsid wsp:val=&quot;00E212BD&quot;/&gt;&lt;wsp:rsid wsp:val=&quot;00E21318&quot;/&gt;&lt;wsp:rsid wsp:val=&quot;00E2288D&quot;/&gt;&lt;wsp:rsid wsp:val=&quot;00E23988&quot;/&gt;&lt;wsp:rsid wsp:val=&quot;00E23B5F&quot;/&gt;&lt;wsp:rsid wsp:val=&quot;00E272A8&quot;/&gt;&lt;wsp:rsid wsp:val=&quot;00E2734C&quot;/&gt;&lt;wsp:rsid wsp:val=&quot;00E30303&quot;/&gt;&lt;wsp:rsid wsp:val=&quot;00E307D7&quot;/&gt;&lt;wsp:rsid wsp:val=&quot;00E309F8&quot;/&gt;&lt;wsp:rsid wsp:val=&quot;00E30D0C&quot;/&gt;&lt;wsp:rsid wsp:val=&quot;00E31135&quot;/&gt;&lt;wsp:rsid wsp:val=&quot;00E3114F&quot;/&gt;&lt;wsp:rsid wsp:val=&quot;00E31400&quot;/&gt;&lt;wsp:rsid wsp:val=&quot;00E31B11&quot;/&gt;&lt;wsp:rsid wsp:val=&quot;00E323B8&quot;/&gt;&lt;wsp:rsid wsp:val=&quot;00E3302E&quot;/&gt;&lt;wsp:rsid wsp:val=&quot;00E33E65&quot;/&gt;&lt;wsp:rsid wsp:val=&quot;00E3426E&quot;/&gt;&lt;wsp:rsid wsp:val=&quot;00E34396&quot;/&gt;&lt;wsp:rsid wsp:val=&quot;00E347CC&quot;/&gt;&lt;wsp:rsid wsp:val=&quot;00E34A32&quot;/&gt;&lt;wsp:rsid wsp:val=&quot;00E352BC&quot;/&gt;&lt;wsp:rsid wsp:val=&quot;00E35341&quot;/&gt;&lt;wsp:rsid wsp:val=&quot;00E35660&quot;/&gt;&lt;wsp:rsid wsp:val=&quot;00E35944&quot;/&gt;&lt;wsp:rsid wsp:val=&quot;00E368CB&quot;/&gt;&lt;wsp:rsid wsp:val=&quot;00E3706C&quot;/&gt;&lt;wsp:rsid wsp:val=&quot;00E378CA&quot;/&gt;&lt;wsp:rsid wsp:val=&quot;00E37C9D&quot;/&gt;&lt;wsp:rsid wsp:val=&quot;00E40019&quot;/&gt;&lt;wsp:rsid wsp:val=&quot;00E40331&quot;/&gt;&lt;wsp:rsid wsp:val=&quot;00E403BD&quot;/&gt;&lt;wsp:rsid wsp:val=&quot;00E40E80&quot;/&gt;&lt;wsp:rsid wsp:val=&quot;00E41A23&quot;/&gt;&lt;wsp:rsid wsp:val=&quot;00E41F58&quot;/&gt;&lt;wsp:rsid wsp:val=&quot;00E42DC0&quot;/&gt;&lt;wsp:rsid wsp:val=&quot;00E42F9E&quot;/&gt;&lt;wsp:rsid wsp:val=&quot;00E439C0&quot;/&gt;&lt;wsp:rsid wsp:val=&quot;00E43D8B&quot;/&gt;&lt;wsp:rsid wsp:val=&quot;00E43DCE&quot;/&gt;&lt;wsp:rsid wsp:val=&quot;00E44C60&quot;/&gt;&lt;wsp:rsid wsp:val=&quot;00E45493&quot;/&gt;&lt;wsp:rsid wsp:val=&quot;00E45F35&quot;/&gt;&lt;wsp:rsid wsp:val=&quot;00E460B8&quot;/&gt;&lt;wsp:rsid wsp:val=&quot;00E4792A&quot;/&gt;&lt;wsp:rsid wsp:val=&quot;00E47B51&quot;/&gt;&lt;wsp:rsid wsp:val=&quot;00E52738&quot;/&gt;&lt;wsp:rsid wsp:val=&quot;00E52B0F&quot;/&gt;&lt;wsp:rsid wsp:val=&quot;00E52F30&quot;/&gt;&lt;wsp:rsid wsp:val=&quot;00E53072&quot;/&gt;&lt;wsp:rsid wsp:val=&quot;00E53685&quot;/&gt;&lt;wsp:rsid wsp:val=&quot;00E53A78&quot;/&gt;&lt;wsp:rsid wsp:val=&quot;00E53B94&quot;/&gt;&lt;wsp:rsid wsp:val=&quot;00E540A6&quot;/&gt;&lt;wsp:rsid wsp:val=&quot;00E5415A&quot;/&gt;&lt;wsp:rsid wsp:val=&quot;00E5423C&quot;/&gt;&lt;wsp:rsid wsp:val=&quot;00E54A15&quot;/&gt;&lt;wsp:rsid wsp:val=&quot;00E55A73&quot;/&gt;&lt;wsp:rsid wsp:val=&quot;00E55F61&quot;/&gt;&lt;wsp:rsid wsp:val=&quot;00E56347&quot;/&gt;&lt;wsp:rsid wsp:val=&quot;00E565E0&quot;/&gt;&lt;wsp:rsid wsp:val=&quot;00E56646&quot;/&gt;&lt;wsp:rsid wsp:val=&quot;00E56718&quot;/&gt;&lt;wsp:rsid wsp:val=&quot;00E56C6F&quot;/&gt;&lt;wsp:rsid wsp:val=&quot;00E56CB4&quot;/&gt;&lt;wsp:rsid wsp:val=&quot;00E5742B&quot;/&gt;&lt;wsp:rsid wsp:val=&quot;00E578F5&quot;/&gt;&lt;wsp:rsid wsp:val=&quot;00E6051E&quot;/&gt;&lt;wsp:rsid wsp:val=&quot;00E60772&quot;/&gt;&lt;wsp:rsid wsp:val=&quot;00E60CD9&quot;/&gt;&lt;wsp:rsid wsp:val=&quot;00E61043&quot;/&gt;&lt;wsp:rsid wsp:val=&quot;00E61A58&quot;/&gt;&lt;wsp:rsid wsp:val=&quot;00E61F97&quot;/&gt;&lt;wsp:rsid wsp:val=&quot;00E624D9&quot;/&gt;&lt;wsp:rsid wsp:val=&quot;00E64FB3&quot;/&gt;&lt;wsp:rsid wsp:val=&quot;00E66AF4&quot;/&gt;&lt;wsp:rsid wsp:val=&quot;00E67715&quot;/&gt;&lt;wsp:rsid wsp:val=&quot;00E705B0&quot;/&gt;&lt;wsp:rsid wsp:val=&quot;00E70CC0&quot;/&gt;&lt;wsp:rsid wsp:val=&quot;00E71224&quot;/&gt;&lt;wsp:rsid wsp:val=&quot;00E71294&quot;/&gt;&lt;wsp:rsid wsp:val=&quot;00E71AC4&quot;/&gt;&lt;wsp:rsid wsp:val=&quot;00E71CEE&quot;/&gt;&lt;wsp:rsid wsp:val=&quot;00E727DC&quot;/&gt;&lt;wsp:rsid wsp:val=&quot;00E72F5F&quot;/&gt;&lt;wsp:rsid wsp:val=&quot;00E739B0&quot;/&gt;&lt;wsp:rsid wsp:val=&quot;00E73D6F&quot;/&gt;&lt;wsp:rsid wsp:val=&quot;00E74399&quot;/&gt;&lt;wsp:rsid wsp:val=&quot;00E747B0&quot;/&gt;&lt;wsp:rsid wsp:val=&quot;00E748B0&quot;/&gt;&lt;wsp:rsid wsp:val=&quot;00E749A3&quot;/&gt;&lt;wsp:rsid wsp:val=&quot;00E74AC8&quot;/&gt;&lt;wsp:rsid wsp:val=&quot;00E74D11&quot;/&gt;&lt;wsp:rsid wsp:val=&quot;00E74E22&quot;/&gt;&lt;wsp:rsid wsp:val=&quot;00E7543B&quot;/&gt;&lt;wsp:rsid wsp:val=&quot;00E757A7&quot;/&gt;&lt;wsp:rsid wsp:val=&quot;00E7588D&quot;/&gt;&lt;wsp:rsid wsp:val=&quot;00E7598C&quot;/&gt;&lt;wsp:rsid wsp:val=&quot;00E75E9C&quot;/&gt;&lt;wsp:rsid wsp:val=&quot;00E76208&quot;/&gt;&lt;wsp:rsid wsp:val=&quot;00E76477&quot;/&gt;&lt;wsp:rsid wsp:val=&quot;00E7650C&quot;/&gt;&lt;wsp:rsid wsp:val=&quot;00E7673A&quot;/&gt;&lt;wsp:rsid wsp:val=&quot;00E76B53&quot;/&gt;&lt;wsp:rsid wsp:val=&quot;00E76C9B&quot;/&gt;&lt;wsp:rsid wsp:val=&quot;00E80D11&quot;/&gt;&lt;wsp:rsid wsp:val=&quot;00E81B3D&quot;/&gt;&lt;wsp:rsid wsp:val=&quot;00E820F3&quot;/&gt;&lt;wsp:rsid wsp:val=&quot;00E83279&quot;/&gt;&lt;wsp:rsid wsp:val=&quot;00E84483&quot;/&gt;&lt;wsp:rsid wsp:val=&quot;00E858E4&quot;/&gt;&lt;wsp:rsid wsp:val=&quot;00E86491&quot;/&gt;&lt;wsp:rsid wsp:val=&quot;00E86FEF&quot;/&gt;&lt;wsp:rsid wsp:val=&quot;00E9002C&quot;/&gt;&lt;wsp:rsid wsp:val=&quot;00E9024A&quot;/&gt;&lt;wsp:rsid wsp:val=&quot;00E90AFF&quot;/&gt;&lt;wsp:rsid wsp:val=&quot;00E90F44&quot;/&gt;&lt;wsp:rsid wsp:val=&quot;00E917EB&quot;/&gt;&lt;wsp:rsid wsp:val=&quot;00E938CC&quot;/&gt;&lt;wsp:rsid wsp:val=&quot;00E94586&quot;/&gt;&lt;wsp:rsid wsp:val=&quot;00E94F3D&quot;/&gt;&lt;wsp:rsid wsp:val=&quot;00E95799&quot;/&gt;&lt;wsp:rsid wsp:val=&quot;00E97296&quot;/&gt;&lt;wsp:rsid wsp:val=&quot;00E9774B&quot;/&gt;&lt;wsp:rsid wsp:val=&quot;00E979D6&quot;/&gt;&lt;wsp:rsid wsp:val=&quot;00EA003B&quot;/&gt;&lt;wsp:rsid wsp:val=&quot;00EA022F&quot;/&gt;&lt;wsp:rsid wsp:val=&quot;00EA0339&quot;/&gt;&lt;wsp:rsid wsp:val=&quot;00EA0ABF&quot;/&gt;&lt;wsp:rsid wsp:val=&quot;00EA0C3E&quot;/&gt;&lt;wsp:rsid wsp:val=&quot;00EA17B5&quot;/&gt;&lt;wsp:rsid wsp:val=&quot;00EA1E4F&quot;/&gt;&lt;wsp:rsid wsp:val=&quot;00EA28DD&quot;/&gt;&lt;wsp:rsid wsp:val=&quot;00EA2A24&quot;/&gt;&lt;wsp:rsid wsp:val=&quot;00EA2E2A&quot;/&gt;&lt;wsp:rsid wsp:val=&quot;00EA34B4&quot;/&gt;&lt;wsp:rsid wsp:val=&quot;00EA358D&quot;/&gt;&lt;wsp:rsid wsp:val=&quot;00EA44D1&quot;/&gt;&lt;wsp:rsid wsp:val=&quot;00EA46B4&quot;/&gt;&lt;wsp:rsid wsp:val=&quot;00EA5E34&quot;/&gt;&lt;wsp:rsid wsp:val=&quot;00EA648A&quot;/&gt;&lt;wsp:rsid wsp:val=&quot;00EA64F4&quot;/&gt;&lt;wsp:rsid wsp:val=&quot;00EA72D5&quot;/&gt;&lt;wsp:rsid wsp:val=&quot;00EA7822&quot;/&gt;&lt;wsp:rsid wsp:val=&quot;00EA7CAB&quot;/&gt;&lt;wsp:rsid wsp:val=&quot;00EA7F62&quot;/&gt;&lt;wsp:rsid wsp:val=&quot;00EA7FCE&quot;/&gt;&lt;wsp:rsid wsp:val=&quot;00EB14A3&quot;/&gt;&lt;wsp:rsid wsp:val=&quot;00EB254E&quot;/&gt;&lt;wsp:rsid wsp:val=&quot;00EB27B8&quot;/&gt;&lt;wsp:rsid wsp:val=&quot;00EB32FA&quot;/&gt;&lt;wsp:rsid wsp:val=&quot;00EB36D4&quot;/&gt;&lt;wsp:rsid wsp:val=&quot;00EB3A36&quot;/&gt;&lt;wsp:rsid wsp:val=&quot;00EB46C7&quot;/&gt;&lt;wsp:rsid wsp:val=&quot;00EB4DCC&quot;/&gt;&lt;wsp:rsid wsp:val=&quot;00EB529E&quot;/&gt;&lt;wsp:rsid wsp:val=&quot;00EB5628&quot;/&gt;&lt;wsp:rsid wsp:val=&quot;00EB670B&quot;/&gt;&lt;wsp:rsid wsp:val=&quot;00EB678E&quot;/&gt;&lt;wsp:rsid wsp:val=&quot;00EB7600&quot;/&gt;&lt;wsp:rsid wsp:val=&quot;00EB7B5E&quot;/&gt;&lt;wsp:rsid wsp:val=&quot;00EC0061&quot;/&gt;&lt;wsp:rsid wsp:val=&quot;00EC1954&quot;/&gt;&lt;wsp:rsid wsp:val=&quot;00EC1A39&quot;/&gt;&lt;wsp:rsid wsp:val=&quot;00EC1A4F&quot;/&gt;&lt;wsp:rsid wsp:val=&quot;00EC2D50&quot;/&gt;&lt;wsp:rsid wsp:val=&quot;00EC2DC9&quot;/&gt;&lt;wsp:rsid wsp:val=&quot;00EC3BE9&quot;/&gt;&lt;wsp:rsid wsp:val=&quot;00EC3BF3&quot;/&gt;&lt;wsp:rsid wsp:val=&quot;00EC51B9&quot;/&gt;&lt;wsp:rsid wsp:val=&quot;00EC6ABD&quot;/&gt;&lt;wsp:rsid wsp:val=&quot;00EC73DD&quot;/&gt;&lt;wsp:rsid wsp:val=&quot;00EC7D59&quot;/&gt;&lt;wsp:rsid wsp:val=&quot;00EC7E2E&quot;/&gt;&lt;wsp:rsid wsp:val=&quot;00ED0005&quot;/&gt;&lt;wsp:rsid wsp:val=&quot;00ED0533&quot;/&gt;&lt;wsp:rsid wsp:val=&quot;00ED062E&quot;/&gt;&lt;wsp:rsid wsp:val=&quot;00ED08DC&quot;/&gt;&lt;wsp:rsid wsp:val=&quot;00ED0BEB&quot;/&gt;&lt;wsp:rsid wsp:val=&quot;00ED197F&quot;/&gt;&lt;wsp:rsid wsp:val=&quot;00ED19BD&quot;/&gt;&lt;wsp:rsid wsp:val=&quot;00ED2351&quot;/&gt;&lt;wsp:rsid wsp:val=&quot;00ED2AA2&quot;/&gt;&lt;wsp:rsid wsp:val=&quot;00ED2D25&quot;/&gt;&lt;wsp:rsid wsp:val=&quot;00ED36C9&quot;/&gt;&lt;wsp:rsid wsp:val=&quot;00ED40E7&quot;/&gt;&lt;wsp:rsid wsp:val=&quot;00ED4A3E&quot;/&gt;&lt;wsp:rsid wsp:val=&quot;00ED5A39&quot;/&gt;&lt;wsp:rsid wsp:val=&quot;00ED6081&quot;/&gt;&lt;wsp:rsid wsp:val=&quot;00ED6986&quot;/&gt;&lt;wsp:rsid wsp:val=&quot;00ED70F9&quot;/&gt;&lt;wsp:rsid wsp:val=&quot;00ED78A3&quot;/&gt;&lt;wsp:rsid wsp:val=&quot;00ED78B5&quot;/&gt;&lt;wsp:rsid wsp:val=&quot;00ED79D2&quot;/&gt;&lt;wsp:rsid wsp:val=&quot;00ED7CE3&quot;/&gt;&lt;wsp:rsid wsp:val=&quot;00ED7F0A&quot;/&gt;&lt;wsp:rsid wsp:val=&quot;00EE05BC&quot;/&gt;&lt;wsp:rsid wsp:val=&quot;00EE1145&quot;/&gt;&lt;wsp:rsid wsp:val=&quot;00EE1C5E&quot;/&gt;&lt;wsp:rsid wsp:val=&quot;00EE234D&quot;/&gt;&lt;wsp:rsid wsp:val=&quot;00EE26A6&quot;/&gt;&lt;wsp:rsid wsp:val=&quot;00EE2B41&quot;/&gt;&lt;wsp:rsid wsp:val=&quot;00EE30CC&quot;/&gt;&lt;wsp:rsid wsp:val=&quot;00EE3441&quot;/&gt;&lt;wsp:rsid wsp:val=&quot;00EE3DE6&quot;/&gt;&lt;wsp:rsid wsp:val=&quot;00EE51CB&quot;/&gt;&lt;wsp:rsid wsp:val=&quot;00EE5C5E&quot;/&gt;&lt;wsp:rsid wsp:val=&quot;00EE6E27&quot;/&gt;&lt;wsp:rsid wsp:val=&quot;00EF00B8&quot;/&gt;&lt;wsp:rsid wsp:val=&quot;00EF0103&quot;/&gt;&lt;wsp:rsid wsp:val=&quot;00EF02AE&quot;/&gt;&lt;wsp:rsid wsp:val=&quot;00EF09CC&quot;/&gt;&lt;wsp:rsid wsp:val=&quot;00EF0B6E&quot;/&gt;&lt;wsp:rsid wsp:val=&quot;00EF1134&quot;/&gt;&lt;wsp:rsid wsp:val=&quot;00EF15AF&quot;/&gt;&lt;wsp:rsid wsp:val=&quot;00EF1D97&quot;/&gt;&lt;wsp:rsid wsp:val=&quot;00EF3423&quot;/&gt;&lt;wsp:rsid wsp:val=&quot;00EF3C79&quot;/&gt;&lt;wsp:rsid wsp:val=&quot;00EF4284&quot;/&gt;&lt;wsp:rsid wsp:val=&quot;00EF4652&quot;/&gt;&lt;wsp:rsid wsp:val=&quot;00EF4ABE&quot;/&gt;&lt;wsp:rsid wsp:val=&quot;00EF4DFD&quot;/&gt;&lt;wsp:rsid wsp:val=&quot;00EF5BC8&quot;/&gt;&lt;wsp:rsid wsp:val=&quot;00EF5F48&quot;/&gt;&lt;wsp:rsid wsp:val=&quot;00EF6E27&quot;/&gt;&lt;wsp:rsid wsp:val=&quot;00EF6EC9&quot;/&gt;&lt;wsp:rsid wsp:val=&quot;00EF6F9A&quot;/&gt;&lt;wsp:rsid wsp:val=&quot;00EF6FAA&quot;/&gt;&lt;wsp:rsid wsp:val=&quot;00EF7656&quot;/&gt;&lt;wsp:rsid wsp:val=&quot;00EF7749&quot;/&gt;&lt;wsp:rsid wsp:val=&quot;00F001E9&quot;/&gt;&lt;wsp:rsid wsp:val=&quot;00F00763&quot;/&gt;&lt;wsp:rsid wsp:val=&quot;00F012F4&quot;/&gt;&lt;wsp:rsid wsp:val=&quot;00F013E2&quot;/&gt;&lt;wsp:rsid wsp:val=&quot;00F015DC&quot;/&gt;&lt;wsp:rsid wsp:val=&quot;00F01805&quot;/&gt;&lt;wsp:rsid wsp:val=&quot;00F01BD0&quot;/&gt;&lt;wsp:rsid wsp:val=&quot;00F02861&quot;/&gt;&lt;wsp:rsid wsp:val=&quot;00F0304C&quot;/&gt;&lt;wsp:rsid wsp:val=&quot;00F0388D&quot;/&gt;&lt;wsp:rsid wsp:val=&quot;00F03AB2&quot;/&gt;&lt;wsp:rsid wsp:val=&quot;00F0446D&quot;/&gt;&lt;wsp:rsid wsp:val=&quot;00F0468D&quot;/&gt;&lt;wsp:rsid wsp:val=&quot;00F04769&quot;/&gt;&lt;wsp:rsid wsp:val=&quot;00F04E88&quot;/&gt;&lt;wsp:rsid wsp:val=&quot;00F0624E&quot;/&gt;&lt;wsp:rsid wsp:val=&quot;00F07CC2&quot;/&gt;&lt;wsp:rsid wsp:val=&quot;00F07D66&quot;/&gt;&lt;wsp:rsid wsp:val=&quot;00F101B6&quot;/&gt;&lt;wsp:rsid wsp:val=&quot;00F110AF&quot;/&gt;&lt;wsp:rsid wsp:val=&quot;00F12D42&quot;/&gt;&lt;wsp:rsid wsp:val=&quot;00F12D5A&quot;/&gt;&lt;wsp:rsid wsp:val=&quot;00F130B0&quot;/&gt;&lt;wsp:rsid wsp:val=&quot;00F135D8&quot;/&gt;&lt;wsp:rsid wsp:val=&quot;00F13BB0&quot;/&gt;&lt;wsp:rsid wsp:val=&quot;00F14883&quot;/&gt;&lt;wsp:rsid wsp:val=&quot;00F15443&quot;/&gt;&lt;wsp:rsid wsp:val=&quot;00F16FE4&quot;/&gt;&lt;wsp:rsid wsp:val=&quot;00F1729E&quot;/&gt;&lt;wsp:rsid wsp:val=&quot;00F17856&quot;/&gt;&lt;wsp:rsid wsp:val=&quot;00F2091B&quot;/&gt;&lt;wsp:rsid wsp:val=&quot;00F20A25&quot;/&gt;&lt;wsp:rsid wsp:val=&quot;00F219A4&quot;/&gt;&lt;wsp:rsid wsp:val=&quot;00F221D2&quot;/&gt;&lt;wsp:rsid wsp:val=&quot;00F2281B&quot;/&gt;&lt;wsp:rsid wsp:val=&quot;00F229A4&quot;/&gt;&lt;wsp:rsid wsp:val=&quot;00F22A8D&quot;/&gt;&lt;wsp:rsid wsp:val=&quot;00F22BED&quot;/&gt;&lt;wsp:rsid wsp:val=&quot;00F23574&quot;/&gt;&lt;wsp:rsid wsp:val=&quot;00F23F2A&quot;/&gt;&lt;wsp:rsid wsp:val=&quot;00F241D1&quot;/&gt;&lt;wsp:rsid wsp:val=&quot;00F24CF6&quot;/&gt;&lt;wsp:rsid wsp:val=&quot;00F25386&quot;/&gt;&lt;wsp:rsid wsp:val=&quot;00F25417&quot;/&gt;&lt;wsp:rsid wsp:val=&quot;00F26374&quot;/&gt;&lt;wsp:rsid wsp:val=&quot;00F26908&quot;/&gt;&lt;wsp:rsid wsp:val=&quot;00F2798E&quot;/&gt;&lt;wsp:rsid wsp:val=&quot;00F30A68&quot;/&gt;&lt;wsp:rsid wsp:val=&quot;00F30A7F&quot;/&gt;&lt;wsp:rsid wsp:val=&quot;00F316DC&quot;/&gt;&lt;wsp:rsid wsp:val=&quot;00F31A49&quot;/&gt;&lt;wsp:rsid wsp:val=&quot;00F31A59&quot;/&gt;&lt;wsp:rsid wsp:val=&quot;00F31D75&quot;/&gt;&lt;wsp:rsid wsp:val=&quot;00F33A8A&quot;/&gt;&lt;wsp:rsid wsp:val=&quot;00F34776&quot;/&gt;&lt;wsp:rsid wsp:val=&quot;00F34BE0&quot;/&gt;&lt;wsp:rsid wsp:val=&quot;00F3546B&quot;/&gt;&lt;wsp:rsid wsp:val=&quot;00F35553&quot;/&gt;&lt;wsp:rsid wsp:val=&quot;00F361BA&quot;/&gt;&lt;wsp:rsid wsp:val=&quot;00F362EF&quot;/&gt;&lt;wsp:rsid wsp:val=&quot;00F36724&quot;/&gt;&lt;wsp:rsid wsp:val=&quot;00F369AC&quot;/&gt;&lt;wsp:rsid wsp:val=&quot;00F40B0F&quot;/&gt;&lt;wsp:rsid wsp:val=&quot;00F40ECE&quot;/&gt;&lt;wsp:rsid wsp:val=&quot;00F4227A&quot;/&gt;&lt;wsp:rsid wsp:val=&quot;00F42C0C&quot;/&gt;&lt;wsp:rsid wsp:val=&quot;00F43799&quot;/&gt;&lt;wsp:rsid wsp:val=&quot;00F439BC&quot;/&gt;&lt;wsp:rsid wsp:val=&quot;00F44192&quot;/&gt;&lt;wsp:rsid wsp:val=&quot;00F44660&quot;/&gt;&lt;wsp:rsid wsp:val=&quot;00F448A6&quot;/&gt;&lt;wsp:rsid wsp:val=&quot;00F45784&quot;/&gt;&lt;wsp:rsid wsp:val=&quot;00F457C6&quot;/&gt;&lt;wsp:rsid wsp:val=&quot;00F45B4E&quot;/&gt;&lt;wsp:rsid wsp:val=&quot;00F464C3&quot;/&gt;&lt;wsp:rsid wsp:val=&quot;00F46BC4&quot;/&gt;&lt;wsp:rsid wsp:val=&quot;00F476C1&quot;/&gt;&lt;wsp:rsid wsp:val=&quot;00F47C99&quot;/&gt;&lt;wsp:rsid wsp:val=&quot;00F47CED&quot;/&gt;&lt;wsp:rsid wsp:val=&quot;00F47E60&quot;/&gt;&lt;wsp:rsid wsp:val=&quot;00F50384&quot;/&gt;&lt;wsp:rsid wsp:val=&quot;00F51371&quot;/&gt;&lt;wsp:rsid wsp:val=&quot;00F51629&quot;/&gt;&lt;wsp:rsid wsp:val=&quot;00F5223F&quot;/&gt;&lt;wsp:rsid wsp:val=&quot;00F5285D&quot;/&gt;&lt;wsp:rsid wsp:val=&quot;00F52CDF&quot;/&gt;&lt;wsp:rsid wsp:val=&quot;00F52D88&quot;/&gt;&lt;wsp:rsid wsp:val=&quot;00F534AC&quot;/&gt;&lt;wsp:rsid wsp:val=&quot;00F537B2&quot;/&gt;&lt;wsp:rsid wsp:val=&quot;00F545DA&quot;/&gt;&lt;wsp:rsid wsp:val=&quot;00F54F23&quot;/&gt;&lt;wsp:rsid wsp:val=&quot;00F555F4&quot;/&gt;&lt;wsp:rsid wsp:val=&quot;00F55B3B&quot;/&gt;&lt;wsp:rsid wsp:val=&quot;00F560B7&quot;/&gt;&lt;wsp:rsid wsp:val=&quot;00F5637E&quot;/&gt;&lt;wsp:rsid wsp:val=&quot;00F56447&quot;/&gt;&lt;wsp:rsid wsp:val=&quot;00F56D79&quot;/&gt;&lt;wsp:rsid wsp:val=&quot;00F56F01&quot;/&gt;&lt;wsp:rsid wsp:val=&quot;00F601B1&quot;/&gt;&lt;wsp:rsid wsp:val=&quot;00F60255&quot;/&gt;&lt;wsp:rsid wsp:val=&quot;00F60FBE&quot;/&gt;&lt;wsp:rsid wsp:val=&quot;00F61C76&quot;/&gt;&lt;wsp:rsid wsp:val=&quot;00F61E08&quot;/&gt;&lt;wsp:rsid wsp:val=&quot;00F625B8&quot;/&gt;&lt;wsp:rsid wsp:val=&quot;00F628B6&quot;/&gt;&lt;wsp:rsid wsp:val=&quot;00F62A50&quot;/&gt;&lt;wsp:rsid wsp:val=&quot;00F63A1A&quot;/&gt;&lt;wsp:rsid wsp:val=&quot;00F6413E&quot;/&gt;&lt;wsp:rsid wsp:val=&quot;00F64671&quot;/&gt;&lt;wsp:rsid wsp:val=&quot;00F649C1&quot;/&gt;&lt;wsp:rsid wsp:val=&quot;00F65404&quot;/&gt;&lt;wsp:rsid wsp:val=&quot;00F65A8D&quot;/&gt;&lt;wsp:rsid wsp:val=&quot;00F65EFC&quot;/&gt;&lt;wsp:rsid wsp:val=&quot;00F67169&quot;/&gt;&lt;wsp:rsid wsp:val=&quot;00F677F9&quot;/&gt;&lt;wsp:rsid wsp:val=&quot;00F70055&quot;/&gt;&lt;wsp:rsid wsp:val=&quot;00F70478&quot;/&gt;&lt;wsp:rsid wsp:val=&quot;00F71631&quot;/&gt;&lt;wsp:rsid wsp:val=&quot;00F73615&quot;/&gt;&lt;wsp:rsid wsp:val=&quot;00F74408&quot;/&gt;&lt;wsp:rsid wsp:val=&quot;00F745E0&quot;/&gt;&lt;wsp:rsid wsp:val=&quot;00F74906&quot;/&gt;&lt;wsp:rsid wsp:val=&quot;00F74AB0&quot;/&gt;&lt;wsp:rsid wsp:val=&quot;00F7554F&quot;/&gt;&lt;wsp:rsid wsp:val=&quot;00F755AD&quot;/&gt;&lt;wsp:rsid wsp:val=&quot;00F77FFC&quot;/&gt;&lt;wsp:rsid wsp:val=&quot;00F80759&quot;/&gt;&lt;wsp:rsid wsp:val=&quot;00F80AC4&quot;/&gt;&lt;wsp:rsid wsp:val=&quot;00F8106C&quot;/&gt;&lt;wsp:rsid wsp:val=&quot;00F81F44&quot;/&gt;&lt;wsp:rsid wsp:val=&quot;00F81FB6&quot;/&gt;&lt;wsp:rsid wsp:val=&quot;00F82617&quot;/&gt;&lt;wsp:rsid wsp:val=&quot;00F828A8&quot;/&gt;&lt;wsp:rsid wsp:val=&quot;00F82B31&quot;/&gt;&lt;wsp:rsid wsp:val=&quot;00F833E6&quot;/&gt;&lt;wsp:rsid wsp:val=&quot;00F83C79&quot;/&gt;&lt;wsp:rsid wsp:val=&quot;00F845C8&quot;/&gt;&lt;wsp:rsid wsp:val=&quot;00F84B52&quot;/&gt;&lt;wsp:rsid wsp:val=&quot;00F8590C&quot;/&gt;&lt;wsp:rsid wsp:val=&quot;00F8598D&quot;/&gt;&lt;wsp:rsid wsp:val=&quot;00F85AA6&quot;/&gt;&lt;wsp:rsid wsp:val=&quot;00F85BBD&quot;/&gt;&lt;wsp:rsid wsp:val=&quot;00F86805&quot;/&gt;&lt;wsp:rsid wsp:val=&quot;00F86857&quot;/&gt;&lt;wsp:rsid wsp:val=&quot;00F86B77&quot;/&gt;&lt;wsp:rsid wsp:val=&quot;00F87423&quot;/&gt;&lt;wsp:rsid wsp:val=&quot;00F87695&quot;/&gt;&lt;wsp:rsid wsp:val=&quot;00F90958&quot;/&gt;&lt;wsp:rsid wsp:val=&quot;00F91E98&quot;/&gt;&lt;wsp:rsid wsp:val=&quot;00F9250B&quot;/&gt;&lt;wsp:rsid wsp:val=&quot;00F92663&quot;/&gt;&lt;wsp:rsid wsp:val=&quot;00F93177&quot;/&gt;&lt;wsp:rsid wsp:val=&quot;00F93E85&quot;/&gt;&lt;wsp:rsid wsp:val=&quot;00F942FA&quot;/&gt;&lt;wsp:rsid wsp:val=&quot;00F9460C&quot;/&gt;&lt;wsp:rsid wsp:val=&quot;00F94948&quot;/&gt;&lt;wsp:rsid wsp:val=&quot;00F94B07&quot;/&gt;&lt;wsp:rsid wsp:val=&quot;00F94E8E&quot;/&gt;&lt;wsp:rsid wsp:val=&quot;00F953D9&quot;/&gt;&lt;wsp:rsid wsp:val=&quot;00F9561F&quot;/&gt;&lt;wsp:rsid wsp:val=&quot;00F96211&quot;/&gt;&lt;wsp:rsid wsp:val=&quot;00F96488&quot;/&gt;&lt;wsp:rsid wsp:val=&quot;00F96A0C&quot;/&gt;&lt;wsp:rsid wsp:val=&quot;00F96B8B&quot;/&gt;&lt;wsp:rsid wsp:val=&quot;00FA09C7&quot;/&gt;&lt;wsp:rsid wsp:val=&quot;00FA1334&quot;/&gt;&lt;wsp:rsid wsp:val=&quot;00FA1344&quot;/&gt;&lt;wsp:rsid wsp:val=&quot;00FA1640&quot;/&gt;&lt;wsp:rsid wsp:val=&quot;00FA1781&quot;/&gt;&lt;wsp:rsid wsp:val=&quot;00FA352A&quot;/&gt;&lt;wsp:rsid wsp:val=&quot;00FA3E1C&quot;/&gt;&lt;wsp:rsid wsp:val=&quot;00FA41E4&quot;/&gt;&lt;wsp:rsid wsp:val=&quot;00FA483F&quot;/&gt;&lt;wsp:rsid wsp:val=&quot;00FA4860&quot;/&gt;&lt;wsp:rsid wsp:val=&quot;00FA49D2&quot;/&gt;&lt;wsp:rsid wsp:val=&quot;00FA4D4E&quot;/&gt;&lt;wsp:rsid wsp:val=&quot;00FA50CA&quot;/&gt;&lt;wsp:rsid wsp:val=&quot;00FA567B&quot;/&gt;&lt;wsp:rsid wsp:val=&quot;00FA59E3&quot;/&gt;&lt;wsp:rsid wsp:val=&quot;00FA5D92&quot;/&gt;&lt;wsp:rsid wsp:val=&quot;00FA66FE&quot;/&gt;&lt;wsp:rsid wsp:val=&quot;00FB0AD2&quot;/&gt;&lt;wsp:rsid wsp:val=&quot;00FB1112&quot;/&gt;&lt;wsp:rsid wsp:val=&quot;00FB146E&quot;/&gt;&lt;wsp:rsid wsp:val=&quot;00FB14DD&quot;/&gt;&lt;wsp:rsid wsp:val=&quot;00FB1CAB&quot;/&gt;&lt;wsp:rsid wsp:val=&quot;00FB2108&quot;/&gt;&lt;wsp:rsid wsp:val=&quot;00FB23D6&quot;/&gt;&lt;wsp:rsid wsp:val=&quot;00FB26F6&quot;/&gt;&lt;wsp:rsid wsp:val=&quot;00FB2B09&quot;/&gt;&lt;wsp:rsid wsp:val=&quot;00FB39E5&quot;/&gt;&lt;wsp:rsid wsp:val=&quot;00FB3D53&quot;/&gt;&lt;wsp:rsid wsp:val=&quot;00FB3E95&quot;/&gt;&lt;wsp:rsid wsp:val=&quot;00FB4704&quot;/&gt;&lt;wsp:rsid wsp:val=&quot;00FB544B&quot;/&gt;&lt;wsp:rsid wsp:val=&quot;00FB579E&quot;/&gt;&lt;wsp:rsid wsp:val=&quot;00FB5A60&quot;/&gt;&lt;wsp:rsid wsp:val=&quot;00FB5A61&quot;/&gt;&lt;wsp:rsid wsp:val=&quot;00FB6398&quot;/&gt;&lt;wsp:rsid wsp:val=&quot;00FB681A&quot;/&gt;&lt;wsp:rsid wsp:val=&quot;00FB76A8&quot;/&gt;&lt;wsp:rsid wsp:val=&quot;00FB76AC&quot;/&gt;&lt;wsp:rsid wsp:val=&quot;00FB77FC&quot;/&gt;&lt;wsp:rsid wsp:val=&quot;00FB7A71&quot;/&gt;&lt;wsp:rsid wsp:val=&quot;00FC0333&quot;/&gt;&lt;wsp:rsid wsp:val=&quot;00FC0963&quot;/&gt;&lt;wsp:rsid wsp:val=&quot;00FC09A9&quot;/&gt;&lt;wsp:rsid wsp:val=&quot;00FC0E1E&quot;/&gt;&lt;wsp:rsid wsp:val=&quot;00FC158D&quot;/&gt;&lt;wsp:rsid wsp:val=&quot;00FC17E1&quot;/&gt;&lt;wsp:rsid wsp:val=&quot;00FC1A29&quot;/&gt;&lt;wsp:rsid wsp:val=&quot;00FC1ECD&quot;/&gt;&lt;wsp:rsid wsp:val=&quot;00FC2058&quot;/&gt;&lt;wsp:rsid wsp:val=&quot;00FC2C18&quot;/&gt;&lt;wsp:rsid wsp:val=&quot;00FC31C8&quot;/&gt;&lt;wsp:rsid wsp:val=&quot;00FC31ED&quot;/&gt;&lt;wsp:rsid wsp:val=&quot;00FC3A9F&quot;/&gt;&lt;wsp:rsid wsp:val=&quot;00FC3E11&quot;/&gt;&lt;wsp:rsid wsp:val=&quot;00FC4C5A&quot;/&gt;&lt;wsp:rsid wsp:val=&quot;00FC5870&quot;/&gt;&lt;wsp:rsid wsp:val=&quot;00FC5FA7&quot;/&gt;&lt;wsp:rsid wsp:val=&quot;00FC60F2&quot;/&gt;&lt;wsp:rsid wsp:val=&quot;00FD0E18&quot;/&gt;&lt;wsp:rsid wsp:val=&quot;00FD1543&quot;/&gt;&lt;wsp:rsid wsp:val=&quot;00FD158B&quot;/&gt;&lt;wsp:rsid wsp:val=&quot;00FD2491&quot;/&gt;&lt;wsp:rsid wsp:val=&quot;00FD2525&quot;/&gt;&lt;wsp:rsid wsp:val=&quot;00FD27CF&quot;/&gt;&lt;wsp:rsid wsp:val=&quot;00FD3528&quot;/&gt;&lt;wsp:rsid wsp:val=&quot;00FD42A7&quot;/&gt;&lt;wsp:rsid wsp:val=&quot;00FD4AF3&quot;/&gt;&lt;wsp:rsid wsp:val=&quot;00FD4F89&quot;/&gt;&lt;wsp:rsid wsp:val=&quot;00FD63B7&quot;/&gt;&lt;wsp:rsid wsp:val=&quot;00FD7979&quot;/&gt;&lt;wsp:rsid wsp:val=&quot;00FD7D2F&quot;/&gt;&lt;wsp:rsid wsp:val=&quot;00FD7EF3&quot;/&gt;&lt;wsp:rsid wsp:val=&quot;00FE00DA&quot;/&gt;&lt;wsp:rsid wsp:val=&quot;00FE0442&quot;/&gt;&lt;wsp:rsid wsp:val=&quot;00FE075B&quot;/&gt;&lt;wsp:rsid wsp:val=&quot;00FE10B3&quot;/&gt;&lt;wsp:rsid wsp:val=&quot;00FE2924&quot;/&gt;&lt;wsp:rsid wsp:val=&quot;00FE3401&quot;/&gt;&lt;wsp:rsid wsp:val=&quot;00FE3D29&quot;/&gt;&lt;wsp:rsid wsp:val=&quot;00FE43DE&quot;/&gt;&lt;wsp:rsid wsp:val=&quot;00FE479D&quot;/&gt;&lt;wsp:rsid wsp:val=&quot;00FE4B21&quot;/&gt;&lt;wsp:rsid wsp:val=&quot;00FE540E&quot;/&gt;&lt;wsp:rsid wsp:val=&quot;00FE5D34&quot;/&gt;&lt;wsp:rsid wsp:val=&quot;00FE62E5&quot;/&gt;&lt;wsp:rsid wsp:val=&quot;00FE76B3&quot;/&gt;&lt;wsp:rsid wsp:val=&quot;00FF03A3&quot;/&gt;&lt;wsp:rsid wsp:val=&quot;00FF095C&quot;/&gt;&lt;wsp:rsid wsp:val=&quot;00FF13BC&quot;/&gt;&lt;wsp:rsid wsp:val=&quot;00FF252F&quot;/&gt;&lt;wsp:rsid wsp:val=&quot;00FF262B&quot;/&gt;&lt;wsp:rsid wsp:val=&quot;00FF2C69&quot;/&gt;&lt;wsp:rsid wsp:val=&quot;00FF2CB2&quot;/&gt;&lt;wsp:rsid wsp:val=&quot;00FF344D&quot;/&gt;&lt;wsp:rsid wsp:val=&quot;00FF382C&quot;/&gt;&lt;wsp:rsid wsp:val=&quot;00FF3BB4&quot;/&gt;&lt;wsp:rsid wsp:val=&quot;00FF4811&quot;/&gt;&lt;wsp:rsid wsp:val=&quot;00FF5319&quot;/&gt;&lt;wsp:rsid wsp:val=&quot;00FF578E&quot;/&gt;&lt;wsp:rsid wsp:val=&quot;00FF5F47&quot;/&gt;&lt;wsp:rsid wsp:val=&quot;00FF6940&quot;/&gt;&lt;wsp:rsid wsp:val=&quot;00FF6DF1&quot;/&gt;&lt;wsp:rsid wsp:val=&quot;00FF7DF6&quot;/&gt;&lt;wsp:rsid wsp:val=&quot;38660CAC&quot;/&gt;&lt;wsp:rsid wsp:val=&quot;3E930B98&quot;/&gt;&lt;wsp:rsid wsp:val=&quot;4F3B2326&quot;/&gt;&lt;wsp:rsid wsp:val=&quot;56243C53&quot;/&gt;&lt;wsp:rsid wsp:val=&quot;57BD60DD&quot;/&gt;&lt;wsp:rsid wsp:val=&quot;5B385675&quot;/&gt;&lt;wsp:rsid wsp:val=&quot;630E5183&quot;/&gt;&lt;wsp:rsid wsp:val=&quot;63814DF1&quot;/&gt;&lt;wsp:rsid wsp:val=&quot;6A733BE7&quot;/&gt;&lt;/wsp:rsids&gt;&lt;/w:docPr&gt;&lt;w:body&gt;&lt;wx:sect&gt;&lt;w:p wsp:rsidR=&quot;00000000&quot; wsp:rsidRDefault=&quot;00CD441A&quot; wsp:rsidP=&quot;00CD441A&quot;&gt;&lt;m:oMathPara&gt;&lt;m:oMath&gt;&lt;m:sSub&gt;&lt;m:sSubPr&gt;&lt;m:ctrlPr&gt;&lt;w:rPr&gt;&lt;w:rFonts w:ascii=&quot;Cambria Math&quot; w:h-ansi=&quot;Cambria Math&quot;/&gt;&lt;wx:font wx:val=&quot;Cambria Math&quot;/&gt;&lt;w:i/&gt;&lt;w:color w:val=&quot;000000&quot;/&gt;&lt;w:sz w:val=&quot;18&quot;/&gt;&lt;w:sz-cs w:val=&quot;21&quot;/&gt;&lt;/w:rPr&gt;&lt;/m:ctrlPr&gt;&lt;/m:sSubPr&gt;&lt;m:e&gt;&lt;m:r&gt;&lt;w:rPr&gt;&lt;w:rFonts w:ascii=&quot;Cambria Math&quot; w:h-ansi=&quot;Cambria Math&quot;/&gt;&lt;wx:font wx:val=&quot;Cambria Math&quot;/&gt;&lt;w:i/&gt;&lt;w:color w:val=&quot;000000&quot;/&gt;&lt;/w:rPr&gt;&lt;m:t&gt;C&lt;/m:t&gt;&lt;/m:r&gt;&lt;/m:e&gt;&lt;m:sub&gt;&lt;m:r&gt;&lt;m:rPr&gt;&lt;m:sty m:val=&quot;p&quot;/&gt;&lt;/m:rPr&gt;&lt;w:rPr&gt;&lt;w:rFonts w:ascii=&quot;Cambria Math&quot; w:h-ansi=&quot;Cambria Math&quot; w:hint=&quot;fareast&quot;/&gt;&lt;wx:font wx:val=&quot;宋体&quot;/&gt;&lt;w:color w:val=&quot;000000&quot;/&gt;&lt;/w:rPr&gt;&lt;m:t&gt;叠加&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 chromakey="#FFFFFF" o:title=""/>
                  <o:lock v:ext="edit" aspectratio="t"/>
                  <w10:wrap type="none"/>
                  <w10:anchorlock/>
                </v:shape>
              </w:pict>
            </w:r>
            <w:r>
              <w:instrText xml:space="preserve"> </w:instrText>
            </w:r>
            <w:r>
              <w:fldChar w:fldCharType="separate"/>
            </w:r>
            <w:r>
              <w:fldChar w:fldCharType="end"/>
            </w:r>
            <m:oMath>
              <m:sSub>
                <m:sSubPr>
                  <m:ctrlPr>
                    <w:rPr>
                      <w:rFonts w:ascii="Cambria Math" w:hAnsi="Cambria Math"/>
                      <w:i/>
                      <w:color w:val="000000"/>
                      <w:sz w:val="18"/>
                      <w:szCs w:val="21"/>
                    </w:rPr>
                  </m:ctrlPr>
                </m:sSubPr>
                <m:e>
                  <m:r>
                    <w:rPr>
                      <w:rFonts w:ascii="Cambria Math" w:hAnsi="Cambria Math"/>
                      <w:color w:val="000000"/>
                    </w:rPr>
                    <m:t>C</m:t>
                  </m:r>
                  <m:ctrlPr>
                    <w:rPr>
                      <w:rFonts w:ascii="Cambria Math" w:hAnsi="Cambria Math"/>
                      <w:i/>
                      <w:color w:val="000000"/>
                      <w:sz w:val="18"/>
                      <w:szCs w:val="21"/>
                    </w:rPr>
                  </m:ctrlPr>
                </m:e>
                <m:sub>
                  <m:r>
                    <m:rPr>
                      <m:sty m:val="p"/>
                    </m:rPr>
                    <w:rPr>
                      <w:rFonts w:hint="eastAsia" w:ascii="Cambria Math" w:hAnsi="Cambria Math"/>
                      <w:color w:val="000000"/>
                    </w:rPr>
                    <m:t>叠加</m:t>
                  </m:r>
                  <m:ctrlPr>
                    <w:rPr>
                      <w:rFonts w:ascii="Cambria Math" w:hAnsi="Cambria Math"/>
                      <w:i/>
                      <w:color w:val="000000"/>
                      <w:sz w:val="18"/>
                      <w:szCs w:val="21"/>
                    </w:rPr>
                  </m:ctrlPr>
                </m:sub>
              </m:sSub>
            </m:oMath>
            <w:r>
              <w:t>不达标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区域环境质量的整体变化情况</w:t>
            </w:r>
          </w:p>
        </w:tc>
        <w:tc>
          <w:tcPr>
            <w:tcW w:w="3682" w:type="dxa"/>
            <w:gridSpan w:val="9"/>
            <w:tcBorders>
              <w:tl2br w:val="nil"/>
              <w:tr2bl w:val="nil"/>
            </w:tcBorders>
            <w:noWrap w:val="0"/>
            <w:vAlign w:val="center"/>
          </w:tcPr>
          <w:p>
            <w:pPr>
              <w:pStyle w:val="28"/>
              <w:suppressLineNumbers w:val="0"/>
              <w:bidi w:val="0"/>
              <w:spacing w:before="0" w:after="0"/>
              <w:ind w:left="0" w:right="0"/>
            </w:pPr>
            <w:r>
              <w:t>k ≤-20% □</w:t>
            </w:r>
          </w:p>
        </w:tc>
        <w:tc>
          <w:tcPr>
            <w:tcW w:w="3358" w:type="dxa"/>
            <w:gridSpan w:val="7"/>
            <w:tcBorders>
              <w:tl2br w:val="nil"/>
              <w:tr2bl w:val="nil"/>
            </w:tcBorders>
            <w:noWrap w:val="0"/>
            <w:vAlign w:val="center"/>
          </w:tcPr>
          <w:p>
            <w:pPr>
              <w:pStyle w:val="28"/>
              <w:suppressLineNumbers w:val="0"/>
              <w:bidi w:val="0"/>
              <w:spacing w:before="0" w:after="0"/>
              <w:ind w:left="0" w:right="0"/>
            </w:pPr>
            <w:r>
              <w:t>k ＞-20%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环境监测</w:t>
            </w:r>
            <w:r>
              <w:br w:type="textWrapping"/>
            </w:r>
            <w:r>
              <w:t>计划</w:t>
            </w:r>
          </w:p>
        </w:tc>
        <w:tc>
          <w:tcPr>
            <w:tcW w:w="1669" w:type="dxa"/>
            <w:tcBorders>
              <w:tl2br w:val="nil"/>
              <w:tr2bl w:val="nil"/>
            </w:tcBorders>
            <w:noWrap w:val="0"/>
            <w:vAlign w:val="center"/>
          </w:tcPr>
          <w:p>
            <w:pPr>
              <w:pStyle w:val="28"/>
              <w:suppressLineNumbers w:val="0"/>
              <w:bidi w:val="0"/>
              <w:spacing w:before="0" w:after="0"/>
              <w:ind w:left="0" w:right="0"/>
            </w:pPr>
            <w:r>
              <w:t>污染源监测</w:t>
            </w:r>
          </w:p>
        </w:tc>
        <w:tc>
          <w:tcPr>
            <w:tcW w:w="3015" w:type="dxa"/>
            <w:gridSpan w:val="7"/>
            <w:tcBorders>
              <w:tl2br w:val="nil"/>
              <w:tr2bl w:val="nil"/>
            </w:tcBorders>
            <w:noWrap w:val="0"/>
            <w:vAlign w:val="center"/>
          </w:tcPr>
          <w:p>
            <w:pPr>
              <w:pStyle w:val="28"/>
              <w:suppressLineNumbers w:val="0"/>
              <w:bidi w:val="0"/>
              <w:spacing w:before="0" w:after="0"/>
              <w:ind w:left="0" w:right="0"/>
            </w:pPr>
            <w:r>
              <w:t>监测因子：（</w:t>
            </w:r>
            <w:r>
              <w:rPr>
                <w:rFonts w:hint="eastAsia"/>
              </w:rPr>
              <w:t>SO</w:t>
            </w:r>
            <w:r>
              <w:rPr>
                <w:rFonts w:hint="eastAsia"/>
                <w:vertAlign w:val="subscript"/>
              </w:rPr>
              <w:t>2</w:t>
            </w:r>
            <w:r>
              <w:rPr>
                <w:rFonts w:hint="eastAsia"/>
              </w:rPr>
              <w:t>、NOx、</w:t>
            </w:r>
            <w:r>
              <w:rPr>
                <w:rFonts w:hint="eastAsia"/>
                <w:lang w:eastAsia="zh-CN"/>
              </w:rPr>
              <w:t>颗粒物</w:t>
            </w:r>
            <w:r>
              <w:t>）</w:t>
            </w:r>
          </w:p>
        </w:tc>
        <w:tc>
          <w:tcPr>
            <w:tcW w:w="2806" w:type="dxa"/>
            <w:gridSpan w:val="7"/>
            <w:tcBorders>
              <w:tl2br w:val="nil"/>
              <w:tr2bl w:val="nil"/>
            </w:tcBorders>
            <w:noWrap w:val="0"/>
            <w:vAlign w:val="center"/>
          </w:tcPr>
          <w:p>
            <w:pPr>
              <w:pStyle w:val="28"/>
              <w:suppressLineNumbers w:val="0"/>
              <w:bidi w:val="0"/>
              <w:spacing w:before="0" w:after="0"/>
              <w:ind w:left="0" w:right="0"/>
            </w:pPr>
            <w:r>
              <w:t xml:space="preserve">有组织废气监测  √     </w:t>
            </w:r>
            <w:r>
              <w:br w:type="textWrapping"/>
            </w:r>
            <w:r>
              <w:t xml:space="preserve">无组织废气监测 √ </w:t>
            </w:r>
          </w:p>
        </w:tc>
        <w:tc>
          <w:tcPr>
            <w:tcW w:w="1219" w:type="dxa"/>
            <w:gridSpan w:val="2"/>
            <w:tcBorders>
              <w:tl2br w:val="nil"/>
              <w:tr2bl w:val="nil"/>
            </w:tcBorders>
            <w:noWrap w:val="0"/>
            <w:vAlign w:val="center"/>
          </w:tcPr>
          <w:p>
            <w:pPr>
              <w:pStyle w:val="28"/>
              <w:suppressLineNumbers w:val="0"/>
              <w:bidi w:val="0"/>
              <w:spacing w:before="0" w:after="0"/>
              <w:ind w:left="0" w:right="0"/>
            </w:pPr>
            <w: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环境质量监测</w:t>
            </w:r>
          </w:p>
        </w:tc>
        <w:tc>
          <w:tcPr>
            <w:tcW w:w="3015" w:type="dxa"/>
            <w:gridSpan w:val="7"/>
            <w:tcBorders>
              <w:tl2br w:val="nil"/>
              <w:tr2bl w:val="nil"/>
            </w:tcBorders>
            <w:noWrap w:val="0"/>
            <w:vAlign w:val="center"/>
          </w:tcPr>
          <w:p>
            <w:pPr>
              <w:pStyle w:val="28"/>
              <w:suppressLineNumbers w:val="0"/>
              <w:bidi w:val="0"/>
              <w:spacing w:before="0" w:after="0"/>
              <w:ind w:left="0" w:right="0"/>
            </w:pPr>
            <w:r>
              <w:t>监测因子：（</w:t>
            </w:r>
            <w:r>
              <w:rPr>
                <w:rFonts w:hint="eastAsia"/>
              </w:rPr>
              <w:t>SO</w:t>
            </w:r>
            <w:r>
              <w:rPr>
                <w:rFonts w:hint="eastAsia"/>
                <w:vertAlign w:val="subscript"/>
              </w:rPr>
              <w:t>2</w:t>
            </w:r>
            <w:r>
              <w:rPr>
                <w:rFonts w:hint="eastAsia"/>
              </w:rPr>
              <w:t>、NOx、</w:t>
            </w:r>
            <w:r>
              <w:rPr>
                <w:rFonts w:hint="eastAsia"/>
                <w:lang w:eastAsia="zh-CN"/>
              </w:rPr>
              <w:t>颗粒物</w:t>
            </w:r>
            <w:r>
              <w:t>）</w:t>
            </w:r>
          </w:p>
        </w:tc>
        <w:tc>
          <w:tcPr>
            <w:tcW w:w="2806" w:type="dxa"/>
            <w:gridSpan w:val="7"/>
            <w:tcBorders>
              <w:tl2br w:val="nil"/>
              <w:tr2bl w:val="nil"/>
            </w:tcBorders>
            <w:noWrap w:val="0"/>
            <w:vAlign w:val="center"/>
          </w:tcPr>
          <w:p>
            <w:pPr>
              <w:pStyle w:val="28"/>
              <w:suppressLineNumbers w:val="0"/>
              <w:bidi w:val="0"/>
              <w:spacing w:before="0" w:after="0"/>
              <w:ind w:left="0" w:right="0"/>
            </w:pPr>
            <w:r>
              <w:t xml:space="preserve">监测点位数（ </w:t>
            </w:r>
            <w:r>
              <w:rPr>
                <w:rFonts w:hint="eastAsia"/>
              </w:rPr>
              <w:t>2</w:t>
            </w:r>
            <w:r>
              <w:t xml:space="preserve"> ）</w:t>
            </w:r>
          </w:p>
        </w:tc>
        <w:tc>
          <w:tcPr>
            <w:tcW w:w="1219" w:type="dxa"/>
            <w:gridSpan w:val="2"/>
            <w:tcBorders>
              <w:tl2br w:val="nil"/>
              <w:tr2bl w:val="nil"/>
            </w:tcBorders>
            <w:noWrap w:val="0"/>
            <w:vAlign w:val="center"/>
          </w:tcPr>
          <w:p>
            <w:pPr>
              <w:pStyle w:val="28"/>
              <w:suppressLineNumbers w:val="0"/>
              <w:bidi w:val="0"/>
              <w:spacing w:before="0" w:after="0"/>
              <w:ind w:left="0" w:right="0"/>
            </w:pPr>
            <w: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8" w:hRule="atLeast"/>
          <w:jc w:val="center"/>
        </w:trPr>
        <w:tc>
          <w:tcPr>
            <w:tcW w:w="965" w:type="dxa"/>
            <w:vMerge w:val="restart"/>
            <w:tcBorders>
              <w:tl2br w:val="nil"/>
              <w:tr2bl w:val="nil"/>
            </w:tcBorders>
            <w:noWrap w:val="0"/>
            <w:vAlign w:val="center"/>
          </w:tcPr>
          <w:p>
            <w:pPr>
              <w:pStyle w:val="28"/>
              <w:suppressLineNumbers w:val="0"/>
              <w:bidi w:val="0"/>
              <w:spacing w:before="0" w:after="0"/>
              <w:ind w:left="0" w:right="0"/>
            </w:pPr>
            <w:r>
              <w:t>评价结论</w:t>
            </w:r>
          </w:p>
        </w:tc>
        <w:tc>
          <w:tcPr>
            <w:tcW w:w="1669" w:type="dxa"/>
            <w:tcBorders>
              <w:tl2br w:val="nil"/>
              <w:tr2bl w:val="nil"/>
            </w:tcBorders>
            <w:noWrap w:val="0"/>
            <w:vAlign w:val="center"/>
          </w:tcPr>
          <w:p>
            <w:pPr>
              <w:pStyle w:val="28"/>
              <w:suppressLineNumbers w:val="0"/>
              <w:bidi w:val="0"/>
              <w:spacing w:before="0" w:after="0"/>
              <w:ind w:left="0" w:right="0"/>
            </w:pPr>
            <w:r>
              <w:t>环境影响</w:t>
            </w:r>
          </w:p>
        </w:tc>
        <w:tc>
          <w:tcPr>
            <w:tcW w:w="7040" w:type="dxa"/>
            <w:gridSpan w:val="16"/>
            <w:tcBorders>
              <w:tl2br w:val="nil"/>
              <w:tr2bl w:val="nil"/>
            </w:tcBorders>
            <w:noWrap w:val="0"/>
            <w:vAlign w:val="center"/>
          </w:tcPr>
          <w:p>
            <w:pPr>
              <w:pStyle w:val="28"/>
              <w:suppressLineNumbers w:val="0"/>
              <w:bidi w:val="0"/>
              <w:spacing w:before="0" w:after="0"/>
              <w:ind w:left="0" w:right="0"/>
            </w:pPr>
            <w:r>
              <w:t xml:space="preserve">可以接受  </w:t>
            </w:r>
            <w:r>
              <w:rPr>
                <w:rFonts w:hint="eastAsia"/>
                <w:lang w:eastAsia="zh-CN"/>
              </w:rPr>
              <w:t>☑</w:t>
            </w:r>
            <w:r>
              <w:t xml:space="preserve">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3"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大气环境防护距离</w:t>
            </w:r>
          </w:p>
        </w:tc>
        <w:tc>
          <w:tcPr>
            <w:tcW w:w="7040" w:type="dxa"/>
            <w:gridSpan w:val="16"/>
            <w:tcBorders>
              <w:tl2br w:val="nil"/>
              <w:tr2bl w:val="nil"/>
            </w:tcBorders>
            <w:noWrap w:val="0"/>
            <w:vAlign w:val="center"/>
          </w:tcPr>
          <w:p>
            <w:pPr>
              <w:pStyle w:val="28"/>
              <w:suppressLineNumbers w:val="0"/>
              <w:bidi w:val="0"/>
              <w:spacing w:before="0" w:after="0"/>
              <w:ind w:left="0" w:right="0"/>
            </w:pPr>
            <w:r>
              <w:t>距（</w:t>
            </w:r>
            <w:r>
              <w:rPr>
                <w:rFonts w:hint="eastAsia"/>
              </w:rPr>
              <w:t>/</w:t>
            </w:r>
            <w:r>
              <w:t xml:space="preserve">）最远（ </w:t>
            </w:r>
            <w:r>
              <w:rPr>
                <w:rFonts w:hint="eastAsia"/>
              </w:rPr>
              <w:t>/</w:t>
            </w:r>
            <w: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96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9" w:type="dxa"/>
            <w:tcBorders>
              <w:tl2br w:val="nil"/>
              <w:tr2bl w:val="nil"/>
            </w:tcBorders>
            <w:noWrap w:val="0"/>
            <w:vAlign w:val="center"/>
          </w:tcPr>
          <w:p>
            <w:pPr>
              <w:pStyle w:val="28"/>
              <w:suppressLineNumbers w:val="0"/>
              <w:bidi w:val="0"/>
              <w:spacing w:before="0" w:after="0"/>
              <w:ind w:left="0" w:right="0"/>
            </w:pPr>
            <w:r>
              <w:t>污染源年排放量</w:t>
            </w:r>
          </w:p>
        </w:tc>
        <w:tc>
          <w:tcPr>
            <w:tcW w:w="1766" w:type="dxa"/>
            <w:gridSpan w:val="3"/>
            <w:tcBorders>
              <w:tl2br w:val="nil"/>
              <w:tr2bl w:val="nil"/>
            </w:tcBorders>
            <w:noWrap w:val="0"/>
            <w:vAlign w:val="center"/>
          </w:tcPr>
          <w:p>
            <w:pPr>
              <w:pStyle w:val="28"/>
              <w:suppressLineNumbers w:val="0"/>
              <w:bidi w:val="0"/>
              <w:spacing w:before="0" w:after="0"/>
              <w:ind w:left="0" w:right="0"/>
            </w:pPr>
            <w:r>
              <w:t>SO</w:t>
            </w:r>
            <w:r>
              <w:rPr>
                <w:vertAlign w:val="subscript"/>
              </w:rPr>
              <w:t>2</w:t>
            </w:r>
            <w:r>
              <w:t>:（</w:t>
            </w:r>
            <w:r>
              <w:rPr>
                <w:rFonts w:hint="eastAsia"/>
                <w:lang w:val="en-US" w:eastAsia="zh-CN"/>
              </w:rPr>
              <w:t>32</w:t>
            </w:r>
            <w:r>
              <w:t>）t/a</w:t>
            </w:r>
          </w:p>
        </w:tc>
        <w:tc>
          <w:tcPr>
            <w:tcW w:w="1916" w:type="dxa"/>
            <w:gridSpan w:val="6"/>
            <w:tcBorders>
              <w:tl2br w:val="nil"/>
              <w:tr2bl w:val="nil"/>
            </w:tcBorders>
            <w:noWrap w:val="0"/>
            <w:vAlign w:val="center"/>
          </w:tcPr>
          <w:p>
            <w:pPr>
              <w:pStyle w:val="28"/>
              <w:suppressLineNumbers w:val="0"/>
              <w:bidi w:val="0"/>
              <w:spacing w:before="0" w:after="0"/>
              <w:ind w:left="0" w:right="0"/>
            </w:pPr>
            <w:r>
              <w:t>NOx:（</w:t>
            </w:r>
            <w:r>
              <w:rPr>
                <w:rFonts w:hint="eastAsia"/>
                <w:lang w:val="en-US" w:eastAsia="zh-CN"/>
              </w:rPr>
              <w:t>30</w:t>
            </w:r>
            <w:r>
              <w:t>）t/a</w:t>
            </w:r>
          </w:p>
        </w:tc>
        <w:tc>
          <w:tcPr>
            <w:tcW w:w="1905" w:type="dxa"/>
            <w:gridSpan w:val="4"/>
            <w:tcBorders>
              <w:tl2br w:val="nil"/>
              <w:tr2bl w:val="nil"/>
            </w:tcBorders>
            <w:noWrap w:val="0"/>
            <w:vAlign w:val="center"/>
          </w:tcPr>
          <w:p>
            <w:pPr>
              <w:pStyle w:val="28"/>
              <w:suppressLineNumbers w:val="0"/>
              <w:bidi w:val="0"/>
              <w:spacing w:before="0" w:after="0"/>
              <w:ind w:left="0" w:right="0"/>
            </w:pPr>
            <w:r>
              <w:t>颗粒物:（</w:t>
            </w:r>
            <w:r>
              <w:rPr>
                <w:rFonts w:hint="eastAsia"/>
                <w:lang w:val="en-US" w:eastAsia="zh-CN"/>
              </w:rPr>
              <w:t>3.14</w:t>
            </w:r>
            <w:r>
              <w:rPr>
                <w:rFonts w:hint="eastAsia"/>
              </w:rPr>
              <w:t>）</w:t>
            </w:r>
            <w:r>
              <w:t>t/a</w:t>
            </w:r>
          </w:p>
        </w:tc>
        <w:tc>
          <w:tcPr>
            <w:tcW w:w="1453" w:type="dxa"/>
            <w:gridSpan w:val="3"/>
            <w:tcBorders>
              <w:tl2br w:val="nil"/>
              <w:tr2bl w:val="nil"/>
            </w:tcBorders>
            <w:noWrap w:val="0"/>
            <w:vAlign w:val="center"/>
          </w:tcPr>
          <w:p>
            <w:pPr>
              <w:pStyle w:val="28"/>
              <w:suppressLineNumbers w:val="0"/>
              <w:bidi w:val="0"/>
              <w:spacing w:before="0" w:after="0"/>
              <w:ind w:left="0" w:right="0"/>
            </w:pPr>
            <w:r>
              <w:t>VOCs:（）t/a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9674" w:type="dxa"/>
            <w:gridSpan w:val="18"/>
            <w:tcBorders>
              <w:tl2br w:val="nil"/>
              <w:tr2bl w:val="nil"/>
            </w:tcBorders>
            <w:noWrap w:val="0"/>
            <w:vAlign w:val="center"/>
          </w:tcPr>
          <w:p>
            <w:pPr>
              <w:pStyle w:val="28"/>
              <w:suppressLineNumbers w:val="0"/>
              <w:bidi w:val="0"/>
              <w:spacing w:before="0" w:after="0"/>
              <w:ind w:left="0" w:right="0"/>
              <w:jc w:val="left"/>
            </w:pPr>
            <w:r>
              <w:t>注：“□” 为勾选项 ，填“√” ；“（   ）” 为内容填写项</w:t>
            </w:r>
          </w:p>
        </w:tc>
      </w:tr>
    </w:tbl>
    <w:p>
      <w:pPr>
        <w:pStyle w:val="4"/>
        <w:bidi w:val="0"/>
        <w:rPr>
          <w:rFonts w:hint="default"/>
        </w:rPr>
      </w:pPr>
      <w:bookmarkStart w:id="67" w:name="_Toc10144"/>
      <w:r>
        <w:rPr>
          <w:rFonts w:hint="eastAsia"/>
          <w:lang w:val="en-US" w:eastAsia="zh-CN"/>
        </w:rPr>
        <w:t>5</w:t>
      </w:r>
      <w:r>
        <w:rPr>
          <w:rFonts w:hint="default"/>
        </w:rPr>
        <w:t>.2 水环境影响分析</w:t>
      </w:r>
      <w:bookmarkEnd w:id="67"/>
    </w:p>
    <w:p>
      <w:pPr>
        <w:bidi w:val="0"/>
        <w:rPr>
          <w:rFonts w:hint="default"/>
        </w:rPr>
      </w:pPr>
      <w:r>
        <w:rPr>
          <w:rFonts w:hint="default"/>
        </w:rPr>
        <w:t>根据工程分析及废水处理措施可知，</w:t>
      </w:r>
      <w:r>
        <w:rPr>
          <w:rFonts w:hint="eastAsia"/>
          <w:lang w:eastAsia="zh-CN"/>
        </w:rPr>
        <w:t>食堂废水经隔油池处理后与生活污水一起经化粪池处理后排入青湖镇联村生活污水处理厂进行处理。</w:t>
      </w:r>
      <w:r>
        <w:rPr>
          <w:rFonts w:hint="default"/>
        </w:rPr>
        <w:t>出水达标准后最终排入</w:t>
      </w:r>
      <w:r>
        <w:rPr>
          <w:rFonts w:hint="eastAsia"/>
          <w:lang w:eastAsia="zh-CN"/>
        </w:rPr>
        <w:t>乌龙河</w:t>
      </w:r>
      <w:r>
        <w:rPr>
          <w:rFonts w:hint="default"/>
        </w:rPr>
        <w:t>。</w:t>
      </w:r>
    </w:p>
    <w:p>
      <w:pPr>
        <w:bidi w:val="0"/>
        <w:rPr>
          <w:rFonts w:hint="eastAsia"/>
          <w:lang w:eastAsia="zh-CN"/>
        </w:rPr>
      </w:pPr>
      <w:r>
        <w:rPr>
          <w:rFonts w:hint="eastAsia"/>
        </w:rPr>
        <w:t>青湖镇联村生活污水处理厂总规模1500m</w:t>
      </w:r>
      <w:r>
        <w:rPr>
          <w:rFonts w:hint="eastAsia"/>
          <w:vertAlign w:val="superscript"/>
        </w:rPr>
        <w:t>3</w:t>
      </w:r>
      <w:r>
        <w:rPr>
          <w:rFonts w:hint="eastAsia"/>
        </w:rPr>
        <w:t>/d，</w:t>
      </w:r>
      <w:r>
        <w:rPr>
          <w:rFonts w:hint="eastAsia"/>
          <w:lang w:eastAsia="zh-CN"/>
        </w:rPr>
        <w:t>拟建项目污水排放量为</w:t>
      </w:r>
      <w:r>
        <w:rPr>
          <w:rFonts w:hint="eastAsia"/>
          <w:lang w:val="en-US" w:eastAsia="zh-CN"/>
        </w:rPr>
        <w:t>1636.8</w:t>
      </w:r>
      <w:r>
        <w:rPr>
          <w:rFonts w:hint="eastAsia"/>
        </w:rPr>
        <w:t>m</w:t>
      </w:r>
      <w:r>
        <w:rPr>
          <w:rFonts w:hint="eastAsia"/>
          <w:vertAlign w:val="superscript"/>
        </w:rPr>
        <w:t>3</w:t>
      </w:r>
      <w:r>
        <w:rPr>
          <w:rFonts w:hint="eastAsia"/>
        </w:rPr>
        <w:t>/</w:t>
      </w:r>
      <w:r>
        <w:rPr>
          <w:rFonts w:hint="eastAsia"/>
          <w:lang w:val="en-US" w:eastAsia="zh-CN"/>
        </w:rPr>
        <w:t>a、4.96</w:t>
      </w:r>
      <w:r>
        <w:rPr>
          <w:rFonts w:hint="eastAsia"/>
        </w:rPr>
        <w:t>m</w:t>
      </w:r>
      <w:r>
        <w:rPr>
          <w:rFonts w:hint="eastAsia"/>
          <w:vertAlign w:val="superscript"/>
        </w:rPr>
        <w:t>3</w:t>
      </w:r>
      <w:r>
        <w:rPr>
          <w:rFonts w:hint="eastAsia"/>
        </w:rPr>
        <w:t>/</w:t>
      </w:r>
      <w:r>
        <w:rPr>
          <w:rFonts w:hint="eastAsia"/>
          <w:lang w:val="en-US" w:eastAsia="zh-CN"/>
        </w:rPr>
        <w:t>d</w:t>
      </w:r>
      <w:r>
        <w:rPr>
          <w:rFonts w:hint="eastAsia"/>
        </w:rPr>
        <w:t>，</w:t>
      </w:r>
      <w:r>
        <w:rPr>
          <w:rFonts w:hint="eastAsia"/>
          <w:lang w:eastAsia="zh-CN"/>
        </w:rPr>
        <w:t>占</w:t>
      </w:r>
      <w:r>
        <w:rPr>
          <w:rFonts w:hint="eastAsia"/>
        </w:rPr>
        <w:t>青湖镇联村生活污水处理厂</w:t>
      </w:r>
      <w:r>
        <w:rPr>
          <w:rFonts w:hint="eastAsia"/>
          <w:lang w:eastAsia="zh-CN"/>
        </w:rPr>
        <w:t>污水处理量的</w:t>
      </w:r>
      <w:r>
        <w:rPr>
          <w:rFonts w:hint="eastAsia"/>
          <w:lang w:val="en-US" w:eastAsia="zh-CN"/>
        </w:rPr>
        <w:t>0.33%，所占比例较小，不会对</w:t>
      </w:r>
      <w:r>
        <w:rPr>
          <w:rFonts w:hint="eastAsia"/>
        </w:rPr>
        <w:t>青湖镇联村生活污水处理厂</w:t>
      </w:r>
      <w:r>
        <w:rPr>
          <w:rFonts w:hint="eastAsia"/>
          <w:lang w:eastAsia="zh-CN"/>
        </w:rPr>
        <w:t>污水处理量造成冲击负荷。</w:t>
      </w:r>
    </w:p>
    <w:p>
      <w:pPr>
        <w:bidi w:val="0"/>
        <w:rPr>
          <w:rFonts w:hint="eastAsia"/>
          <w:lang w:eastAsia="zh-CN"/>
        </w:rPr>
      </w:pPr>
      <w:r>
        <w:rPr>
          <w:rFonts w:hint="eastAsia"/>
          <w:lang w:eastAsia="zh-CN"/>
        </w:rPr>
        <w:t>项目所排污水为生活污水和食堂废水，</w:t>
      </w:r>
      <w:r>
        <w:rPr>
          <w:rFonts w:hint="eastAsia"/>
        </w:rPr>
        <w:t>青湖镇联村生活污水处理厂处理工艺采用</w:t>
      </w:r>
      <w:r>
        <w:rPr>
          <w:rFonts w:hint="eastAsia"/>
          <w:lang w:eastAsia="zh-CN"/>
        </w:rPr>
        <w:t>“</w:t>
      </w:r>
      <w:r>
        <w:rPr>
          <w:rFonts w:hint="eastAsia"/>
        </w:rPr>
        <w:t>格栅+沉砂池+ A2/O+二沉池+消毒</w:t>
      </w:r>
      <w:r>
        <w:rPr>
          <w:rFonts w:hint="eastAsia"/>
          <w:lang w:eastAsia="zh-CN"/>
        </w:rPr>
        <w:t>”</w:t>
      </w:r>
      <w:r>
        <w:rPr>
          <w:rFonts w:hint="eastAsia"/>
        </w:rPr>
        <w:t>工艺，</w:t>
      </w:r>
      <w:r>
        <w:rPr>
          <w:rFonts w:hint="eastAsia"/>
          <w:lang w:eastAsia="zh-CN"/>
        </w:rPr>
        <w:t>能够较好地处理项目所排废水，废水处理工艺相匹配。</w:t>
      </w:r>
    </w:p>
    <w:p>
      <w:pPr>
        <w:bidi w:val="0"/>
        <w:rPr>
          <w:rFonts w:hint="eastAsia" w:eastAsia="宋体"/>
          <w:lang w:val="en-US" w:eastAsia="zh-CN"/>
        </w:rPr>
      </w:pPr>
      <w:r>
        <w:rPr>
          <w:rFonts w:hint="eastAsia"/>
          <w:lang w:eastAsia="zh-CN"/>
        </w:rPr>
        <w:t>项目所在区域已敷设了排至</w:t>
      </w:r>
      <w:r>
        <w:rPr>
          <w:rFonts w:hint="eastAsia"/>
        </w:rPr>
        <w:t>青湖镇联村生活污水处理厂</w:t>
      </w:r>
      <w:r>
        <w:rPr>
          <w:rFonts w:hint="eastAsia"/>
          <w:lang w:eastAsia="zh-CN"/>
        </w:rPr>
        <w:t>的污水管网，因此项目污水经</w:t>
      </w:r>
      <w:r>
        <w:rPr>
          <w:rFonts w:hint="eastAsia"/>
        </w:rPr>
        <w:t>青湖镇联村生活污水处理厂</w:t>
      </w:r>
      <w:r>
        <w:rPr>
          <w:rFonts w:hint="eastAsia"/>
          <w:lang w:eastAsia="zh-CN"/>
        </w:rPr>
        <w:t>处理达标后排入乌龙河，对地表水环境影响较小。</w:t>
      </w:r>
    </w:p>
    <w:p>
      <w:pPr>
        <w:pStyle w:val="27"/>
        <w:bidi w:val="0"/>
      </w:pPr>
      <w:r>
        <w:t>表</w:t>
      </w:r>
      <w:r>
        <w:rPr>
          <w:rFonts w:hint="eastAsia"/>
          <w:lang w:val="en-US" w:eastAsia="zh-CN"/>
        </w:rPr>
        <w:t>5.2-1</w:t>
      </w:r>
      <w:r>
        <w:t>地表水环境影响自查表</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1724"/>
        <w:gridCol w:w="1307"/>
        <w:gridCol w:w="355"/>
        <w:gridCol w:w="60"/>
        <w:gridCol w:w="538"/>
        <w:gridCol w:w="476"/>
        <w:gridCol w:w="715"/>
        <w:gridCol w:w="713"/>
        <w:gridCol w:w="207"/>
        <w:gridCol w:w="267"/>
        <w:gridCol w:w="898"/>
        <w:gridCol w:w="55"/>
        <w:gridCol w:w="14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1" w:type="dxa"/>
            <w:gridSpan w:val="2"/>
            <w:tcBorders>
              <w:tl2br w:val="nil"/>
              <w:tr2bl w:val="nil"/>
            </w:tcBorders>
            <w:noWrap w:val="0"/>
            <w:vAlign w:val="center"/>
          </w:tcPr>
          <w:p>
            <w:pPr>
              <w:pStyle w:val="28"/>
              <w:suppressLineNumbers w:val="0"/>
              <w:bidi w:val="0"/>
              <w:spacing w:before="0" w:after="0"/>
              <w:ind w:left="0" w:right="0"/>
            </w:pPr>
            <w:r>
              <w:t>工作内容</w:t>
            </w:r>
          </w:p>
        </w:tc>
        <w:tc>
          <w:tcPr>
            <w:tcW w:w="7023" w:type="dxa"/>
            <w:gridSpan w:val="12"/>
            <w:tcBorders>
              <w:tl2br w:val="nil"/>
              <w:tr2bl w:val="nil"/>
            </w:tcBorders>
            <w:noWrap w:val="0"/>
            <w:vAlign w:val="center"/>
          </w:tcPr>
          <w:p>
            <w:pPr>
              <w:pStyle w:val="28"/>
              <w:suppressLineNumbers w:val="0"/>
              <w:bidi w:val="0"/>
              <w:spacing w:before="0" w:after="0"/>
              <w:ind w:left="0" w:right="0"/>
            </w:pPr>
            <w:r>
              <w:t>自查项目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影</w:t>
            </w:r>
          </w:p>
          <w:p>
            <w:pPr>
              <w:pStyle w:val="28"/>
              <w:suppressLineNumbers w:val="0"/>
              <w:bidi w:val="0"/>
              <w:spacing w:before="0" w:after="0"/>
              <w:ind w:left="0" w:right="0"/>
            </w:pPr>
            <w:r>
              <w:t>响</w:t>
            </w:r>
          </w:p>
          <w:p>
            <w:pPr>
              <w:pStyle w:val="28"/>
              <w:suppressLineNumbers w:val="0"/>
              <w:bidi w:val="0"/>
              <w:spacing w:before="0" w:after="0"/>
              <w:ind w:left="0" w:right="0"/>
            </w:pPr>
            <w:r>
              <w:t>识</w:t>
            </w:r>
          </w:p>
          <w:p>
            <w:pPr>
              <w:pStyle w:val="28"/>
              <w:suppressLineNumbers w:val="0"/>
              <w:bidi w:val="0"/>
              <w:spacing w:before="0" w:after="0"/>
              <w:ind w:left="0" w:right="0"/>
            </w:pPr>
            <w:r>
              <w:t>别</w:t>
            </w:r>
          </w:p>
        </w:tc>
        <w:tc>
          <w:tcPr>
            <w:tcW w:w="1724" w:type="dxa"/>
            <w:tcBorders>
              <w:tl2br w:val="nil"/>
              <w:tr2bl w:val="nil"/>
            </w:tcBorders>
            <w:noWrap w:val="0"/>
            <w:vAlign w:val="center"/>
          </w:tcPr>
          <w:p>
            <w:pPr>
              <w:pStyle w:val="28"/>
              <w:suppressLineNumbers w:val="0"/>
              <w:bidi w:val="0"/>
              <w:spacing w:before="0" w:after="0"/>
              <w:ind w:left="0" w:right="0"/>
            </w:pPr>
            <w:r>
              <w:t>影响类型</w:t>
            </w:r>
          </w:p>
        </w:tc>
        <w:tc>
          <w:tcPr>
            <w:tcW w:w="7023" w:type="dxa"/>
            <w:gridSpan w:val="12"/>
            <w:tcBorders>
              <w:tl2br w:val="nil"/>
              <w:tr2bl w:val="nil"/>
            </w:tcBorders>
            <w:noWrap w:val="0"/>
            <w:vAlign w:val="center"/>
          </w:tcPr>
          <w:p>
            <w:pPr>
              <w:pStyle w:val="28"/>
              <w:suppressLineNumbers w:val="0"/>
              <w:bidi w:val="0"/>
              <w:spacing w:before="0" w:after="0"/>
              <w:ind w:left="0" w:right="0"/>
              <w:rPr>
                <w:rFonts w:hint="eastAsia" w:eastAsia="宋体"/>
                <w:lang w:eastAsia="zh-CN"/>
              </w:rPr>
            </w:pPr>
            <w:r>
              <w:t>水污染影响型</w:t>
            </w:r>
            <w:r>
              <w:rPr>
                <w:rFonts w:hint="eastAsia"/>
                <w:lang w:eastAsia="zh-CN"/>
              </w:rPr>
              <w:t>☑</w:t>
            </w:r>
          </w:p>
          <w:p>
            <w:pPr>
              <w:pStyle w:val="28"/>
              <w:suppressLineNumbers w:val="0"/>
              <w:bidi w:val="0"/>
              <w:spacing w:before="0" w:after="0"/>
              <w:ind w:left="0" w:right="0"/>
            </w:pPr>
            <w:r>
              <w:t>水文要素影响型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水环境保护目标</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饮用水水源保护区 □；饮用水取水口 □；涉水的自然保护区 □；重要湿地 □； </w:t>
            </w:r>
          </w:p>
          <w:p>
            <w:pPr>
              <w:pStyle w:val="28"/>
              <w:suppressLineNumbers w:val="0"/>
              <w:bidi w:val="0"/>
              <w:spacing w:before="0" w:after="0"/>
              <w:ind w:left="0" w:right="0"/>
              <w:rPr>
                <w:rFonts w:hint="eastAsia" w:eastAsia="宋体"/>
                <w:lang w:eastAsia="zh-CN"/>
              </w:rPr>
            </w:pPr>
            <w:r>
              <w:t>重点保护与珍稀水生生物的栖息地 □；重要水生生物的自然产卵场及索饵场、越冬场和洄游通道、天然渔场等渔业水体 □；涉水的风景名胜区 □；其他</w:t>
            </w:r>
            <w:r>
              <w:rPr>
                <w:rFonts w:hint="eastAsia"/>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影响途径</w:t>
            </w:r>
          </w:p>
        </w:tc>
        <w:tc>
          <w:tcPr>
            <w:tcW w:w="3451" w:type="dxa"/>
            <w:gridSpan w:val="6"/>
            <w:tcBorders>
              <w:tl2br w:val="nil"/>
              <w:tr2bl w:val="nil"/>
            </w:tcBorders>
            <w:noWrap w:val="0"/>
            <w:vAlign w:val="center"/>
          </w:tcPr>
          <w:p>
            <w:pPr>
              <w:pStyle w:val="28"/>
              <w:suppressLineNumbers w:val="0"/>
              <w:bidi w:val="0"/>
              <w:spacing w:before="0" w:after="0"/>
              <w:ind w:left="0" w:right="0"/>
            </w:pPr>
            <w:r>
              <w:t>水污染影响型</w:t>
            </w:r>
          </w:p>
        </w:tc>
        <w:tc>
          <w:tcPr>
            <w:tcW w:w="3572" w:type="dxa"/>
            <w:gridSpan w:val="6"/>
            <w:tcBorders>
              <w:tl2br w:val="nil"/>
              <w:tr2bl w:val="nil"/>
            </w:tcBorders>
            <w:noWrap w:val="0"/>
            <w:vAlign w:val="center"/>
          </w:tcPr>
          <w:p>
            <w:pPr>
              <w:pStyle w:val="28"/>
              <w:suppressLineNumbers w:val="0"/>
              <w:bidi w:val="0"/>
              <w:spacing w:before="0" w:after="0"/>
              <w:ind w:left="0" w:right="0"/>
            </w:pPr>
            <w:r>
              <w:t>水文要素影响型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3451" w:type="dxa"/>
            <w:gridSpan w:val="6"/>
            <w:tcBorders>
              <w:tl2br w:val="nil"/>
              <w:tr2bl w:val="nil"/>
            </w:tcBorders>
            <w:noWrap w:val="0"/>
            <w:vAlign w:val="center"/>
          </w:tcPr>
          <w:p>
            <w:pPr>
              <w:pStyle w:val="28"/>
              <w:suppressLineNumbers w:val="0"/>
              <w:bidi w:val="0"/>
              <w:spacing w:before="0" w:after="0"/>
              <w:ind w:left="0" w:right="0"/>
            </w:pPr>
            <w:r>
              <w:t>直接排放 □；间接排放</w:t>
            </w:r>
            <w:r>
              <w:rPr>
                <w:rFonts w:hint="eastAsia"/>
                <w:lang w:eastAsia="zh-CN"/>
              </w:rPr>
              <w:t>☑</w:t>
            </w:r>
            <w:r>
              <w:t>；其他□</w:t>
            </w:r>
          </w:p>
        </w:tc>
        <w:tc>
          <w:tcPr>
            <w:tcW w:w="3572" w:type="dxa"/>
            <w:gridSpan w:val="6"/>
            <w:tcBorders>
              <w:tl2br w:val="nil"/>
              <w:tr2bl w:val="nil"/>
            </w:tcBorders>
            <w:noWrap w:val="0"/>
            <w:vAlign w:val="center"/>
          </w:tcPr>
          <w:p>
            <w:pPr>
              <w:pStyle w:val="28"/>
              <w:suppressLineNumbers w:val="0"/>
              <w:bidi w:val="0"/>
              <w:spacing w:before="0" w:after="0"/>
              <w:ind w:left="0" w:right="0"/>
            </w:pPr>
            <w:r>
              <w:t>水温 □；径流 □；水域面积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影响因子</w:t>
            </w:r>
          </w:p>
        </w:tc>
        <w:tc>
          <w:tcPr>
            <w:tcW w:w="3451" w:type="dxa"/>
            <w:gridSpan w:val="6"/>
            <w:tcBorders>
              <w:tl2br w:val="nil"/>
              <w:tr2bl w:val="nil"/>
            </w:tcBorders>
            <w:noWrap w:val="0"/>
            <w:vAlign w:val="center"/>
          </w:tcPr>
          <w:p>
            <w:pPr>
              <w:pStyle w:val="28"/>
              <w:suppressLineNumbers w:val="0"/>
              <w:bidi w:val="0"/>
              <w:spacing w:before="0" w:after="0"/>
              <w:ind w:left="0" w:right="0"/>
            </w:pPr>
            <w:r>
              <w:t xml:space="preserve">持久性污染物 □；有毒有害污染物 □；非持久性污染物 </w:t>
            </w:r>
            <w:r>
              <w:rPr>
                <w:rFonts w:hint="eastAsia"/>
                <w:lang w:eastAsia="zh-CN"/>
              </w:rPr>
              <w:t>☑</w:t>
            </w:r>
            <w:r>
              <w:t>；</w:t>
            </w:r>
          </w:p>
          <w:p>
            <w:pPr>
              <w:pStyle w:val="28"/>
              <w:suppressLineNumbers w:val="0"/>
              <w:bidi w:val="0"/>
              <w:spacing w:before="0" w:after="0"/>
              <w:ind w:left="0" w:right="0"/>
            </w:pPr>
            <w:r>
              <w:t>pH值□；热污染 □；富营养化□；其他□</w:t>
            </w:r>
          </w:p>
        </w:tc>
        <w:tc>
          <w:tcPr>
            <w:tcW w:w="3572" w:type="dxa"/>
            <w:gridSpan w:val="6"/>
            <w:tcBorders>
              <w:tl2br w:val="nil"/>
              <w:tr2bl w:val="nil"/>
            </w:tcBorders>
            <w:noWrap w:val="0"/>
            <w:vAlign w:val="center"/>
          </w:tcPr>
          <w:p>
            <w:pPr>
              <w:pStyle w:val="28"/>
              <w:suppressLineNumbers w:val="0"/>
              <w:bidi w:val="0"/>
              <w:spacing w:before="0" w:after="0"/>
              <w:ind w:left="0" w:right="0"/>
            </w:pPr>
            <w:r>
              <w:t>水温 □；水位（水深） □；流速 □；流量 □；其他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1" w:type="dxa"/>
            <w:gridSpan w:val="2"/>
            <w:vMerge w:val="restart"/>
            <w:tcBorders>
              <w:tl2br w:val="nil"/>
              <w:tr2bl w:val="nil"/>
            </w:tcBorders>
            <w:noWrap w:val="0"/>
            <w:vAlign w:val="center"/>
          </w:tcPr>
          <w:p>
            <w:pPr>
              <w:pStyle w:val="28"/>
              <w:suppressLineNumbers w:val="0"/>
              <w:bidi w:val="0"/>
              <w:spacing w:before="0" w:after="0"/>
              <w:ind w:left="0" w:right="0"/>
            </w:pPr>
            <w:r>
              <w:t>评价等级</w:t>
            </w:r>
          </w:p>
        </w:tc>
        <w:tc>
          <w:tcPr>
            <w:tcW w:w="3451" w:type="dxa"/>
            <w:gridSpan w:val="6"/>
            <w:tcBorders>
              <w:tl2br w:val="nil"/>
              <w:tr2bl w:val="nil"/>
            </w:tcBorders>
            <w:noWrap w:val="0"/>
            <w:vAlign w:val="center"/>
          </w:tcPr>
          <w:p>
            <w:pPr>
              <w:pStyle w:val="28"/>
              <w:suppressLineNumbers w:val="0"/>
              <w:bidi w:val="0"/>
              <w:spacing w:before="0" w:after="0"/>
              <w:ind w:left="0" w:right="0"/>
            </w:pPr>
            <w:r>
              <w:t>水污染影响型</w:t>
            </w:r>
          </w:p>
        </w:tc>
        <w:tc>
          <w:tcPr>
            <w:tcW w:w="3572" w:type="dxa"/>
            <w:gridSpan w:val="6"/>
            <w:tcBorders>
              <w:tl2br w:val="nil"/>
              <w:tr2bl w:val="nil"/>
            </w:tcBorders>
            <w:noWrap w:val="0"/>
            <w:vAlign w:val="center"/>
          </w:tcPr>
          <w:p>
            <w:pPr>
              <w:pStyle w:val="28"/>
              <w:suppressLineNumbers w:val="0"/>
              <w:bidi w:val="0"/>
              <w:spacing w:before="0" w:after="0"/>
              <w:ind w:left="0" w:right="0"/>
            </w:pPr>
            <w:r>
              <w:t>水文要素影响型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1" w:type="dxa"/>
            <w:gridSpan w:val="2"/>
            <w:vMerge w:val="continue"/>
            <w:tcBorders>
              <w:tl2br w:val="nil"/>
              <w:tr2bl w:val="nil"/>
            </w:tcBorders>
            <w:noWrap w:val="0"/>
            <w:vAlign w:val="center"/>
          </w:tcPr>
          <w:p>
            <w:pPr>
              <w:pStyle w:val="28"/>
              <w:suppressLineNumbers w:val="0"/>
              <w:bidi w:val="0"/>
              <w:spacing w:before="0" w:after="0"/>
              <w:ind w:left="0" w:right="0"/>
              <w:outlineLvl w:val="9"/>
            </w:pPr>
          </w:p>
        </w:tc>
        <w:tc>
          <w:tcPr>
            <w:tcW w:w="3451" w:type="dxa"/>
            <w:gridSpan w:val="6"/>
            <w:tcBorders>
              <w:tl2br w:val="nil"/>
              <w:tr2bl w:val="nil"/>
            </w:tcBorders>
            <w:noWrap w:val="0"/>
            <w:vAlign w:val="center"/>
          </w:tcPr>
          <w:p>
            <w:pPr>
              <w:pStyle w:val="28"/>
              <w:suppressLineNumbers w:val="0"/>
              <w:bidi w:val="0"/>
              <w:spacing w:before="0" w:after="0"/>
              <w:ind w:left="0" w:right="0"/>
              <w:rPr>
                <w:rFonts w:hint="eastAsia" w:eastAsia="宋体"/>
                <w:lang w:eastAsia="zh-CN"/>
              </w:rPr>
            </w:pPr>
            <w:r>
              <w:t xml:space="preserve">一级 □；二级 □；三级A □；三级B </w:t>
            </w:r>
            <w:r>
              <w:rPr>
                <w:rFonts w:hint="eastAsia"/>
                <w:lang w:eastAsia="zh-CN"/>
              </w:rPr>
              <w:t>☑</w:t>
            </w:r>
          </w:p>
        </w:tc>
        <w:tc>
          <w:tcPr>
            <w:tcW w:w="3572" w:type="dxa"/>
            <w:gridSpan w:val="6"/>
            <w:tcBorders>
              <w:tl2br w:val="nil"/>
              <w:tr2bl w:val="nil"/>
            </w:tcBorders>
            <w:noWrap w:val="0"/>
            <w:vAlign w:val="center"/>
          </w:tcPr>
          <w:p>
            <w:pPr>
              <w:pStyle w:val="28"/>
              <w:suppressLineNumbers w:val="0"/>
              <w:bidi w:val="0"/>
              <w:spacing w:before="0" w:after="0"/>
              <w:ind w:left="0" w:right="0"/>
            </w:pPr>
            <w:r>
              <w:t>一级 □；二级 □；三级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现</w:t>
            </w:r>
          </w:p>
          <w:p>
            <w:pPr>
              <w:pStyle w:val="28"/>
              <w:suppressLineNumbers w:val="0"/>
              <w:bidi w:val="0"/>
              <w:spacing w:before="0" w:after="0"/>
              <w:ind w:left="0" w:right="0"/>
            </w:pPr>
            <w:r>
              <w:t>状</w:t>
            </w:r>
          </w:p>
          <w:p>
            <w:pPr>
              <w:pStyle w:val="28"/>
              <w:suppressLineNumbers w:val="0"/>
              <w:bidi w:val="0"/>
              <w:spacing w:before="0" w:after="0"/>
              <w:ind w:left="0" w:right="0"/>
            </w:pPr>
            <w:r>
              <w:t>调</w:t>
            </w:r>
          </w:p>
          <w:p>
            <w:pPr>
              <w:pStyle w:val="28"/>
              <w:suppressLineNumbers w:val="0"/>
              <w:bidi w:val="0"/>
              <w:spacing w:before="0" w:after="0"/>
              <w:ind w:left="0" w:right="0"/>
            </w:pPr>
            <w:r>
              <w:t>查</w:t>
            </w:r>
          </w:p>
        </w:tc>
        <w:tc>
          <w:tcPr>
            <w:tcW w:w="1724" w:type="dxa"/>
            <w:vMerge w:val="restart"/>
            <w:tcBorders>
              <w:tl2br w:val="nil"/>
              <w:tr2bl w:val="nil"/>
            </w:tcBorders>
            <w:noWrap w:val="0"/>
            <w:vAlign w:val="center"/>
          </w:tcPr>
          <w:p>
            <w:pPr>
              <w:pStyle w:val="28"/>
              <w:suppressLineNumbers w:val="0"/>
              <w:bidi w:val="0"/>
              <w:spacing w:before="0" w:after="0"/>
              <w:ind w:left="0" w:right="0"/>
            </w:pPr>
            <w:r>
              <w:t>区域污染源</w:t>
            </w:r>
          </w:p>
        </w:tc>
        <w:tc>
          <w:tcPr>
            <w:tcW w:w="3451" w:type="dxa"/>
            <w:gridSpan w:val="6"/>
            <w:tcBorders>
              <w:tl2br w:val="nil"/>
              <w:tr2bl w:val="nil"/>
            </w:tcBorders>
            <w:noWrap w:val="0"/>
            <w:vAlign w:val="center"/>
          </w:tcPr>
          <w:p>
            <w:pPr>
              <w:pStyle w:val="28"/>
              <w:suppressLineNumbers w:val="0"/>
              <w:bidi w:val="0"/>
              <w:spacing w:before="0" w:after="0"/>
              <w:ind w:left="0" w:right="0"/>
            </w:pPr>
            <w:r>
              <w:t>调查项目</w:t>
            </w:r>
          </w:p>
        </w:tc>
        <w:tc>
          <w:tcPr>
            <w:tcW w:w="3572" w:type="dxa"/>
            <w:gridSpan w:val="6"/>
            <w:tcBorders>
              <w:tl2br w:val="nil"/>
              <w:tr2bl w:val="nil"/>
            </w:tcBorders>
            <w:noWrap w:val="0"/>
            <w:vAlign w:val="center"/>
          </w:tcPr>
          <w:p>
            <w:pPr>
              <w:pStyle w:val="28"/>
              <w:suppressLineNumbers w:val="0"/>
              <w:bidi w:val="0"/>
              <w:spacing w:before="0" w:after="0"/>
              <w:ind w:left="0" w:right="0"/>
            </w:pPr>
            <w:r>
              <w:t>数据来源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1662" w:type="dxa"/>
            <w:gridSpan w:val="2"/>
            <w:tcBorders>
              <w:tl2br w:val="nil"/>
              <w:tr2bl w:val="nil"/>
            </w:tcBorders>
            <w:noWrap w:val="0"/>
            <w:vAlign w:val="center"/>
          </w:tcPr>
          <w:p>
            <w:pPr>
              <w:pStyle w:val="28"/>
              <w:suppressLineNumbers w:val="0"/>
              <w:bidi w:val="0"/>
              <w:spacing w:before="0" w:after="0"/>
              <w:ind w:left="0" w:right="0"/>
            </w:pPr>
            <w:r>
              <w:t>已建 □；在建 □；拟建 □；其他 □</w:t>
            </w:r>
          </w:p>
        </w:tc>
        <w:tc>
          <w:tcPr>
            <w:tcW w:w="1789" w:type="dxa"/>
            <w:gridSpan w:val="4"/>
            <w:tcBorders>
              <w:tl2br w:val="nil"/>
              <w:tr2bl w:val="nil"/>
            </w:tcBorders>
            <w:noWrap w:val="0"/>
            <w:vAlign w:val="center"/>
          </w:tcPr>
          <w:p>
            <w:pPr>
              <w:pStyle w:val="28"/>
              <w:suppressLineNumbers w:val="0"/>
              <w:bidi w:val="0"/>
              <w:spacing w:before="0" w:after="0"/>
              <w:ind w:left="0" w:right="0"/>
            </w:pPr>
            <w:r>
              <w:t>拟替代的污染源□</w:t>
            </w:r>
          </w:p>
        </w:tc>
        <w:tc>
          <w:tcPr>
            <w:tcW w:w="3572" w:type="dxa"/>
            <w:gridSpan w:val="6"/>
            <w:tcBorders>
              <w:tl2br w:val="nil"/>
              <w:tr2bl w:val="nil"/>
            </w:tcBorders>
            <w:noWrap w:val="0"/>
            <w:vAlign w:val="center"/>
          </w:tcPr>
          <w:p>
            <w:pPr>
              <w:pStyle w:val="28"/>
              <w:suppressLineNumbers w:val="0"/>
              <w:bidi w:val="0"/>
              <w:spacing w:before="0" w:after="0"/>
              <w:ind w:left="0" w:right="0"/>
            </w:pPr>
            <w:r>
              <w:t>排污许可证 □；环评 □；环保验收 □；既有实测 □；现场监测 □；入河排放口数据 □；其他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受影响水体水环境质量</w:t>
            </w:r>
          </w:p>
        </w:tc>
        <w:tc>
          <w:tcPr>
            <w:tcW w:w="3451" w:type="dxa"/>
            <w:gridSpan w:val="6"/>
            <w:tcBorders>
              <w:tl2br w:val="nil"/>
              <w:tr2bl w:val="nil"/>
            </w:tcBorders>
            <w:noWrap w:val="0"/>
            <w:vAlign w:val="center"/>
          </w:tcPr>
          <w:p>
            <w:pPr>
              <w:pStyle w:val="28"/>
              <w:suppressLineNumbers w:val="0"/>
              <w:bidi w:val="0"/>
              <w:spacing w:before="0" w:after="0"/>
              <w:ind w:left="0" w:right="0"/>
            </w:pPr>
            <w:r>
              <w:t>调查时期</w:t>
            </w:r>
          </w:p>
        </w:tc>
        <w:tc>
          <w:tcPr>
            <w:tcW w:w="3572" w:type="dxa"/>
            <w:gridSpan w:val="6"/>
            <w:tcBorders>
              <w:tl2br w:val="nil"/>
              <w:tr2bl w:val="nil"/>
            </w:tcBorders>
            <w:noWrap w:val="0"/>
            <w:vAlign w:val="center"/>
          </w:tcPr>
          <w:p>
            <w:pPr>
              <w:pStyle w:val="28"/>
              <w:suppressLineNumbers w:val="0"/>
              <w:bidi w:val="0"/>
              <w:spacing w:before="0" w:after="0"/>
              <w:ind w:left="0" w:right="0"/>
            </w:pPr>
            <w:r>
              <w:t>数据来源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3451" w:type="dxa"/>
            <w:gridSpan w:val="6"/>
            <w:tcBorders>
              <w:tl2br w:val="nil"/>
              <w:tr2bl w:val="nil"/>
            </w:tcBorders>
            <w:noWrap w:val="0"/>
            <w:vAlign w:val="center"/>
          </w:tcPr>
          <w:p>
            <w:pPr>
              <w:pStyle w:val="28"/>
              <w:suppressLineNumbers w:val="0"/>
              <w:bidi w:val="0"/>
              <w:spacing w:before="0" w:after="0"/>
              <w:ind w:left="0" w:right="0"/>
            </w:pPr>
            <w:r>
              <w:t>丰水期 □；平水期 □；枯水期 □；冰封期 □</w:t>
            </w:r>
          </w:p>
          <w:p>
            <w:pPr>
              <w:pStyle w:val="28"/>
              <w:suppressLineNumbers w:val="0"/>
              <w:bidi w:val="0"/>
              <w:spacing w:before="0" w:after="0"/>
              <w:ind w:left="0" w:right="0"/>
            </w:pPr>
            <w:r>
              <w:t xml:space="preserve">春季 □；夏季 □；秋季 □；冬季 □ </w:t>
            </w:r>
          </w:p>
        </w:tc>
        <w:tc>
          <w:tcPr>
            <w:tcW w:w="3572" w:type="dxa"/>
            <w:gridSpan w:val="6"/>
            <w:tcBorders>
              <w:tl2br w:val="nil"/>
              <w:tr2bl w:val="nil"/>
            </w:tcBorders>
            <w:noWrap w:val="0"/>
            <w:vAlign w:val="center"/>
          </w:tcPr>
          <w:p>
            <w:pPr>
              <w:pStyle w:val="28"/>
              <w:suppressLineNumbers w:val="0"/>
              <w:bidi w:val="0"/>
              <w:spacing w:before="0" w:after="0"/>
              <w:ind w:left="0" w:right="0"/>
            </w:pPr>
            <w:r>
              <w:t>生态环境保护主管部门 □；补充监测 □；其他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区域水资源开发利用状况</w:t>
            </w:r>
          </w:p>
        </w:tc>
        <w:tc>
          <w:tcPr>
            <w:tcW w:w="7023" w:type="dxa"/>
            <w:gridSpan w:val="12"/>
            <w:tcBorders>
              <w:tl2br w:val="nil"/>
              <w:tr2bl w:val="nil"/>
            </w:tcBorders>
            <w:noWrap w:val="0"/>
            <w:vAlign w:val="center"/>
          </w:tcPr>
          <w:p>
            <w:pPr>
              <w:pStyle w:val="28"/>
              <w:suppressLineNumbers w:val="0"/>
              <w:bidi w:val="0"/>
              <w:spacing w:before="0" w:after="0"/>
              <w:ind w:left="0" w:right="0"/>
            </w:pPr>
            <w:r>
              <w:t>未开发 □；开发量 40%以下 □；开发量 40%以上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水文情势调查</w:t>
            </w:r>
          </w:p>
        </w:tc>
        <w:tc>
          <w:tcPr>
            <w:tcW w:w="3451" w:type="dxa"/>
            <w:gridSpan w:val="6"/>
            <w:tcBorders>
              <w:tl2br w:val="nil"/>
              <w:tr2bl w:val="nil"/>
            </w:tcBorders>
            <w:noWrap w:val="0"/>
            <w:vAlign w:val="center"/>
          </w:tcPr>
          <w:p>
            <w:pPr>
              <w:pStyle w:val="28"/>
              <w:suppressLineNumbers w:val="0"/>
              <w:bidi w:val="0"/>
              <w:spacing w:before="0" w:after="0"/>
              <w:ind w:left="0" w:right="0"/>
            </w:pPr>
            <w:r>
              <w:t>调查时期</w:t>
            </w:r>
          </w:p>
        </w:tc>
        <w:tc>
          <w:tcPr>
            <w:tcW w:w="3572" w:type="dxa"/>
            <w:gridSpan w:val="6"/>
            <w:tcBorders>
              <w:tl2br w:val="nil"/>
              <w:tr2bl w:val="nil"/>
            </w:tcBorders>
            <w:noWrap w:val="0"/>
            <w:vAlign w:val="center"/>
          </w:tcPr>
          <w:p>
            <w:pPr>
              <w:pStyle w:val="28"/>
              <w:suppressLineNumbers w:val="0"/>
              <w:bidi w:val="0"/>
              <w:spacing w:before="0" w:after="0"/>
              <w:ind w:left="0" w:right="0"/>
            </w:pPr>
            <w:r>
              <w:t>数据来源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3451" w:type="dxa"/>
            <w:gridSpan w:val="6"/>
            <w:tcBorders>
              <w:tl2br w:val="nil"/>
              <w:tr2bl w:val="nil"/>
            </w:tcBorders>
            <w:noWrap w:val="0"/>
            <w:vAlign w:val="center"/>
          </w:tcPr>
          <w:p>
            <w:pPr>
              <w:pStyle w:val="28"/>
              <w:suppressLineNumbers w:val="0"/>
              <w:bidi w:val="0"/>
              <w:spacing w:before="0" w:after="0"/>
              <w:ind w:left="0" w:right="0"/>
            </w:pPr>
            <w:r>
              <w:t>丰水期 □；平水期 □；枯水期 □；冰封期</w:t>
            </w:r>
          </w:p>
          <w:p>
            <w:pPr>
              <w:pStyle w:val="28"/>
              <w:suppressLineNumbers w:val="0"/>
              <w:bidi w:val="0"/>
              <w:spacing w:before="0" w:after="0"/>
              <w:ind w:left="0" w:right="0"/>
              <w:rPr>
                <w:rFonts w:hint="eastAsia" w:eastAsia="宋体"/>
                <w:lang w:eastAsia="zh-CN"/>
              </w:rPr>
            </w:pPr>
            <w:r>
              <w:t>春季 □；夏季；秋季 □；冬季 □</w:t>
            </w:r>
          </w:p>
        </w:tc>
        <w:tc>
          <w:tcPr>
            <w:tcW w:w="3572" w:type="dxa"/>
            <w:gridSpan w:val="6"/>
            <w:tcBorders>
              <w:tl2br w:val="nil"/>
              <w:tr2bl w:val="nil"/>
            </w:tcBorders>
            <w:noWrap w:val="0"/>
            <w:vAlign w:val="center"/>
          </w:tcPr>
          <w:p>
            <w:pPr>
              <w:pStyle w:val="28"/>
              <w:suppressLineNumbers w:val="0"/>
              <w:bidi w:val="0"/>
              <w:spacing w:before="0" w:after="0"/>
              <w:ind w:left="0" w:right="0"/>
            </w:pPr>
            <w:r>
              <w:t xml:space="preserve">水行政主管部门 □；补充监测 </w:t>
            </w:r>
            <w:r>
              <w:rPr/>
              <w:sym w:font="Times New Roman" w:char="0000"/>
            </w:r>
            <w:r>
              <w:t>；其他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补充监测</w:t>
            </w:r>
          </w:p>
        </w:tc>
        <w:tc>
          <w:tcPr>
            <w:tcW w:w="2260" w:type="dxa"/>
            <w:gridSpan w:val="4"/>
            <w:tcBorders>
              <w:tl2br w:val="nil"/>
              <w:tr2bl w:val="nil"/>
            </w:tcBorders>
            <w:noWrap w:val="0"/>
            <w:vAlign w:val="center"/>
          </w:tcPr>
          <w:p>
            <w:pPr>
              <w:pStyle w:val="28"/>
              <w:suppressLineNumbers w:val="0"/>
              <w:bidi w:val="0"/>
              <w:spacing w:before="0" w:after="0"/>
              <w:ind w:left="0" w:right="0"/>
            </w:pPr>
            <w:r>
              <w:t>监测时期</w:t>
            </w:r>
          </w:p>
        </w:tc>
        <w:tc>
          <w:tcPr>
            <w:tcW w:w="2378" w:type="dxa"/>
            <w:gridSpan w:val="5"/>
            <w:tcBorders>
              <w:tl2br w:val="nil"/>
              <w:tr2bl w:val="nil"/>
            </w:tcBorders>
            <w:noWrap w:val="0"/>
            <w:vAlign w:val="center"/>
          </w:tcPr>
          <w:p>
            <w:pPr>
              <w:pStyle w:val="28"/>
              <w:suppressLineNumbers w:val="0"/>
              <w:bidi w:val="0"/>
              <w:spacing w:before="0" w:after="0"/>
              <w:ind w:left="0" w:right="0"/>
            </w:pPr>
            <w:r>
              <w:t>监测因子</w:t>
            </w:r>
          </w:p>
        </w:tc>
        <w:tc>
          <w:tcPr>
            <w:tcW w:w="2385" w:type="dxa"/>
            <w:gridSpan w:val="3"/>
            <w:tcBorders>
              <w:tl2br w:val="nil"/>
              <w:tr2bl w:val="nil"/>
            </w:tcBorders>
            <w:noWrap w:val="0"/>
            <w:vAlign w:val="center"/>
          </w:tcPr>
          <w:p>
            <w:pPr>
              <w:pStyle w:val="28"/>
              <w:suppressLineNumbers w:val="0"/>
              <w:bidi w:val="0"/>
              <w:spacing w:before="0" w:after="0"/>
              <w:ind w:left="0" w:right="0"/>
            </w:pPr>
            <w:r>
              <w:t>监测断面或点位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pPr>
            <w:r>
              <w:t xml:space="preserve">丰水期 □；平水期 </w:t>
            </w:r>
            <w:r>
              <w:rPr>
                <w:rFonts w:hint="eastAsia"/>
                <w:lang w:eastAsia="zh-CN"/>
              </w:rPr>
              <w:t>☑</w:t>
            </w:r>
            <w:r>
              <w:t xml:space="preserve">；枯水期 □；冰封期 □ </w:t>
            </w:r>
          </w:p>
          <w:p>
            <w:pPr>
              <w:pStyle w:val="28"/>
              <w:suppressLineNumbers w:val="0"/>
              <w:bidi w:val="0"/>
              <w:spacing w:before="0" w:after="0"/>
              <w:ind w:left="0" w:right="0"/>
            </w:pPr>
            <w:r>
              <w:t>春季 □；夏季 □；秋季 □；冬季 □</w:t>
            </w:r>
          </w:p>
        </w:tc>
        <w:tc>
          <w:tcPr>
            <w:tcW w:w="2378" w:type="dxa"/>
            <w:gridSpan w:val="5"/>
            <w:tcBorders>
              <w:tl2br w:val="nil"/>
              <w:tr2bl w:val="nil"/>
            </w:tcBorders>
            <w:noWrap w:val="0"/>
            <w:vAlign w:val="center"/>
          </w:tcPr>
          <w:p>
            <w:pPr>
              <w:pStyle w:val="28"/>
              <w:suppressLineNumbers w:val="0"/>
              <w:bidi w:val="0"/>
              <w:spacing w:before="0" w:after="0"/>
              <w:ind w:left="0" w:right="0"/>
            </w:pPr>
            <w:r>
              <w:t>（pH、</w:t>
            </w:r>
            <w:r>
              <w:rPr>
                <w:rFonts w:hint="eastAsia"/>
                <w:lang w:val="en-US" w:eastAsia="zh-CN"/>
              </w:rPr>
              <w:t>COD、SS、</w:t>
            </w:r>
            <w:r>
              <w:t>石油类</w:t>
            </w:r>
            <w:r>
              <w:rPr>
                <w:rFonts w:hint="eastAsia"/>
                <w:lang w:eastAsia="zh-CN"/>
              </w:rPr>
              <w:t>、</w:t>
            </w:r>
            <w:r>
              <w:t>氨氮、总磷、总氮</w:t>
            </w:r>
            <w:r>
              <w:rPr>
                <w:rFonts w:hint="eastAsia"/>
              </w:rPr>
              <w:t xml:space="preserve"> </w:t>
            </w:r>
            <w:r>
              <w:t>）</w:t>
            </w:r>
          </w:p>
        </w:tc>
        <w:tc>
          <w:tcPr>
            <w:tcW w:w="2385" w:type="dxa"/>
            <w:gridSpan w:val="3"/>
            <w:tcBorders>
              <w:tl2br w:val="nil"/>
              <w:tr2bl w:val="nil"/>
            </w:tcBorders>
            <w:noWrap w:val="0"/>
            <w:vAlign w:val="center"/>
          </w:tcPr>
          <w:p>
            <w:pPr>
              <w:pStyle w:val="28"/>
              <w:suppressLineNumbers w:val="0"/>
              <w:bidi w:val="0"/>
              <w:spacing w:before="0" w:after="0"/>
              <w:ind w:left="0" w:right="0"/>
            </w:pPr>
            <w:r>
              <w:t>监测断面或点位个数</w:t>
            </w:r>
          </w:p>
          <w:p>
            <w:pPr>
              <w:pStyle w:val="28"/>
              <w:suppressLineNumbers w:val="0"/>
              <w:bidi w:val="0"/>
              <w:spacing w:before="0" w:after="0"/>
              <w:ind w:left="0" w:right="0"/>
            </w:pPr>
            <w:r>
              <w:t>（</w:t>
            </w:r>
            <w:r>
              <w:rPr>
                <w:rFonts w:hint="eastAsia"/>
                <w:lang w:val="en-US" w:eastAsia="zh-CN"/>
              </w:rPr>
              <w:t>2</w:t>
            </w:r>
            <w:r>
              <w:rPr>
                <w:rFonts w:hint="eastAsia"/>
              </w:rPr>
              <w:t xml:space="preserve"> </w:t>
            </w:r>
            <w:r>
              <w:t xml:space="preserve">）个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现</w:t>
            </w:r>
          </w:p>
          <w:p>
            <w:pPr>
              <w:pStyle w:val="28"/>
              <w:suppressLineNumbers w:val="0"/>
              <w:bidi w:val="0"/>
              <w:spacing w:before="0" w:after="0"/>
              <w:ind w:left="0" w:right="0"/>
            </w:pPr>
            <w:r>
              <w:t>状</w:t>
            </w:r>
          </w:p>
          <w:p>
            <w:pPr>
              <w:pStyle w:val="28"/>
              <w:suppressLineNumbers w:val="0"/>
              <w:bidi w:val="0"/>
              <w:spacing w:before="0" w:after="0"/>
              <w:ind w:left="0" w:right="0"/>
            </w:pPr>
            <w:r>
              <w:t>评</w:t>
            </w:r>
          </w:p>
          <w:p>
            <w:pPr>
              <w:pStyle w:val="28"/>
              <w:suppressLineNumbers w:val="0"/>
              <w:bidi w:val="0"/>
              <w:spacing w:before="0" w:after="0"/>
              <w:ind w:left="0" w:right="0"/>
            </w:pPr>
            <w:r>
              <w:t>价</w:t>
            </w:r>
          </w:p>
        </w:tc>
        <w:tc>
          <w:tcPr>
            <w:tcW w:w="1724" w:type="dxa"/>
            <w:tcBorders>
              <w:tl2br w:val="nil"/>
              <w:tr2bl w:val="nil"/>
            </w:tcBorders>
            <w:noWrap w:val="0"/>
            <w:vAlign w:val="center"/>
          </w:tcPr>
          <w:p>
            <w:pPr>
              <w:pStyle w:val="28"/>
              <w:suppressLineNumbers w:val="0"/>
              <w:bidi w:val="0"/>
              <w:spacing w:before="0" w:after="0"/>
              <w:ind w:left="0" w:right="0"/>
            </w:pPr>
            <w:r>
              <w:t>评价范围</w:t>
            </w:r>
          </w:p>
        </w:tc>
        <w:tc>
          <w:tcPr>
            <w:tcW w:w="7023" w:type="dxa"/>
            <w:gridSpan w:val="12"/>
            <w:tcBorders>
              <w:tl2br w:val="nil"/>
              <w:tr2bl w:val="nil"/>
            </w:tcBorders>
            <w:noWrap w:val="0"/>
            <w:vAlign w:val="center"/>
          </w:tcPr>
          <w:p>
            <w:pPr>
              <w:pStyle w:val="28"/>
              <w:suppressLineNumbers w:val="0"/>
              <w:bidi w:val="0"/>
              <w:spacing w:before="0" w:after="0"/>
              <w:ind w:left="0" w:right="0"/>
            </w:pPr>
            <w:r>
              <w:t>河流：长度（</w:t>
            </w:r>
            <w:r>
              <w:rPr>
                <w:rFonts w:hint="eastAsia"/>
              </w:rPr>
              <w:t>3</w:t>
            </w:r>
            <w:r>
              <w:t>）km；湖库、河口及近岸海域：面积（/）km</w:t>
            </w:r>
            <w:r>
              <w:rPr>
                <w:vertAlign w:val="superscript"/>
              </w:rPr>
              <w:t xml:space="preserve">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评价因子</w:t>
            </w:r>
          </w:p>
        </w:tc>
        <w:tc>
          <w:tcPr>
            <w:tcW w:w="7023" w:type="dxa"/>
            <w:gridSpan w:val="12"/>
            <w:tcBorders>
              <w:tl2br w:val="nil"/>
              <w:tr2bl w:val="nil"/>
            </w:tcBorders>
            <w:noWrap w:val="0"/>
            <w:vAlign w:val="center"/>
          </w:tcPr>
          <w:p>
            <w:pPr>
              <w:pStyle w:val="28"/>
              <w:suppressLineNumbers w:val="0"/>
              <w:bidi w:val="0"/>
              <w:spacing w:before="0" w:after="0"/>
              <w:ind w:left="0" w:right="0"/>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评价标准</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河流、湖库、河口：Ⅰ类 □；Ⅱ类□；Ⅲ类 </w:t>
            </w:r>
            <w:r>
              <w:rPr>
                <w:rFonts w:hint="eastAsia"/>
                <w:lang w:eastAsia="zh-CN"/>
              </w:rPr>
              <w:t>☑</w:t>
            </w:r>
            <w:r>
              <w:t xml:space="preserve">；Ⅳ类 </w:t>
            </w:r>
            <w:r>
              <w:rPr>
                <w:rFonts w:hint="eastAsia"/>
                <w:lang w:eastAsia="zh-CN"/>
              </w:rPr>
              <w:t>☑</w:t>
            </w:r>
            <w:r>
              <w:t xml:space="preserve">；Ⅴ类 □ </w:t>
            </w:r>
          </w:p>
          <w:p>
            <w:pPr>
              <w:pStyle w:val="28"/>
              <w:suppressLineNumbers w:val="0"/>
              <w:bidi w:val="0"/>
              <w:spacing w:before="0" w:after="0"/>
              <w:ind w:left="0" w:right="0"/>
            </w:pPr>
            <w:r>
              <w:t xml:space="preserve">近岸海域：第一类 □；第二类 □；第三类 □；第四类□ </w:t>
            </w:r>
          </w:p>
          <w:p>
            <w:pPr>
              <w:pStyle w:val="28"/>
              <w:suppressLineNumbers w:val="0"/>
              <w:bidi w:val="0"/>
              <w:spacing w:before="0" w:after="0"/>
              <w:ind w:left="0" w:right="0"/>
            </w:pPr>
            <w:r>
              <w:t xml:space="preserve">规划年评价标准（/）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评价时期</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丰水期 □；平水期 □；枯水期 □；冰封期 □ </w:t>
            </w:r>
          </w:p>
          <w:p>
            <w:pPr>
              <w:pStyle w:val="28"/>
              <w:suppressLineNumbers w:val="0"/>
              <w:bidi w:val="0"/>
              <w:spacing w:before="0" w:after="0"/>
              <w:ind w:left="0" w:right="0"/>
            </w:pPr>
            <w:r>
              <w:t xml:space="preserve">春季 □；夏季 □；秋季 □；冬季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评价结论</w:t>
            </w:r>
          </w:p>
        </w:tc>
        <w:tc>
          <w:tcPr>
            <w:tcW w:w="5536" w:type="dxa"/>
            <w:gridSpan w:val="10"/>
            <w:tcBorders>
              <w:tl2br w:val="nil"/>
              <w:tr2bl w:val="nil"/>
            </w:tcBorders>
            <w:noWrap w:val="0"/>
            <w:vAlign w:val="center"/>
          </w:tcPr>
          <w:p>
            <w:pPr>
              <w:pStyle w:val="28"/>
              <w:suppressLineNumbers w:val="0"/>
              <w:bidi w:val="0"/>
              <w:spacing w:before="0" w:after="0"/>
              <w:ind w:left="0" w:right="0"/>
            </w:pPr>
            <w:r>
              <w:t>水环境功能区或水功能区、近岸海域环境功能区水质达标状况 ：达标 □；不达标 □</w:t>
            </w:r>
          </w:p>
          <w:p>
            <w:pPr>
              <w:pStyle w:val="28"/>
              <w:suppressLineNumbers w:val="0"/>
              <w:bidi w:val="0"/>
              <w:spacing w:before="0" w:after="0"/>
              <w:ind w:left="0" w:right="0"/>
            </w:pPr>
            <w:r>
              <w:t xml:space="preserve">水环境控制单元或断面水质达标状况 □：达标 □；不达标 </w:t>
            </w:r>
            <w:r>
              <w:rPr/>
              <w:sym w:font="Times New Roman" w:char="0000"/>
            </w:r>
            <w:r>
              <w:t xml:space="preserve">水环境保护目标质量状况 □：达标 □；不达标 □ </w:t>
            </w:r>
          </w:p>
          <w:p>
            <w:pPr>
              <w:pStyle w:val="28"/>
              <w:suppressLineNumbers w:val="0"/>
              <w:bidi w:val="0"/>
              <w:spacing w:before="0" w:after="0"/>
              <w:ind w:left="0" w:right="0"/>
              <w:rPr>
                <w:color w:val="auto"/>
              </w:rPr>
            </w:pPr>
            <w:r>
              <w:rPr>
                <w:color w:val="auto"/>
              </w:rPr>
              <w:t>对照断面、控制断面等代表性断面的水质状况 □：达标</w:t>
            </w:r>
            <w:r>
              <w:rPr>
                <w:rFonts w:hint="eastAsia"/>
                <w:color w:val="auto"/>
                <w:lang w:eastAsia="zh-CN"/>
              </w:rPr>
              <w:t>☑</w:t>
            </w:r>
            <w:r>
              <w:rPr>
                <w:color w:val="auto"/>
              </w:rPr>
              <w:t>；不达标□</w:t>
            </w:r>
          </w:p>
          <w:p>
            <w:pPr>
              <w:pStyle w:val="28"/>
              <w:suppressLineNumbers w:val="0"/>
              <w:bidi w:val="0"/>
              <w:spacing w:before="0" w:after="0"/>
              <w:ind w:left="0" w:right="0"/>
              <w:rPr>
                <w:color w:val="auto"/>
              </w:rPr>
            </w:pPr>
            <w:r>
              <w:rPr>
                <w:color w:val="auto"/>
              </w:rPr>
              <w:t xml:space="preserve">底泥污染评价 □ </w:t>
            </w:r>
          </w:p>
          <w:p>
            <w:pPr>
              <w:pStyle w:val="28"/>
              <w:suppressLineNumbers w:val="0"/>
              <w:bidi w:val="0"/>
              <w:spacing w:before="0" w:after="0"/>
              <w:ind w:left="0" w:right="0"/>
            </w:pPr>
            <w:r>
              <w:t xml:space="preserve">水资源与开发利用程度及其水文情势评价 □ </w:t>
            </w:r>
          </w:p>
          <w:p>
            <w:pPr>
              <w:pStyle w:val="28"/>
              <w:suppressLineNumbers w:val="0"/>
              <w:bidi w:val="0"/>
              <w:spacing w:before="0" w:after="0"/>
              <w:ind w:left="0" w:right="0"/>
            </w:pPr>
            <w:r>
              <w:t xml:space="preserve">水环境质量回顾评价 □ </w:t>
            </w:r>
          </w:p>
          <w:p>
            <w:pPr>
              <w:pStyle w:val="28"/>
              <w:suppressLineNumbers w:val="0"/>
              <w:bidi w:val="0"/>
              <w:spacing w:before="0" w:after="0"/>
              <w:ind w:left="0" w:right="0"/>
            </w:pPr>
            <w:r>
              <w:t>流域（区域）水资源（包括水能资源）与开发利用总体状况、生态流量管理要求与现状满足程度、建设项目占用水域空间的水流状况与河湖演变状况 □</w:t>
            </w:r>
          </w:p>
        </w:tc>
        <w:tc>
          <w:tcPr>
            <w:tcW w:w="1487" w:type="dxa"/>
            <w:gridSpan w:val="2"/>
            <w:tcBorders>
              <w:tl2br w:val="nil"/>
              <w:tr2bl w:val="nil"/>
            </w:tcBorders>
            <w:noWrap w:val="0"/>
            <w:vAlign w:val="center"/>
          </w:tcPr>
          <w:p>
            <w:pPr>
              <w:pStyle w:val="28"/>
              <w:suppressLineNumbers w:val="0"/>
              <w:bidi w:val="0"/>
              <w:spacing w:before="0" w:after="0"/>
              <w:ind w:left="0" w:right="0"/>
            </w:pPr>
            <w:r>
              <w:t xml:space="preserve">达标区 </w:t>
            </w:r>
            <w:r>
              <w:rPr/>
              <w:sym w:font="Times New Roman" w:char="0000"/>
            </w:r>
            <w:r>
              <w:t xml:space="preserve"> </w:t>
            </w:r>
          </w:p>
          <w:p>
            <w:pPr>
              <w:pStyle w:val="28"/>
              <w:suppressLineNumbers w:val="0"/>
              <w:bidi w:val="0"/>
              <w:spacing w:before="0" w:after="0"/>
              <w:ind w:left="0" w:right="0"/>
            </w:pPr>
            <w:r>
              <w:t>不达标区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影</w:t>
            </w:r>
          </w:p>
          <w:p>
            <w:pPr>
              <w:pStyle w:val="28"/>
              <w:suppressLineNumbers w:val="0"/>
              <w:bidi w:val="0"/>
              <w:spacing w:before="0" w:after="0"/>
              <w:ind w:left="0" w:right="0"/>
            </w:pPr>
            <w:r>
              <w:t>响</w:t>
            </w:r>
          </w:p>
          <w:p>
            <w:pPr>
              <w:pStyle w:val="28"/>
              <w:suppressLineNumbers w:val="0"/>
              <w:bidi w:val="0"/>
              <w:spacing w:before="0" w:after="0"/>
              <w:ind w:left="0" w:right="0"/>
            </w:pPr>
            <w:r>
              <w:t>预</w:t>
            </w:r>
          </w:p>
          <w:p>
            <w:pPr>
              <w:pStyle w:val="28"/>
              <w:suppressLineNumbers w:val="0"/>
              <w:bidi w:val="0"/>
              <w:spacing w:before="0" w:after="0"/>
              <w:ind w:left="0" w:right="0"/>
            </w:pPr>
            <w:r>
              <w:t>测</w:t>
            </w:r>
          </w:p>
        </w:tc>
        <w:tc>
          <w:tcPr>
            <w:tcW w:w="1724" w:type="dxa"/>
            <w:tcBorders>
              <w:tl2br w:val="nil"/>
              <w:tr2bl w:val="nil"/>
            </w:tcBorders>
            <w:noWrap w:val="0"/>
            <w:vAlign w:val="center"/>
          </w:tcPr>
          <w:p>
            <w:pPr>
              <w:pStyle w:val="28"/>
              <w:suppressLineNumbers w:val="0"/>
              <w:bidi w:val="0"/>
              <w:spacing w:before="0" w:after="0"/>
              <w:ind w:left="0" w:right="0"/>
            </w:pPr>
            <w:r>
              <w:t>预测范围</w:t>
            </w:r>
          </w:p>
        </w:tc>
        <w:tc>
          <w:tcPr>
            <w:tcW w:w="7023" w:type="dxa"/>
            <w:gridSpan w:val="12"/>
            <w:tcBorders>
              <w:tl2br w:val="nil"/>
              <w:tr2bl w:val="nil"/>
            </w:tcBorders>
            <w:noWrap w:val="0"/>
            <w:vAlign w:val="center"/>
          </w:tcPr>
          <w:p>
            <w:pPr>
              <w:pStyle w:val="28"/>
              <w:suppressLineNumbers w:val="0"/>
              <w:bidi w:val="0"/>
              <w:spacing w:before="0" w:after="0"/>
              <w:ind w:left="0" w:right="0"/>
            </w:pPr>
            <w:r>
              <w:t>河流：长度（/）km；湖库、河口及近岸海域：面积（/）km</w:t>
            </w:r>
            <w:r>
              <w:rPr>
                <w:vertAlign w:val="superscript"/>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预测因子</w:t>
            </w:r>
          </w:p>
        </w:tc>
        <w:tc>
          <w:tcPr>
            <w:tcW w:w="7023" w:type="dxa"/>
            <w:gridSpan w:val="12"/>
            <w:tcBorders>
              <w:tl2br w:val="nil"/>
              <w:tr2bl w:val="nil"/>
            </w:tcBorders>
            <w:noWrap w:val="0"/>
            <w:vAlign w:val="center"/>
          </w:tcPr>
          <w:p>
            <w:pPr>
              <w:pStyle w:val="28"/>
              <w:suppressLineNumbers w:val="0"/>
              <w:bidi w:val="0"/>
              <w:spacing w:before="0" w:after="0"/>
              <w:ind w:left="0" w:right="0"/>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预测时期</w:t>
            </w:r>
          </w:p>
        </w:tc>
        <w:tc>
          <w:tcPr>
            <w:tcW w:w="7023" w:type="dxa"/>
            <w:gridSpan w:val="12"/>
            <w:tcBorders>
              <w:tl2br w:val="nil"/>
              <w:tr2bl w:val="nil"/>
            </w:tcBorders>
            <w:noWrap w:val="0"/>
            <w:vAlign w:val="center"/>
          </w:tcPr>
          <w:p>
            <w:pPr>
              <w:pStyle w:val="28"/>
              <w:suppressLineNumbers w:val="0"/>
              <w:bidi w:val="0"/>
              <w:spacing w:before="0" w:after="0"/>
              <w:ind w:left="0" w:right="0"/>
            </w:pPr>
            <w:r>
              <w:t>丰水期 □；平水期 □；枯水期 □；冰封期 □</w:t>
            </w:r>
          </w:p>
          <w:p>
            <w:pPr>
              <w:pStyle w:val="28"/>
              <w:suppressLineNumbers w:val="0"/>
              <w:bidi w:val="0"/>
              <w:spacing w:before="0" w:after="0"/>
              <w:ind w:left="0" w:right="0"/>
            </w:pPr>
            <w:r>
              <w:t xml:space="preserve">春季 □；夏季 □；秋季 □；冬季 □ </w:t>
            </w:r>
          </w:p>
          <w:p>
            <w:pPr>
              <w:pStyle w:val="28"/>
              <w:suppressLineNumbers w:val="0"/>
              <w:bidi w:val="0"/>
              <w:spacing w:before="0" w:after="0"/>
              <w:ind w:left="0" w:right="0"/>
            </w:pPr>
            <w:r>
              <w:t>设计水文条件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预测情景</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建设期 □；生产运行期 □；服务期满后 □ </w:t>
            </w:r>
          </w:p>
          <w:p>
            <w:pPr>
              <w:pStyle w:val="28"/>
              <w:suppressLineNumbers w:val="0"/>
              <w:bidi w:val="0"/>
              <w:spacing w:before="0" w:after="0"/>
              <w:ind w:left="0" w:right="0"/>
            </w:pPr>
            <w:r>
              <w:t xml:space="preserve">正常工况 □；非正常工况 □ </w:t>
            </w:r>
          </w:p>
          <w:p>
            <w:pPr>
              <w:pStyle w:val="28"/>
              <w:suppressLineNumbers w:val="0"/>
              <w:bidi w:val="0"/>
              <w:spacing w:before="0" w:after="0"/>
              <w:ind w:left="0" w:right="0"/>
            </w:pPr>
            <w:r>
              <w:t xml:space="preserve">污染控制和减缓措施方案 □ </w:t>
            </w:r>
          </w:p>
          <w:p>
            <w:pPr>
              <w:pStyle w:val="28"/>
              <w:suppressLineNumbers w:val="0"/>
              <w:bidi w:val="0"/>
              <w:spacing w:before="0" w:after="0"/>
              <w:ind w:left="0" w:right="0"/>
            </w:pPr>
            <w:r>
              <w:t>区（流）域环境质量改善目标要求情景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预测方法</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数值解 □：解析解 □；其他 □ </w:t>
            </w:r>
          </w:p>
          <w:p>
            <w:pPr>
              <w:pStyle w:val="28"/>
              <w:suppressLineNumbers w:val="0"/>
              <w:bidi w:val="0"/>
              <w:spacing w:before="0" w:after="0"/>
              <w:ind w:left="0" w:right="0"/>
            </w:pPr>
            <w:r>
              <w:t>导则推荐模式 □：其他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影</w:t>
            </w:r>
          </w:p>
          <w:p>
            <w:pPr>
              <w:pStyle w:val="28"/>
              <w:suppressLineNumbers w:val="0"/>
              <w:bidi w:val="0"/>
              <w:spacing w:before="0" w:after="0"/>
              <w:ind w:left="0" w:right="0"/>
            </w:pPr>
            <w:r>
              <w:t>响</w:t>
            </w:r>
          </w:p>
          <w:p>
            <w:pPr>
              <w:pStyle w:val="28"/>
              <w:suppressLineNumbers w:val="0"/>
              <w:bidi w:val="0"/>
              <w:spacing w:before="0" w:after="0"/>
              <w:ind w:left="0" w:right="0"/>
            </w:pPr>
            <w:r>
              <w:t>评</w:t>
            </w:r>
          </w:p>
          <w:p>
            <w:pPr>
              <w:pStyle w:val="28"/>
              <w:suppressLineNumbers w:val="0"/>
              <w:bidi w:val="0"/>
              <w:spacing w:before="0" w:after="0"/>
              <w:ind w:left="0" w:right="0"/>
            </w:pPr>
            <w:r>
              <w:t>价</w:t>
            </w:r>
          </w:p>
        </w:tc>
        <w:tc>
          <w:tcPr>
            <w:tcW w:w="1724" w:type="dxa"/>
            <w:tcBorders>
              <w:tl2br w:val="nil"/>
              <w:tr2bl w:val="nil"/>
            </w:tcBorders>
            <w:noWrap w:val="0"/>
            <w:vAlign w:val="center"/>
          </w:tcPr>
          <w:p>
            <w:pPr>
              <w:pStyle w:val="28"/>
              <w:suppressLineNumbers w:val="0"/>
              <w:bidi w:val="0"/>
              <w:spacing w:before="0" w:after="0"/>
              <w:ind w:left="0" w:right="0"/>
            </w:pPr>
            <w:r>
              <w:t>水污染控制和水环境影响减缓措</w:t>
            </w:r>
          </w:p>
          <w:p>
            <w:pPr>
              <w:pStyle w:val="28"/>
              <w:suppressLineNumbers w:val="0"/>
              <w:bidi w:val="0"/>
              <w:spacing w:before="0" w:after="0"/>
              <w:ind w:left="0" w:right="0"/>
            </w:pPr>
            <w:r>
              <w:t>施有效性评价</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区（流）域水环境质量改善目标 □；替代削减源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水环境影响评价</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排放口混合区外满足水环境管理要求 □ </w:t>
            </w:r>
          </w:p>
          <w:p>
            <w:pPr>
              <w:pStyle w:val="28"/>
              <w:suppressLineNumbers w:val="0"/>
              <w:bidi w:val="0"/>
              <w:spacing w:before="0" w:after="0"/>
              <w:ind w:left="0" w:right="0"/>
            </w:pPr>
            <w:r>
              <w:t xml:space="preserve">水环境功能区或水功能区、近岸海域环境功能区水质达标 □ </w:t>
            </w:r>
          </w:p>
          <w:p>
            <w:pPr>
              <w:pStyle w:val="28"/>
              <w:suppressLineNumbers w:val="0"/>
              <w:bidi w:val="0"/>
              <w:spacing w:before="0" w:after="0"/>
              <w:ind w:left="0" w:right="0"/>
            </w:pPr>
            <w:r>
              <w:t xml:space="preserve">满足水环境保护目标水域水环境质量要求 □ </w:t>
            </w:r>
          </w:p>
          <w:p>
            <w:pPr>
              <w:pStyle w:val="28"/>
              <w:suppressLineNumbers w:val="0"/>
              <w:bidi w:val="0"/>
              <w:spacing w:before="0" w:after="0"/>
              <w:ind w:left="0" w:right="0"/>
            </w:pPr>
            <w:r>
              <w:t xml:space="preserve">水环境控制单元或断面水质达标 □ </w:t>
            </w:r>
          </w:p>
          <w:p>
            <w:pPr>
              <w:pStyle w:val="28"/>
              <w:suppressLineNumbers w:val="0"/>
              <w:bidi w:val="0"/>
              <w:spacing w:before="0" w:after="0"/>
              <w:ind w:left="0" w:right="0"/>
            </w:pPr>
            <w:r>
              <w:t xml:space="preserve">满足重点水污染物排放总量控制指标要求，重点行业建设项目， 主要污染物排放满足等量或减量替代要求 □ </w:t>
            </w:r>
          </w:p>
          <w:p>
            <w:pPr>
              <w:pStyle w:val="28"/>
              <w:suppressLineNumbers w:val="0"/>
              <w:bidi w:val="0"/>
              <w:spacing w:before="0" w:after="0"/>
              <w:ind w:left="0" w:right="0"/>
            </w:pPr>
            <w:r>
              <w:t xml:space="preserve">满足区（流）域水环境质量改善目标要求 □ </w:t>
            </w:r>
          </w:p>
          <w:p>
            <w:pPr>
              <w:pStyle w:val="28"/>
              <w:suppressLineNumbers w:val="0"/>
              <w:bidi w:val="0"/>
              <w:spacing w:before="0" w:after="0"/>
              <w:ind w:left="0" w:right="0"/>
            </w:pPr>
            <w:r>
              <w:t xml:space="preserve">水文要素影响型建设项目同时应包括水文情势变化评价、主要水文特征值影响评价、生态流量符合性评价 □ </w:t>
            </w:r>
          </w:p>
          <w:p>
            <w:pPr>
              <w:pStyle w:val="28"/>
              <w:suppressLineNumbers w:val="0"/>
              <w:bidi w:val="0"/>
              <w:spacing w:before="0" w:after="0"/>
              <w:ind w:left="0" w:right="0"/>
            </w:pPr>
            <w:r>
              <w:t xml:space="preserve">对于新设或调整入河（湖库、近岸海域）排放口的建设项目，应包括排放口设置的环境合理性评价 □ </w:t>
            </w:r>
          </w:p>
          <w:p>
            <w:pPr>
              <w:pStyle w:val="28"/>
              <w:suppressLineNumbers w:val="0"/>
              <w:bidi w:val="0"/>
              <w:spacing w:before="0" w:after="0"/>
              <w:ind w:left="0" w:right="0"/>
            </w:pPr>
            <w:r>
              <w:t>满足生态保护红线、水环境质量底线、资源利用上线和环境准入清单管理要求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污染源排放量核算</w:t>
            </w:r>
          </w:p>
        </w:tc>
        <w:tc>
          <w:tcPr>
            <w:tcW w:w="2260" w:type="dxa"/>
            <w:gridSpan w:val="4"/>
            <w:tcBorders>
              <w:tl2br w:val="nil"/>
              <w:tr2bl w:val="nil"/>
            </w:tcBorders>
            <w:noWrap w:val="0"/>
            <w:vAlign w:val="center"/>
          </w:tcPr>
          <w:p>
            <w:pPr>
              <w:pStyle w:val="28"/>
              <w:suppressLineNumbers w:val="0"/>
              <w:bidi w:val="0"/>
              <w:spacing w:before="0" w:after="0"/>
              <w:ind w:left="0" w:right="0"/>
            </w:pPr>
            <w:r>
              <w:t>污染物名称</w:t>
            </w:r>
          </w:p>
        </w:tc>
        <w:tc>
          <w:tcPr>
            <w:tcW w:w="2378" w:type="dxa"/>
            <w:gridSpan w:val="5"/>
            <w:tcBorders>
              <w:tl2br w:val="nil"/>
              <w:tr2bl w:val="nil"/>
            </w:tcBorders>
            <w:noWrap w:val="0"/>
            <w:vAlign w:val="center"/>
          </w:tcPr>
          <w:p>
            <w:pPr>
              <w:pStyle w:val="28"/>
              <w:suppressLineNumbers w:val="0"/>
              <w:bidi w:val="0"/>
              <w:spacing w:before="0" w:after="0"/>
              <w:ind w:left="0" w:right="0"/>
            </w:pPr>
            <w:r>
              <w:t>本项目排放量/（t/a）</w:t>
            </w:r>
          </w:p>
        </w:tc>
        <w:tc>
          <w:tcPr>
            <w:tcW w:w="2385" w:type="dxa"/>
            <w:gridSpan w:val="3"/>
            <w:tcBorders>
              <w:tl2br w:val="nil"/>
              <w:tr2bl w:val="nil"/>
            </w:tcBorders>
            <w:noWrap w:val="0"/>
            <w:vAlign w:val="center"/>
          </w:tcPr>
          <w:p>
            <w:pPr>
              <w:pStyle w:val="28"/>
              <w:suppressLineNumbers w:val="0"/>
              <w:bidi w:val="0"/>
              <w:spacing w:before="0" w:after="0"/>
              <w:ind w:left="0" w:right="0"/>
            </w:pPr>
            <w:r>
              <w:t>排放浓度/（mg/L）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废水量</w:t>
            </w:r>
          </w:p>
        </w:tc>
        <w:tc>
          <w:tcPr>
            <w:tcW w:w="2378" w:type="dxa"/>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1636.8</w:t>
            </w:r>
          </w:p>
        </w:tc>
        <w:tc>
          <w:tcPr>
            <w:tcW w:w="2385" w:type="dxa"/>
            <w:gridSpan w:val="3"/>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default"/>
                <w:lang w:val="en-US" w:eastAsia="zh-CN"/>
              </w:rPr>
              <w:t>COD</w:t>
            </w:r>
          </w:p>
        </w:tc>
        <w:tc>
          <w:tcPr>
            <w:tcW w:w="2378" w:type="dxa"/>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0.6547</w:t>
            </w:r>
          </w:p>
        </w:tc>
        <w:tc>
          <w:tcPr>
            <w:tcW w:w="2385" w:type="dxa"/>
            <w:gridSpan w:val="3"/>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SS</w:t>
            </w:r>
          </w:p>
        </w:tc>
        <w:tc>
          <w:tcPr>
            <w:tcW w:w="2378" w:type="dxa"/>
            <w:gridSpan w:val="5"/>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0.4911</w:t>
            </w:r>
          </w:p>
        </w:tc>
        <w:tc>
          <w:tcPr>
            <w:tcW w:w="2385" w:type="dxa"/>
            <w:gridSpan w:val="3"/>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default"/>
                <w:lang w:val="en-US" w:eastAsia="zh-CN"/>
              </w:rPr>
              <w:t>氨氮</w:t>
            </w:r>
          </w:p>
        </w:tc>
        <w:tc>
          <w:tcPr>
            <w:tcW w:w="2378" w:type="dxa"/>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0.0562</w:t>
            </w:r>
          </w:p>
        </w:tc>
        <w:tc>
          <w:tcPr>
            <w:tcW w:w="2385" w:type="dxa"/>
            <w:gridSpan w:val="3"/>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总氮</w:t>
            </w:r>
          </w:p>
        </w:tc>
        <w:tc>
          <w:tcPr>
            <w:tcW w:w="2378" w:type="dxa"/>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0.0797</w:t>
            </w:r>
          </w:p>
        </w:tc>
        <w:tc>
          <w:tcPr>
            <w:tcW w:w="2385" w:type="dxa"/>
            <w:gridSpan w:val="3"/>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总磷</w:t>
            </w:r>
          </w:p>
        </w:tc>
        <w:tc>
          <w:tcPr>
            <w:tcW w:w="2378" w:type="dxa"/>
            <w:gridSpan w:val="5"/>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0.0131</w:t>
            </w:r>
          </w:p>
        </w:tc>
        <w:tc>
          <w:tcPr>
            <w:tcW w:w="2385" w:type="dxa"/>
            <w:gridSpan w:val="3"/>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2260" w:type="dxa"/>
            <w:gridSpan w:val="4"/>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动植物油</w:t>
            </w:r>
          </w:p>
        </w:tc>
        <w:tc>
          <w:tcPr>
            <w:tcW w:w="2378" w:type="dxa"/>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0.0042</w:t>
            </w:r>
          </w:p>
        </w:tc>
        <w:tc>
          <w:tcPr>
            <w:tcW w:w="2385" w:type="dxa"/>
            <w:gridSpan w:val="3"/>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替代源排放情况</w:t>
            </w:r>
          </w:p>
        </w:tc>
        <w:tc>
          <w:tcPr>
            <w:tcW w:w="1307" w:type="dxa"/>
            <w:tcBorders>
              <w:tl2br w:val="nil"/>
              <w:tr2bl w:val="nil"/>
            </w:tcBorders>
            <w:noWrap w:val="0"/>
            <w:vAlign w:val="center"/>
          </w:tcPr>
          <w:p>
            <w:pPr>
              <w:pStyle w:val="28"/>
              <w:suppressLineNumbers w:val="0"/>
              <w:bidi w:val="0"/>
              <w:spacing w:before="0" w:after="0"/>
              <w:ind w:left="0" w:right="0"/>
            </w:pPr>
            <w:r>
              <w:t>污染源名称</w:t>
            </w:r>
          </w:p>
        </w:tc>
        <w:tc>
          <w:tcPr>
            <w:tcW w:w="1429" w:type="dxa"/>
            <w:gridSpan w:val="4"/>
            <w:tcBorders>
              <w:tl2br w:val="nil"/>
              <w:tr2bl w:val="nil"/>
            </w:tcBorders>
            <w:noWrap w:val="0"/>
            <w:vAlign w:val="center"/>
          </w:tcPr>
          <w:p>
            <w:pPr>
              <w:pStyle w:val="28"/>
              <w:suppressLineNumbers w:val="0"/>
              <w:bidi w:val="0"/>
              <w:spacing w:before="0" w:after="0"/>
              <w:ind w:left="0" w:right="0"/>
            </w:pPr>
            <w:r>
              <w:t>排污许可证编号</w:t>
            </w:r>
          </w:p>
        </w:tc>
        <w:tc>
          <w:tcPr>
            <w:tcW w:w="1428" w:type="dxa"/>
            <w:gridSpan w:val="2"/>
            <w:tcBorders>
              <w:tl2br w:val="nil"/>
              <w:tr2bl w:val="nil"/>
            </w:tcBorders>
            <w:noWrap w:val="0"/>
            <w:vAlign w:val="center"/>
          </w:tcPr>
          <w:p>
            <w:pPr>
              <w:pStyle w:val="28"/>
              <w:suppressLineNumbers w:val="0"/>
              <w:bidi w:val="0"/>
              <w:spacing w:before="0" w:after="0"/>
              <w:ind w:left="0" w:right="0"/>
            </w:pPr>
            <w:r>
              <w:t>污染物名称</w:t>
            </w:r>
          </w:p>
        </w:tc>
        <w:tc>
          <w:tcPr>
            <w:tcW w:w="1427" w:type="dxa"/>
            <w:gridSpan w:val="4"/>
            <w:tcBorders>
              <w:tl2br w:val="nil"/>
              <w:tr2bl w:val="nil"/>
            </w:tcBorders>
            <w:noWrap w:val="0"/>
            <w:vAlign w:val="center"/>
          </w:tcPr>
          <w:p>
            <w:pPr>
              <w:pStyle w:val="28"/>
              <w:suppressLineNumbers w:val="0"/>
              <w:bidi w:val="0"/>
              <w:spacing w:before="0" w:after="0"/>
              <w:ind w:left="0" w:right="0"/>
            </w:pPr>
            <w:r>
              <w:t>排放量/（t/a）</w:t>
            </w:r>
          </w:p>
        </w:tc>
        <w:tc>
          <w:tcPr>
            <w:tcW w:w="1432" w:type="dxa"/>
            <w:tcBorders>
              <w:tl2br w:val="nil"/>
              <w:tr2bl w:val="nil"/>
            </w:tcBorders>
            <w:noWrap w:val="0"/>
            <w:vAlign w:val="center"/>
          </w:tcPr>
          <w:p>
            <w:pPr>
              <w:pStyle w:val="28"/>
              <w:suppressLineNumbers w:val="0"/>
              <w:bidi w:val="0"/>
              <w:spacing w:before="0" w:after="0"/>
              <w:ind w:left="0" w:right="0"/>
            </w:pPr>
            <w:r>
              <w:t>排放浓度/（mg/L）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1307" w:type="dxa"/>
            <w:tcBorders>
              <w:tl2br w:val="nil"/>
              <w:tr2bl w:val="nil"/>
            </w:tcBorders>
            <w:noWrap w:val="0"/>
            <w:vAlign w:val="top"/>
          </w:tcPr>
          <w:p>
            <w:pPr>
              <w:pStyle w:val="28"/>
              <w:suppressLineNumbers w:val="0"/>
              <w:bidi w:val="0"/>
              <w:spacing w:before="0" w:after="0"/>
              <w:ind w:left="0" w:right="0"/>
            </w:pPr>
            <w:r>
              <w:t>（/）</w:t>
            </w:r>
          </w:p>
        </w:tc>
        <w:tc>
          <w:tcPr>
            <w:tcW w:w="1429" w:type="dxa"/>
            <w:gridSpan w:val="4"/>
            <w:tcBorders>
              <w:tl2br w:val="nil"/>
              <w:tr2bl w:val="nil"/>
            </w:tcBorders>
            <w:noWrap w:val="0"/>
            <w:vAlign w:val="top"/>
          </w:tcPr>
          <w:p>
            <w:pPr>
              <w:pStyle w:val="28"/>
              <w:suppressLineNumbers w:val="0"/>
              <w:bidi w:val="0"/>
              <w:spacing w:before="0" w:after="0"/>
              <w:ind w:left="0" w:right="0"/>
            </w:pPr>
            <w:r>
              <w:t>（/）</w:t>
            </w:r>
          </w:p>
        </w:tc>
        <w:tc>
          <w:tcPr>
            <w:tcW w:w="1428" w:type="dxa"/>
            <w:gridSpan w:val="2"/>
            <w:tcBorders>
              <w:tl2br w:val="nil"/>
              <w:tr2bl w:val="nil"/>
            </w:tcBorders>
            <w:noWrap w:val="0"/>
            <w:vAlign w:val="top"/>
          </w:tcPr>
          <w:p>
            <w:pPr>
              <w:pStyle w:val="28"/>
              <w:suppressLineNumbers w:val="0"/>
              <w:bidi w:val="0"/>
              <w:spacing w:before="0" w:after="0"/>
              <w:ind w:left="0" w:right="0"/>
            </w:pPr>
            <w:r>
              <w:t>（/）</w:t>
            </w:r>
          </w:p>
        </w:tc>
        <w:tc>
          <w:tcPr>
            <w:tcW w:w="1427" w:type="dxa"/>
            <w:gridSpan w:val="4"/>
            <w:tcBorders>
              <w:tl2br w:val="nil"/>
              <w:tr2bl w:val="nil"/>
            </w:tcBorders>
            <w:noWrap w:val="0"/>
            <w:vAlign w:val="top"/>
          </w:tcPr>
          <w:p>
            <w:pPr>
              <w:pStyle w:val="28"/>
              <w:suppressLineNumbers w:val="0"/>
              <w:bidi w:val="0"/>
              <w:spacing w:before="0" w:after="0"/>
              <w:ind w:left="0" w:right="0"/>
            </w:pPr>
            <w:r>
              <w:t>（/）</w:t>
            </w:r>
          </w:p>
        </w:tc>
        <w:tc>
          <w:tcPr>
            <w:tcW w:w="1432" w:type="dxa"/>
            <w:tcBorders>
              <w:tl2br w:val="nil"/>
              <w:tr2bl w:val="nil"/>
            </w:tcBorders>
            <w:noWrap w:val="0"/>
            <w:vAlign w:val="top"/>
          </w:tcPr>
          <w:p>
            <w:pPr>
              <w:pStyle w:val="28"/>
              <w:suppressLineNumbers w:val="0"/>
              <w:bidi w:val="0"/>
              <w:spacing w:before="0" w:after="0"/>
              <w:ind w:left="0" w:right="0"/>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生态流量确定</w:t>
            </w:r>
          </w:p>
        </w:tc>
        <w:tc>
          <w:tcPr>
            <w:tcW w:w="7023" w:type="dxa"/>
            <w:gridSpan w:val="12"/>
            <w:tcBorders>
              <w:tl2br w:val="nil"/>
              <w:tr2bl w:val="nil"/>
            </w:tcBorders>
            <w:noWrap w:val="0"/>
            <w:vAlign w:val="center"/>
          </w:tcPr>
          <w:p>
            <w:pPr>
              <w:pStyle w:val="28"/>
              <w:suppressLineNumbers w:val="0"/>
              <w:bidi w:val="0"/>
              <w:spacing w:before="0" w:after="0"/>
              <w:ind w:left="0" w:right="0"/>
            </w:pPr>
            <w:r>
              <w:t>生态流量：一般水期（ ）m</w:t>
            </w:r>
            <w:r>
              <w:rPr>
                <w:vertAlign w:val="superscript"/>
              </w:rPr>
              <w:t>3</w:t>
            </w:r>
            <w:r>
              <w:t>/s；鱼类繁殖期（ ）m</w:t>
            </w:r>
            <w:r>
              <w:rPr>
                <w:vertAlign w:val="superscript"/>
              </w:rPr>
              <w:t>3</w:t>
            </w:r>
            <w:r>
              <w:t xml:space="preserve">/s；其他（ ）m3/s </w:t>
            </w:r>
          </w:p>
          <w:p>
            <w:pPr>
              <w:pStyle w:val="28"/>
              <w:suppressLineNumbers w:val="0"/>
              <w:bidi w:val="0"/>
              <w:spacing w:before="0" w:after="0"/>
              <w:ind w:left="0" w:right="0"/>
            </w:pPr>
            <w:r>
              <w:t>生态水位：一般水期（ ）m；鱼类繁殖期（ ）m；其他（ ）m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restart"/>
            <w:tcBorders>
              <w:tl2br w:val="nil"/>
              <w:tr2bl w:val="nil"/>
            </w:tcBorders>
            <w:noWrap w:val="0"/>
            <w:vAlign w:val="center"/>
          </w:tcPr>
          <w:p>
            <w:pPr>
              <w:pStyle w:val="28"/>
              <w:suppressLineNumbers w:val="0"/>
              <w:bidi w:val="0"/>
              <w:spacing w:before="0" w:after="0"/>
              <w:ind w:left="0" w:right="0"/>
            </w:pPr>
            <w:r>
              <w:t>防</w:t>
            </w:r>
          </w:p>
          <w:p>
            <w:pPr>
              <w:pStyle w:val="28"/>
              <w:suppressLineNumbers w:val="0"/>
              <w:bidi w:val="0"/>
              <w:spacing w:before="0" w:after="0"/>
              <w:ind w:left="0" w:right="0"/>
            </w:pPr>
            <w:r>
              <w:t>治</w:t>
            </w:r>
          </w:p>
          <w:p>
            <w:pPr>
              <w:pStyle w:val="28"/>
              <w:suppressLineNumbers w:val="0"/>
              <w:bidi w:val="0"/>
              <w:spacing w:before="0" w:after="0"/>
              <w:ind w:left="0" w:right="0"/>
            </w:pPr>
            <w:r>
              <w:t>措</w:t>
            </w:r>
          </w:p>
          <w:p>
            <w:pPr>
              <w:pStyle w:val="28"/>
              <w:suppressLineNumbers w:val="0"/>
              <w:bidi w:val="0"/>
              <w:spacing w:before="0" w:after="0"/>
              <w:ind w:left="0" w:right="0"/>
            </w:pPr>
            <w:r>
              <w:t>施</w:t>
            </w:r>
          </w:p>
        </w:tc>
        <w:tc>
          <w:tcPr>
            <w:tcW w:w="1724" w:type="dxa"/>
            <w:tcBorders>
              <w:tl2br w:val="nil"/>
              <w:tr2bl w:val="nil"/>
            </w:tcBorders>
            <w:noWrap w:val="0"/>
            <w:vAlign w:val="center"/>
          </w:tcPr>
          <w:p>
            <w:pPr>
              <w:pStyle w:val="28"/>
              <w:suppressLineNumbers w:val="0"/>
              <w:bidi w:val="0"/>
              <w:spacing w:before="0" w:after="0"/>
              <w:ind w:left="0" w:right="0"/>
            </w:pPr>
            <w:r>
              <w:t>环保措施</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污水处理设施 </w:t>
            </w:r>
            <w:r>
              <w:rPr>
                <w:rFonts w:hint="eastAsia"/>
                <w:lang w:eastAsia="zh-CN"/>
              </w:rPr>
              <w:t>☑</w:t>
            </w:r>
            <w:r>
              <w:t xml:space="preserve">；水文减缓设施 □；生态流量保障设施 □；区域削减 □；依托其他工程措施  □ ；其他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restart"/>
            <w:tcBorders>
              <w:tl2br w:val="nil"/>
              <w:tr2bl w:val="nil"/>
            </w:tcBorders>
            <w:noWrap w:val="0"/>
            <w:vAlign w:val="center"/>
          </w:tcPr>
          <w:p>
            <w:pPr>
              <w:pStyle w:val="28"/>
              <w:suppressLineNumbers w:val="0"/>
              <w:bidi w:val="0"/>
              <w:spacing w:before="0" w:after="0"/>
              <w:ind w:left="0" w:right="0"/>
            </w:pPr>
            <w:r>
              <w:t>监测计划</w:t>
            </w:r>
          </w:p>
        </w:tc>
        <w:tc>
          <w:tcPr>
            <w:tcW w:w="1722" w:type="dxa"/>
            <w:gridSpan w:val="3"/>
            <w:tcBorders>
              <w:tl2br w:val="nil"/>
              <w:tr2bl w:val="nil"/>
            </w:tcBorders>
            <w:noWrap w:val="0"/>
            <w:vAlign w:val="center"/>
          </w:tcPr>
          <w:p>
            <w:pPr>
              <w:pStyle w:val="28"/>
              <w:suppressLineNumbers w:val="0"/>
              <w:bidi w:val="0"/>
              <w:spacing w:before="0" w:after="0"/>
              <w:ind w:left="0" w:right="0"/>
              <w:outlineLvl w:val="9"/>
            </w:pPr>
          </w:p>
        </w:tc>
        <w:tc>
          <w:tcPr>
            <w:tcW w:w="2649" w:type="dxa"/>
            <w:gridSpan w:val="5"/>
            <w:tcBorders>
              <w:tl2br w:val="nil"/>
              <w:tr2bl w:val="nil"/>
            </w:tcBorders>
            <w:noWrap w:val="0"/>
            <w:vAlign w:val="center"/>
          </w:tcPr>
          <w:p>
            <w:pPr>
              <w:pStyle w:val="28"/>
              <w:suppressLineNumbers w:val="0"/>
              <w:bidi w:val="0"/>
              <w:spacing w:before="0" w:after="0"/>
              <w:ind w:left="0" w:right="0"/>
            </w:pPr>
            <w:r>
              <w:t>环境质量</w:t>
            </w:r>
          </w:p>
        </w:tc>
        <w:tc>
          <w:tcPr>
            <w:tcW w:w="2652" w:type="dxa"/>
            <w:gridSpan w:val="4"/>
            <w:tcBorders>
              <w:tl2br w:val="nil"/>
              <w:tr2bl w:val="nil"/>
            </w:tcBorders>
            <w:noWrap w:val="0"/>
            <w:vAlign w:val="center"/>
          </w:tcPr>
          <w:p>
            <w:pPr>
              <w:pStyle w:val="28"/>
              <w:suppressLineNumbers w:val="0"/>
              <w:bidi w:val="0"/>
              <w:spacing w:before="0" w:after="0"/>
              <w:ind w:left="0" w:right="0"/>
            </w:pPr>
            <w:r>
              <w:t>污染源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2" w:type="dxa"/>
            <w:gridSpan w:val="3"/>
            <w:tcBorders>
              <w:tl2br w:val="nil"/>
              <w:tr2bl w:val="nil"/>
            </w:tcBorders>
            <w:noWrap w:val="0"/>
            <w:vAlign w:val="center"/>
          </w:tcPr>
          <w:p>
            <w:pPr>
              <w:pStyle w:val="28"/>
              <w:suppressLineNumbers w:val="0"/>
              <w:bidi w:val="0"/>
              <w:spacing w:before="0" w:after="0"/>
              <w:ind w:left="0" w:right="0"/>
            </w:pPr>
            <w:r>
              <w:t>监测方式</w:t>
            </w:r>
          </w:p>
        </w:tc>
        <w:tc>
          <w:tcPr>
            <w:tcW w:w="2649" w:type="dxa"/>
            <w:gridSpan w:val="5"/>
            <w:tcBorders>
              <w:tl2br w:val="nil"/>
              <w:tr2bl w:val="nil"/>
            </w:tcBorders>
            <w:noWrap w:val="0"/>
            <w:vAlign w:val="center"/>
          </w:tcPr>
          <w:p>
            <w:pPr>
              <w:pStyle w:val="28"/>
              <w:suppressLineNumbers w:val="0"/>
              <w:bidi w:val="0"/>
              <w:spacing w:before="0" w:after="0"/>
              <w:ind w:left="0" w:right="0"/>
            </w:pPr>
            <w:r>
              <w:t>手动□；自动 □；无监测 □</w:t>
            </w:r>
          </w:p>
        </w:tc>
        <w:tc>
          <w:tcPr>
            <w:tcW w:w="2652" w:type="dxa"/>
            <w:gridSpan w:val="4"/>
            <w:tcBorders>
              <w:tl2br w:val="nil"/>
              <w:tr2bl w:val="nil"/>
            </w:tcBorders>
            <w:noWrap w:val="0"/>
            <w:vAlign w:val="center"/>
          </w:tcPr>
          <w:p>
            <w:pPr>
              <w:pStyle w:val="28"/>
              <w:suppressLineNumbers w:val="0"/>
              <w:bidi w:val="0"/>
              <w:spacing w:before="0" w:after="0"/>
              <w:ind w:left="0" w:right="0"/>
            </w:pPr>
            <w:r>
              <w:t>手动□；自动 □；无监测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2" w:type="dxa"/>
            <w:gridSpan w:val="3"/>
            <w:tcBorders>
              <w:tl2br w:val="nil"/>
              <w:tr2bl w:val="nil"/>
            </w:tcBorders>
            <w:noWrap w:val="0"/>
            <w:vAlign w:val="center"/>
          </w:tcPr>
          <w:p>
            <w:pPr>
              <w:pStyle w:val="28"/>
              <w:suppressLineNumbers w:val="0"/>
              <w:bidi w:val="0"/>
              <w:spacing w:before="0" w:after="0"/>
              <w:ind w:left="0" w:right="0"/>
            </w:pPr>
            <w:r>
              <w:t>监测点位</w:t>
            </w:r>
          </w:p>
        </w:tc>
        <w:tc>
          <w:tcPr>
            <w:tcW w:w="2649" w:type="dxa"/>
            <w:gridSpan w:val="5"/>
            <w:tcBorders>
              <w:tl2br w:val="nil"/>
              <w:tr2bl w:val="nil"/>
            </w:tcBorders>
            <w:noWrap w:val="0"/>
            <w:vAlign w:val="center"/>
          </w:tcPr>
          <w:p>
            <w:pPr>
              <w:pStyle w:val="28"/>
              <w:suppressLineNumbers w:val="0"/>
              <w:bidi w:val="0"/>
              <w:spacing w:before="0" w:after="0"/>
              <w:ind w:left="0" w:right="0"/>
            </w:pPr>
            <w:r>
              <w:t>（</w:t>
            </w:r>
            <w:r>
              <w:rPr>
                <w:rFonts w:hint="eastAsia"/>
              </w:rPr>
              <w:t>/</w:t>
            </w:r>
            <w:r>
              <w:t>）</w:t>
            </w:r>
          </w:p>
        </w:tc>
        <w:tc>
          <w:tcPr>
            <w:tcW w:w="2652" w:type="dxa"/>
            <w:gridSpan w:val="4"/>
            <w:tcBorders>
              <w:tl2br w:val="nil"/>
              <w:tr2bl w:val="nil"/>
            </w:tcBorders>
            <w:noWrap w:val="0"/>
            <w:vAlign w:val="center"/>
          </w:tcPr>
          <w:p>
            <w:pPr>
              <w:pStyle w:val="28"/>
              <w:suppressLineNumbers w:val="0"/>
              <w:bidi w:val="0"/>
              <w:spacing w:before="0" w:after="0"/>
              <w:ind w:left="0" w:right="0"/>
            </w:pPr>
            <w:r>
              <w:t>（</w:t>
            </w:r>
            <w:r>
              <w:rPr>
                <w:rFonts w:hint="eastAsia"/>
              </w:rPr>
              <w:t>/</w:t>
            </w: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2" w:type="dxa"/>
            <w:gridSpan w:val="3"/>
            <w:tcBorders>
              <w:tl2br w:val="nil"/>
              <w:tr2bl w:val="nil"/>
            </w:tcBorders>
            <w:noWrap w:val="0"/>
            <w:vAlign w:val="center"/>
          </w:tcPr>
          <w:p>
            <w:pPr>
              <w:pStyle w:val="28"/>
              <w:suppressLineNumbers w:val="0"/>
              <w:bidi w:val="0"/>
              <w:spacing w:before="0" w:after="0"/>
              <w:ind w:left="0" w:right="0"/>
            </w:pPr>
            <w:r>
              <w:t>监测因子</w:t>
            </w:r>
          </w:p>
        </w:tc>
        <w:tc>
          <w:tcPr>
            <w:tcW w:w="2649" w:type="dxa"/>
            <w:gridSpan w:val="5"/>
            <w:tcBorders>
              <w:tl2br w:val="nil"/>
              <w:tr2bl w:val="nil"/>
            </w:tcBorders>
            <w:noWrap w:val="0"/>
            <w:vAlign w:val="center"/>
          </w:tcPr>
          <w:p>
            <w:pPr>
              <w:pStyle w:val="28"/>
              <w:suppressLineNumbers w:val="0"/>
              <w:bidi w:val="0"/>
              <w:spacing w:before="0" w:after="0"/>
              <w:ind w:left="0" w:right="0"/>
            </w:pPr>
            <w:r>
              <w:t>（</w:t>
            </w:r>
            <w:r>
              <w:rPr>
                <w:rFonts w:hint="eastAsia"/>
              </w:rPr>
              <w:t>/</w:t>
            </w:r>
            <w:r>
              <w:t>）</w:t>
            </w:r>
          </w:p>
        </w:tc>
        <w:tc>
          <w:tcPr>
            <w:tcW w:w="2652" w:type="dxa"/>
            <w:gridSpan w:val="4"/>
            <w:tcBorders>
              <w:tl2br w:val="nil"/>
              <w:tr2bl w:val="nil"/>
            </w:tcBorders>
            <w:noWrap w:val="0"/>
            <w:vAlign w:val="center"/>
          </w:tcPr>
          <w:p>
            <w:pPr>
              <w:pStyle w:val="28"/>
              <w:suppressLineNumbers w:val="0"/>
              <w:bidi w:val="0"/>
              <w:spacing w:before="0" w:after="0"/>
              <w:ind w:left="0" w:right="0"/>
            </w:pPr>
            <w:r>
              <w:t>（</w:t>
            </w:r>
            <w:r>
              <w:rPr>
                <w:rFonts w:hint="eastAsia"/>
              </w:rPr>
              <w:t>/</w:t>
            </w: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97" w:type="dxa"/>
            <w:vMerge w:val="continue"/>
            <w:tcBorders>
              <w:tl2br w:val="nil"/>
              <w:tr2bl w:val="nil"/>
            </w:tcBorders>
            <w:noWrap w:val="0"/>
            <w:vAlign w:val="center"/>
          </w:tcPr>
          <w:p>
            <w:pPr>
              <w:pStyle w:val="28"/>
              <w:suppressLineNumbers w:val="0"/>
              <w:bidi w:val="0"/>
              <w:spacing w:before="0" w:after="0"/>
              <w:ind w:left="0" w:right="0"/>
              <w:outlineLvl w:val="9"/>
            </w:pPr>
          </w:p>
        </w:tc>
        <w:tc>
          <w:tcPr>
            <w:tcW w:w="1724" w:type="dxa"/>
            <w:tcBorders>
              <w:tl2br w:val="nil"/>
              <w:tr2bl w:val="nil"/>
            </w:tcBorders>
            <w:noWrap w:val="0"/>
            <w:vAlign w:val="center"/>
          </w:tcPr>
          <w:p>
            <w:pPr>
              <w:pStyle w:val="28"/>
              <w:suppressLineNumbers w:val="0"/>
              <w:bidi w:val="0"/>
              <w:spacing w:before="0" w:after="0"/>
              <w:ind w:left="0" w:right="0"/>
            </w:pPr>
            <w:r>
              <w:t>污染物排放清单</w:t>
            </w:r>
          </w:p>
        </w:tc>
        <w:tc>
          <w:tcPr>
            <w:tcW w:w="7023" w:type="dxa"/>
            <w:gridSpan w:val="12"/>
            <w:tcBorders>
              <w:tl2br w:val="nil"/>
              <w:tr2bl w:val="nil"/>
            </w:tcBorders>
            <w:noWrap w:val="0"/>
            <w:vAlign w:val="center"/>
          </w:tcPr>
          <w:p>
            <w:pPr>
              <w:pStyle w:val="28"/>
              <w:suppressLineNumbers w:val="0"/>
              <w:bidi w:val="0"/>
              <w:spacing w:before="0" w:after="0"/>
              <w:ind w:left="0" w:right="0"/>
            </w:pPr>
            <w:r>
              <w:rPr/>
              <w:sym w:font="Times New Roman" w:char="0000"/>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721" w:type="dxa"/>
            <w:gridSpan w:val="2"/>
            <w:tcBorders>
              <w:tl2br w:val="nil"/>
              <w:tr2bl w:val="nil"/>
            </w:tcBorders>
            <w:noWrap w:val="0"/>
            <w:vAlign w:val="center"/>
          </w:tcPr>
          <w:p>
            <w:pPr>
              <w:pStyle w:val="28"/>
              <w:suppressLineNumbers w:val="0"/>
              <w:bidi w:val="0"/>
              <w:spacing w:before="0" w:after="0"/>
              <w:ind w:left="0" w:right="0"/>
            </w:pPr>
            <w:r>
              <w:t>评价结论</w:t>
            </w:r>
          </w:p>
        </w:tc>
        <w:tc>
          <w:tcPr>
            <w:tcW w:w="7023" w:type="dxa"/>
            <w:gridSpan w:val="12"/>
            <w:tcBorders>
              <w:tl2br w:val="nil"/>
              <w:tr2bl w:val="nil"/>
            </w:tcBorders>
            <w:noWrap w:val="0"/>
            <w:vAlign w:val="center"/>
          </w:tcPr>
          <w:p>
            <w:pPr>
              <w:pStyle w:val="28"/>
              <w:suppressLineNumbers w:val="0"/>
              <w:bidi w:val="0"/>
              <w:spacing w:before="0" w:after="0"/>
              <w:ind w:left="0" w:right="0"/>
            </w:pPr>
            <w:r>
              <w:t xml:space="preserve">可以接受 </w:t>
            </w:r>
            <w:r>
              <w:rPr>
                <w:rFonts w:hint="eastAsia"/>
                <w:lang w:eastAsia="zh-CN"/>
              </w:rPr>
              <w:t>☑</w:t>
            </w:r>
            <w:r>
              <w:t>；不可以接受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744" w:type="dxa"/>
            <w:gridSpan w:val="14"/>
            <w:tcBorders>
              <w:tl2br w:val="nil"/>
              <w:tr2bl w:val="nil"/>
            </w:tcBorders>
            <w:noWrap w:val="0"/>
            <w:vAlign w:val="center"/>
          </w:tcPr>
          <w:p>
            <w:pPr>
              <w:pStyle w:val="28"/>
              <w:suppressLineNumbers w:val="0"/>
              <w:bidi w:val="0"/>
              <w:spacing w:before="0" w:after="0"/>
              <w:ind w:left="0" w:right="0"/>
            </w:pPr>
            <w:r>
              <w:t xml:space="preserve">注：“□”为勾选项，可√；“（ ）”为内容填写项；“备注”为其他补充内容。 </w:t>
            </w:r>
          </w:p>
        </w:tc>
      </w:tr>
    </w:tbl>
    <w:p>
      <w:pPr>
        <w:pStyle w:val="4"/>
        <w:bidi w:val="0"/>
        <w:rPr>
          <w:rFonts w:hint="default"/>
          <w:lang w:val="en-US" w:eastAsia="zh-CN"/>
        </w:rPr>
      </w:pPr>
      <w:bookmarkStart w:id="68" w:name="_Toc18923"/>
      <w:r>
        <w:rPr>
          <w:rFonts w:hint="eastAsia"/>
          <w:lang w:val="en-US" w:eastAsia="zh-CN"/>
        </w:rPr>
        <w:t>5.3 噪声环境影响预测与评价</w:t>
      </w:r>
      <w:bookmarkEnd w:id="68"/>
    </w:p>
    <w:p>
      <w:pPr>
        <w:pStyle w:val="5"/>
        <w:bidi w:val="0"/>
      </w:pPr>
      <w:r>
        <w:rPr>
          <w:rFonts w:hint="eastAsia"/>
          <w:lang w:val="en-US" w:eastAsia="zh-CN"/>
        </w:rPr>
        <w:t>5.3.1</w:t>
      </w:r>
      <w:r>
        <w:t>噪声源情况</w:t>
      </w:r>
    </w:p>
    <w:p>
      <w:pPr>
        <w:bidi w:val="0"/>
      </w:pPr>
      <w:r>
        <w:t>项目建成后主要噪声源为</w:t>
      </w:r>
      <w:r>
        <w:rPr>
          <w:rFonts w:hint="eastAsia"/>
          <w:lang w:eastAsia="zh-CN"/>
        </w:rPr>
        <w:t>埋弧电煅炉</w:t>
      </w:r>
      <w:r>
        <w:t>风机、破碎机、泵类、冷却塔等，噪声源强约80-90dB(A)，项目噪声源详见表</w:t>
      </w:r>
      <w:r>
        <w:rPr>
          <w:rFonts w:hint="eastAsia"/>
          <w:lang w:val="en-US" w:eastAsia="zh-CN"/>
        </w:rPr>
        <w:t>3.3.3-5</w:t>
      </w:r>
      <w:r>
        <w:t>。</w:t>
      </w:r>
    </w:p>
    <w:p>
      <w:pPr>
        <w:pStyle w:val="5"/>
        <w:bidi w:val="0"/>
      </w:pPr>
      <w:r>
        <w:rPr>
          <w:rFonts w:hint="eastAsia"/>
          <w:lang w:val="en-US" w:eastAsia="zh-CN"/>
        </w:rPr>
        <w:t>5.3.2</w:t>
      </w:r>
      <w:r>
        <w:t xml:space="preserve"> 声环境质量预测及评价</w:t>
      </w:r>
    </w:p>
    <w:p>
      <w:pPr>
        <w:bidi w:val="0"/>
      </w:pPr>
      <w:r>
        <w:rPr>
          <w:rFonts w:hint="eastAsia"/>
        </w:rPr>
        <w:t>⑴</w:t>
      </w:r>
      <w:r>
        <w:t xml:space="preserve"> 预测模式</w:t>
      </w:r>
    </w:p>
    <w:p>
      <w:pPr>
        <w:bidi w:val="0"/>
      </w:pPr>
      <w:r>
        <w:t>选用《环境影响评价技术导则--声环境》（HJ2.4–2009）中的工业噪声预测模式。根据声环境评价导则的规定，选用预测模式，应用过程中将根据具体情况作必要简化。</w:t>
      </w:r>
    </w:p>
    <w:p>
      <w:pPr>
        <w:bidi w:val="0"/>
      </w:pPr>
      <w:bookmarkStart w:id="69" w:name="_Toc121276313"/>
      <w:bookmarkStart w:id="70" w:name="_Toc130625294"/>
      <w:r>
        <w:rPr>
          <w:rFonts w:hint="eastAsia"/>
        </w:rPr>
        <w:t>①</w:t>
      </w:r>
      <w:bookmarkEnd w:id="69"/>
      <w:bookmarkEnd w:id="70"/>
      <w:r>
        <w:t xml:space="preserve"> 室外点声源在预测点的倍频带声压级</w:t>
      </w:r>
    </w:p>
    <w:p>
      <w:pPr>
        <w:bidi w:val="0"/>
      </w:pPr>
      <w:r>
        <w:t>a. 某个点源在预测点的倍频带声压级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2147570" cy="224155"/>
            <wp:effectExtent l="0" t="0" r="5080" b="444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9"/>
                    <a:stretch>
                      <a:fillRect/>
                    </a:stretch>
                  </pic:blipFill>
                  <pic:spPr>
                    <a:xfrm>
                      <a:off x="0" y="0"/>
                      <a:ext cx="2147570" cy="224155"/>
                    </a:xfrm>
                    <a:prstGeom prst="rect">
                      <a:avLst/>
                    </a:prstGeom>
                    <a:noFill/>
                    <a:ln>
                      <a:noFill/>
                    </a:ln>
                  </pic:spPr>
                </pic:pic>
              </a:graphicData>
            </a:graphic>
          </wp:inline>
        </w:drawing>
      </w:r>
    </w:p>
    <w:p>
      <w:pPr>
        <w:bidi w:val="0"/>
      </w:pPr>
      <w:r>
        <w:t>式中：L</w:t>
      </w:r>
      <w:r>
        <w:rPr>
          <w:vertAlign w:val="subscript"/>
        </w:rPr>
        <w:t>oct（r）</w:t>
      </w:r>
      <w:r>
        <w:t>——点声源在预测点产生的倍频带声压级；</w:t>
      </w:r>
    </w:p>
    <w:p>
      <w:pPr>
        <w:bidi w:val="0"/>
      </w:pPr>
      <w:r>
        <w:t xml:space="preserve">      L</w:t>
      </w:r>
      <w:r>
        <w:rPr>
          <w:vertAlign w:val="subscript"/>
        </w:rPr>
        <w:t>oct（r0）</w:t>
      </w:r>
      <w:r>
        <w:t>——参考位置r</w:t>
      </w:r>
      <w:r>
        <w:rPr>
          <w:vertAlign w:val="subscript"/>
        </w:rPr>
        <w:t>0</w:t>
      </w:r>
      <w:r>
        <w:t>处的倍频带声压级；</w:t>
      </w:r>
    </w:p>
    <w:p>
      <w:pPr>
        <w:bidi w:val="0"/>
      </w:pPr>
      <w:r>
        <w:t xml:space="preserve">      r——预测点距声源的距离，m；</w:t>
      </w:r>
    </w:p>
    <w:p>
      <w:pPr>
        <w:bidi w:val="0"/>
      </w:pPr>
      <w:r>
        <w:t xml:space="preserve">      r</w:t>
      </w:r>
      <w:r>
        <w:rPr>
          <w:vertAlign w:val="subscript"/>
        </w:rPr>
        <w:t>0</w:t>
      </w:r>
      <w:r>
        <w:t>——参考位置距声源的距离，m；</w:t>
      </w:r>
    </w:p>
    <w:p>
      <w:pPr>
        <w:bidi w:val="0"/>
      </w:pPr>
      <w:r>
        <w:t xml:space="preserve">     ΔL</w:t>
      </w:r>
      <w:r>
        <w:rPr>
          <w:vertAlign w:val="subscript"/>
        </w:rPr>
        <w:t>oct</w:t>
      </w:r>
      <w:r>
        <w:t>——各种因素引起的衰减量，包括声屏障、空气吸收和地面效应引起的衰减，其计算方式分别为：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t>Aoct bar=</w:t>
      </w:r>
      <w:r>
        <w:rPr>
          <w:position w:val="-32"/>
          <w:szCs w:val="28"/>
        </w:rPr>
        <w:object>
          <v:shape id="_x0000_i1041" o:spt="75" type="#_x0000_t75" style="height:36pt;width:193.45pt;" o:ole="t" fillcolor="#6D6D6D" filled="f" o:preferrelative="t" stroked="f" coordsize="21600,21600">
            <v:path/>
            <v:fill on="f" focussize="0,0"/>
            <v:stroke on="f"/>
            <v:imagedata r:id="rId31" o:title=""/>
            <o:lock v:ext="edit" aspectratio="t"/>
            <w10:wrap type="none"/>
            <w10:anchorlock/>
          </v:shape>
          <o:OLEObject Type="Embed" ProgID="Equation.3" ShapeID="_x0000_i1041" DrawAspect="Content" ObjectID="_1468075731" r:id="rId3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t>A</w:t>
      </w:r>
      <w:r>
        <w:rPr>
          <w:vertAlign w:val="subscript"/>
        </w:rPr>
        <w:t>oct atm</w:t>
      </w:r>
      <w:r>
        <w:t>=α(r-r0)/100</w:t>
      </w:r>
      <w:r>
        <w:rPr>
          <w:lang w:val="en-GB"/>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t>A</w:t>
      </w:r>
      <w:r>
        <w:rPr>
          <w:vertAlign w:val="subscript"/>
        </w:rPr>
        <w:t>exc</w:t>
      </w:r>
      <w:r>
        <w:t>=5lg(r-r0)</w:t>
      </w:r>
      <w:r>
        <w:rPr>
          <w:lang w:val="en-GB"/>
        </w:rPr>
        <w:t>；</w:t>
      </w:r>
    </w:p>
    <w:p>
      <w:pPr>
        <w:bidi w:val="0"/>
      </w:pPr>
      <w:r>
        <w:t>b. 如果已知声源的倍频带声功率级L</w:t>
      </w:r>
      <w:r>
        <w:rPr>
          <w:rStyle w:val="49"/>
          <w:b w:val="0"/>
          <w:bCs/>
          <w:vertAlign w:val="subscript"/>
        </w:rPr>
        <w:t>wcot</w:t>
      </w:r>
      <w:r>
        <w:t>，且声源可看作是位于地面上的，则：</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bookmarkStart w:id="71" w:name="_Toc130625295"/>
      <w:bookmarkStart w:id="72" w:name="_Toc121276314"/>
      <w:r>
        <w:t>L</w:t>
      </w:r>
      <w:r>
        <w:rPr>
          <w:vertAlign w:val="subscript"/>
        </w:rPr>
        <w:t>cot</w:t>
      </w:r>
      <w:r>
        <w:t>=L</w:t>
      </w:r>
      <w:r>
        <w:rPr>
          <w:vertAlign w:val="subscript"/>
        </w:rPr>
        <w:t>w cot</w:t>
      </w:r>
      <w:r>
        <w:t>-20lgr0</w:t>
      </w:r>
      <w:bookmarkEnd w:id="71"/>
      <w:bookmarkEnd w:id="72"/>
      <w:r>
        <w:t>-8</w:t>
      </w:r>
    </w:p>
    <w:p>
      <w:pPr>
        <w:bidi w:val="0"/>
      </w:pPr>
      <w:r>
        <w:t>c. 由各倍频带声压级合成计算出该声源产生的A声级L</w:t>
      </w:r>
      <w:r>
        <w:rPr>
          <w:vertAlign w:val="subscript"/>
        </w:rPr>
        <w:t>A</w:t>
      </w:r>
      <w: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szCs w:val="28"/>
        </w:rPr>
      </w:pPr>
      <w:r>
        <w:rPr>
          <w:position w:val="-30"/>
          <w:szCs w:val="28"/>
        </w:rPr>
        <w:object>
          <v:shape id="_x0000_i1042" o:spt="75" type="#_x0000_t75" style="height:33pt;width:116.95pt;" o:ole="t" fillcolor="#6D6D6D" filled="f" o:preferrelative="t" stroked="f" coordsize="21600,21600">
            <v:path/>
            <v:fill on="f" focussize="0,0"/>
            <v:stroke on="f"/>
            <v:imagedata r:id="rId33" o:title=""/>
            <o:lock v:ext="edit" aspectratio="t"/>
            <w10:wrap type="none"/>
            <w10:anchorlock/>
          </v:shape>
          <o:OLEObject Type="Embed" ProgID="Equation.3" ShapeID="_x0000_i1042" DrawAspect="Content" ObjectID="_1468075732" r:id="rId32">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r>
        <w:rPr>
          <w:rFonts w:ascii="Times New Roman" w:hAnsi="Times New Roman"/>
          <w:sz w:val="28"/>
        </w:rPr>
        <w:t>式中ΔL</w:t>
      </w:r>
      <w:r>
        <w:rPr>
          <w:rFonts w:ascii="Times New Roman" w:hAnsi="Times New Roman"/>
          <w:sz w:val="28"/>
          <w:vertAlign w:val="subscript"/>
        </w:rPr>
        <w:t>i</w:t>
      </w:r>
      <w:r>
        <w:rPr>
          <w:rFonts w:ascii="Times New Roman" w:hAnsi="Times New Roman"/>
          <w:sz w:val="28"/>
        </w:rPr>
        <w:t>为A计权网络修正值。</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r>
        <w:rPr>
          <w:rFonts w:ascii="Times New Roman" w:hAnsi="Times New Roman"/>
          <w:sz w:val="28"/>
        </w:rPr>
        <w:t>d. 各声源在预测点产生的声级的合成</w:t>
      </w:r>
    </w:p>
    <w:p>
      <w:pPr>
        <w:keepNext w:val="0"/>
        <w:keepLines w:val="0"/>
        <w:pageBreakBefore w:val="0"/>
        <w:widowControl w:val="0"/>
        <w:kinsoku/>
        <w:wordWrap/>
        <w:overflowPunct/>
        <w:topLinePunct w:val="0"/>
        <w:autoSpaceDE/>
        <w:autoSpaceDN/>
        <w:bidi w:val="0"/>
        <w:adjustRightInd/>
        <w:snapToGrid w:val="0"/>
        <w:spacing w:line="360" w:lineRule="auto"/>
        <w:ind w:firstLine="482"/>
        <w:jc w:val="center"/>
        <w:textAlignment w:val="auto"/>
        <w:rPr>
          <w:rFonts w:ascii="Times New Roman" w:hAnsi="Times New Roman"/>
          <w:sz w:val="28"/>
          <w:szCs w:val="28"/>
        </w:rPr>
      </w:pPr>
      <w:r>
        <w:rPr>
          <w:rFonts w:ascii="Times New Roman" w:hAnsi="Times New Roman"/>
          <w:position w:val="-30"/>
          <w:sz w:val="28"/>
          <w:szCs w:val="28"/>
        </w:rPr>
        <w:object>
          <v:shape id="_x0000_i1043" o:spt="75" type="#_x0000_t75" style="height:32.25pt;width:100.45pt;" o:ole="t" fillcolor="#6D6D6D" filled="f" o:preferrelative="t" stroked="f" coordsize="21600,21600">
            <v:path/>
            <v:fill on="f" focussize="0,0"/>
            <v:stroke on="f"/>
            <v:imagedata r:id="rId35" o:title=""/>
            <o:lock v:ext="edit" aspectratio="t"/>
            <w10:wrap type="none"/>
            <w10:anchorlock/>
          </v:shape>
          <o:OLEObject Type="Embed" ProgID="Equation.3" ShapeID="_x0000_i1043" DrawAspect="Content" ObjectID="_1468075733" r:id="rId34">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bookmarkStart w:id="73" w:name="_Toc130625296"/>
      <w:bookmarkStart w:id="74" w:name="_Toc121276315"/>
      <w:r>
        <w:rPr>
          <w:rFonts w:hint="eastAsia" w:ascii="Times New Roman" w:hAnsi="Times New Roman" w:cs="宋体"/>
          <w:sz w:val="28"/>
        </w:rPr>
        <w:t>②</w:t>
      </w:r>
      <w:bookmarkEnd w:id="73"/>
      <w:bookmarkEnd w:id="74"/>
      <w:r>
        <w:rPr>
          <w:rFonts w:ascii="Times New Roman" w:hAnsi="Times New Roman"/>
          <w:sz w:val="28"/>
        </w:rPr>
        <w:t xml:space="preserve"> 室内点声源的预测</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bookmarkStart w:id="75" w:name="_Toc130625297"/>
      <w:bookmarkStart w:id="76" w:name="_Toc121276316"/>
      <w:r>
        <w:rPr>
          <w:rFonts w:ascii="Times New Roman" w:hAnsi="Times New Roman"/>
          <w:sz w:val="28"/>
        </w:rPr>
        <w:t>a.</w:t>
      </w:r>
      <w:bookmarkEnd w:id="75"/>
      <w:bookmarkEnd w:id="76"/>
      <w:r>
        <w:rPr>
          <w:rFonts w:ascii="Times New Roman" w:hAnsi="Times New Roman"/>
          <w:sz w:val="28"/>
        </w:rPr>
        <w:t xml:space="preserve"> 室内靠近围护结构处的倍频带声压级：</w:t>
      </w:r>
    </w:p>
    <w:p>
      <w:pPr>
        <w:keepNext w:val="0"/>
        <w:keepLines w:val="0"/>
        <w:pageBreakBefore w:val="0"/>
        <w:widowControl w:val="0"/>
        <w:kinsoku/>
        <w:wordWrap/>
        <w:overflowPunct/>
        <w:topLinePunct w:val="0"/>
        <w:autoSpaceDE/>
        <w:autoSpaceDN/>
        <w:bidi w:val="0"/>
        <w:adjustRightInd/>
        <w:snapToGrid w:val="0"/>
        <w:spacing w:line="360" w:lineRule="auto"/>
        <w:ind w:firstLine="482"/>
        <w:jc w:val="center"/>
        <w:textAlignment w:val="auto"/>
        <w:rPr>
          <w:rFonts w:ascii="Times New Roman" w:hAnsi="Times New Roman"/>
          <w:sz w:val="28"/>
          <w:szCs w:val="28"/>
        </w:rPr>
      </w:pPr>
      <w:r>
        <w:rPr>
          <w:rFonts w:ascii="Times New Roman" w:hAnsi="Times New Roman"/>
          <w:position w:val="-32"/>
          <w:sz w:val="28"/>
          <w:szCs w:val="28"/>
        </w:rPr>
        <w:object>
          <v:shape id="_x0000_i1044" o:spt="75" type="#_x0000_t75" style="height:34.5pt;width:139.5pt;" o:ole="t" fillcolor="#6D6D6D" filled="f" o:preferrelative="t" stroked="f" coordsize="21600,21600">
            <v:path/>
            <v:fill on="f" focussize="0,0"/>
            <v:stroke on="f"/>
            <v:imagedata r:id="rId37" o:title=""/>
            <o:lock v:ext="edit" aspectratio="t"/>
            <w10:wrap type="none"/>
            <w10:anchorlock/>
          </v:shape>
          <o:OLEObject Type="Embed" ProgID="Equation.3" ShapeID="_x0000_i1044" DrawAspect="Content" ObjectID="_1468075734" r:id="rId36">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bookmarkStart w:id="77" w:name="_Toc121276317"/>
      <w:bookmarkStart w:id="78" w:name="_Toc130625298"/>
      <w:r>
        <w:rPr>
          <w:rFonts w:ascii="Times New Roman" w:hAnsi="Times New Roman"/>
          <w:sz w:val="28"/>
        </w:rPr>
        <w:t>式中：r</w:t>
      </w:r>
      <w:r>
        <w:rPr>
          <w:rFonts w:ascii="Times New Roman" w:hAnsi="Times New Roman"/>
          <w:sz w:val="28"/>
          <w:vertAlign w:val="subscript"/>
        </w:rPr>
        <w:t>1</w:t>
      </w:r>
      <w:bookmarkEnd w:id="77"/>
      <w:bookmarkEnd w:id="78"/>
      <w:r>
        <w:rPr>
          <w:rFonts w:ascii="Times New Roman" w:hAnsi="Times New Roman"/>
          <w:sz w:val="28"/>
        </w:rPr>
        <w:t>为室内某源距离围护结构的距离；</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bookmarkStart w:id="79" w:name="_Toc121276318"/>
      <w:bookmarkStart w:id="80" w:name="_Toc130625299"/>
      <w:r>
        <w:rPr>
          <w:rFonts w:ascii="Times New Roman" w:hAnsi="Times New Roman"/>
          <w:sz w:val="28"/>
        </w:rPr>
        <w:t xml:space="preserve">      R</w:t>
      </w:r>
      <w:bookmarkEnd w:id="79"/>
      <w:bookmarkEnd w:id="80"/>
      <w:r>
        <w:rPr>
          <w:rFonts w:ascii="Times New Roman" w:hAnsi="Times New Roman"/>
          <w:sz w:val="28"/>
        </w:rPr>
        <w:t>为房间常数；</w:t>
      </w:r>
      <w:bookmarkStart w:id="81" w:name="_Toc121276319"/>
      <w:bookmarkStart w:id="82" w:name="_Toc130625300"/>
      <w:r>
        <w:rPr>
          <w:rFonts w:ascii="Times New Roman" w:hAnsi="Times New Roman"/>
          <w:sz w:val="28"/>
        </w:rPr>
        <w:t>Q</w:t>
      </w:r>
      <w:bookmarkEnd w:id="81"/>
      <w:bookmarkEnd w:id="82"/>
      <w:r>
        <w:rPr>
          <w:rFonts w:ascii="Times New Roman" w:hAnsi="Times New Roman"/>
          <w:sz w:val="28"/>
        </w:rPr>
        <w:t>为方向性因子。</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ascii="Times New Roman" w:hAnsi="Times New Roman"/>
          <w:sz w:val="28"/>
        </w:rPr>
      </w:pPr>
      <w:bookmarkStart w:id="83" w:name="_Toc130625301"/>
      <w:bookmarkStart w:id="84" w:name="_Toc121276320"/>
      <w:r>
        <w:rPr>
          <w:rFonts w:ascii="Times New Roman" w:hAnsi="Times New Roman"/>
          <w:sz w:val="28"/>
        </w:rPr>
        <w:t>b.</w:t>
      </w:r>
      <w:bookmarkEnd w:id="83"/>
      <w:bookmarkEnd w:id="84"/>
      <w:r>
        <w:rPr>
          <w:rFonts w:ascii="Times New Roman" w:hAnsi="Times New Roman"/>
          <w:sz w:val="28"/>
        </w:rPr>
        <w:t xml:space="preserve"> 室内声源在靠近围护结构处产生的总倍频带声压级：</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Times New Roman" w:hAnsi="Times New Roman"/>
          <w:sz w:val="28"/>
          <w:szCs w:val="28"/>
        </w:rPr>
      </w:pPr>
      <w:r>
        <w:rPr>
          <w:rFonts w:ascii="Times New Roman" w:hAnsi="Times New Roman"/>
          <w:position w:val="-30"/>
          <w:sz w:val="28"/>
          <w:szCs w:val="28"/>
        </w:rPr>
        <w:object>
          <v:shape id="_x0000_i1045" o:spt="75" type="#_x0000_t75" style="height:36pt;width:144pt;" o:ole="t" fillcolor="#6D6D6D" filled="f" o:preferrelative="t" stroked="f" coordsize="21600,21600">
            <v:path/>
            <v:fill on="f" focussize="0,0"/>
            <v:stroke on="f"/>
            <v:imagedata r:id="rId39" o:title=""/>
            <o:lock v:ext="edit" aspectratio="t"/>
            <w10:wrap type="none"/>
            <w10:anchorlock/>
          </v:shape>
          <o:OLEObject Type="Embed" ProgID="Equation.3" ShapeID="_x0000_i1045" DrawAspect="Content" ObjectID="_1468075735" r:id="rId38">
            <o:LockedField>false</o:LockedField>
          </o:OLEObject>
        </w:objec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sz w:val="28"/>
        </w:rPr>
      </w:pPr>
      <w:bookmarkStart w:id="85" w:name="_Toc121276321"/>
      <w:bookmarkStart w:id="86" w:name="_Toc130625302"/>
      <w:r>
        <w:rPr>
          <w:rFonts w:ascii="Times New Roman" w:hAnsi="Times New Roman"/>
          <w:sz w:val="28"/>
        </w:rPr>
        <w:t>c.</w:t>
      </w:r>
      <w:bookmarkEnd w:id="85"/>
      <w:bookmarkEnd w:id="86"/>
      <w:r>
        <w:rPr>
          <w:rFonts w:ascii="Times New Roman" w:hAnsi="Times New Roman"/>
          <w:sz w:val="28"/>
        </w:rPr>
        <w:t xml:space="preserve"> 室外靠近围护结构处的总的声压级：</w:t>
      </w:r>
    </w:p>
    <w:p>
      <w:pPr>
        <w:keepNext w:val="0"/>
        <w:keepLines w:val="0"/>
        <w:pageBreakBefore w:val="0"/>
        <w:widowControl w:val="0"/>
        <w:kinsoku/>
        <w:wordWrap/>
        <w:overflowPunct/>
        <w:topLinePunct w:val="0"/>
        <w:autoSpaceDE/>
        <w:autoSpaceDN/>
        <w:bidi w:val="0"/>
        <w:adjustRightInd/>
        <w:spacing w:line="360" w:lineRule="auto"/>
        <w:ind w:firstLine="480"/>
        <w:jc w:val="center"/>
        <w:textAlignment w:val="auto"/>
        <w:rPr>
          <w:rFonts w:ascii="Times New Roman" w:hAnsi="Times New Roman"/>
          <w:sz w:val="28"/>
          <w:szCs w:val="28"/>
          <w:lang w:val="fr-FR"/>
        </w:rPr>
      </w:pPr>
      <w:bookmarkStart w:id="87" w:name="_Toc130625303"/>
      <w:bookmarkStart w:id="88" w:name="_Toc121276322"/>
      <w:r>
        <w:rPr>
          <w:rFonts w:ascii="Times New Roman" w:hAnsi="Times New Roman"/>
          <w:sz w:val="28"/>
          <w:szCs w:val="28"/>
          <w:lang w:val="fr-FR"/>
        </w:rPr>
        <w:t>L</w:t>
      </w:r>
      <w:r>
        <w:rPr>
          <w:rFonts w:ascii="Times New Roman" w:hAnsi="Times New Roman"/>
          <w:sz w:val="28"/>
          <w:szCs w:val="28"/>
          <w:vertAlign w:val="subscript"/>
          <w:lang w:val="fr-FR"/>
        </w:rPr>
        <w:t>oct,1</w:t>
      </w:r>
      <w:r>
        <w:rPr>
          <w:rFonts w:ascii="Times New Roman" w:hAnsi="Times New Roman"/>
          <w:sz w:val="28"/>
          <w:szCs w:val="28"/>
          <w:lang w:val="fr-FR"/>
        </w:rPr>
        <w:t>(T)=L</w:t>
      </w:r>
      <w:r>
        <w:rPr>
          <w:rFonts w:ascii="Times New Roman" w:hAnsi="Times New Roman"/>
          <w:sz w:val="28"/>
          <w:szCs w:val="28"/>
          <w:vertAlign w:val="subscript"/>
          <w:lang w:val="fr-FR"/>
        </w:rPr>
        <w:t>0ct,1</w:t>
      </w:r>
      <w:r>
        <w:rPr>
          <w:rFonts w:ascii="Times New Roman" w:hAnsi="Times New Roman"/>
          <w:sz w:val="28"/>
          <w:szCs w:val="28"/>
          <w:lang w:val="fr-FR"/>
        </w:rPr>
        <w:t>(T)-(Tl</w:t>
      </w:r>
      <w:r>
        <w:rPr>
          <w:rFonts w:ascii="Times New Roman" w:hAnsi="Times New Roman"/>
          <w:sz w:val="28"/>
          <w:szCs w:val="28"/>
          <w:vertAlign w:val="subscript"/>
          <w:lang w:val="fr-FR"/>
        </w:rPr>
        <w:t>oct</w:t>
      </w:r>
      <w:r>
        <w:rPr>
          <w:rFonts w:ascii="Times New Roman" w:hAnsi="Times New Roman"/>
          <w:sz w:val="28"/>
          <w:szCs w:val="28"/>
          <w:lang w:val="fr-FR"/>
        </w:rPr>
        <w:t>+6)</w:t>
      </w:r>
      <w:bookmarkEnd w:id="87"/>
      <w:bookmarkEnd w:id="88"/>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sz w:val="28"/>
        </w:rPr>
      </w:pPr>
      <w:bookmarkStart w:id="89" w:name="_Toc130625304"/>
      <w:bookmarkStart w:id="90" w:name="_Toc121276323"/>
      <w:r>
        <w:rPr>
          <w:rFonts w:ascii="Times New Roman" w:hAnsi="Times New Roman"/>
          <w:sz w:val="28"/>
        </w:rPr>
        <w:t>d.</w:t>
      </w:r>
      <w:bookmarkEnd w:id="89"/>
      <w:bookmarkEnd w:id="90"/>
      <w:r>
        <w:rPr>
          <w:rFonts w:ascii="Times New Roman" w:hAnsi="Times New Roman"/>
          <w:sz w:val="28"/>
        </w:rPr>
        <w:t xml:space="preserve"> 室外声压级换算成等效的室外声源：</w:t>
      </w:r>
    </w:p>
    <w:p>
      <w:pPr>
        <w:keepNext w:val="0"/>
        <w:keepLines w:val="0"/>
        <w:pageBreakBefore w:val="0"/>
        <w:widowControl w:val="0"/>
        <w:kinsoku/>
        <w:wordWrap/>
        <w:overflowPunct/>
        <w:topLinePunct w:val="0"/>
        <w:autoSpaceDE/>
        <w:autoSpaceDN/>
        <w:bidi w:val="0"/>
        <w:adjustRightInd/>
        <w:snapToGrid w:val="0"/>
        <w:spacing w:line="360" w:lineRule="auto"/>
        <w:ind w:firstLine="482"/>
        <w:jc w:val="center"/>
        <w:textAlignment w:val="auto"/>
        <w:rPr>
          <w:rFonts w:ascii="Times New Roman" w:hAnsi="Times New Roman"/>
          <w:sz w:val="28"/>
          <w:szCs w:val="28"/>
        </w:rPr>
      </w:pPr>
      <w:bookmarkStart w:id="91" w:name="_Toc121276324"/>
      <w:bookmarkStart w:id="92" w:name="_Toc130625305"/>
      <w:r>
        <w:rPr>
          <w:rFonts w:ascii="Times New Roman" w:hAnsi="Times New Roman"/>
          <w:sz w:val="28"/>
          <w:szCs w:val="28"/>
        </w:rPr>
        <w:t>L</w:t>
      </w:r>
      <w:r>
        <w:rPr>
          <w:rFonts w:ascii="Times New Roman" w:hAnsi="Times New Roman"/>
          <w:sz w:val="28"/>
          <w:szCs w:val="28"/>
          <w:vertAlign w:val="subscript"/>
        </w:rPr>
        <w:t>w oct</w:t>
      </w:r>
      <w:r>
        <w:rPr>
          <w:rFonts w:ascii="Times New Roman" w:hAnsi="Times New Roman"/>
          <w:sz w:val="28"/>
          <w:szCs w:val="28"/>
        </w:rPr>
        <w:t>=L</w:t>
      </w:r>
      <w:r>
        <w:rPr>
          <w:rFonts w:ascii="Times New Roman" w:hAnsi="Times New Roman"/>
          <w:sz w:val="28"/>
          <w:szCs w:val="28"/>
          <w:vertAlign w:val="subscript"/>
        </w:rPr>
        <w:t>oct,2</w:t>
      </w:r>
      <w:bookmarkEnd w:id="91"/>
      <w:bookmarkEnd w:id="92"/>
      <w:r>
        <w:rPr>
          <w:rFonts w:ascii="Times New Roman" w:hAnsi="Times New Roman"/>
          <w:sz w:val="28"/>
          <w:szCs w:val="28"/>
        </w:rPr>
        <w:t>(T)+10lgS</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sz w:val="28"/>
        </w:rPr>
      </w:pPr>
      <w:bookmarkStart w:id="93" w:name="_Toc130625306"/>
      <w:bookmarkStart w:id="94" w:name="_Toc121276325"/>
      <w:r>
        <w:rPr>
          <w:rFonts w:ascii="Times New Roman" w:hAnsi="Times New Roman"/>
          <w:sz w:val="28"/>
        </w:rPr>
        <w:t>式中：S</w:t>
      </w:r>
      <w:bookmarkEnd w:id="93"/>
      <w:bookmarkEnd w:id="94"/>
      <w:r>
        <w:rPr>
          <w:rFonts w:ascii="Times New Roman" w:hAnsi="Times New Roman"/>
          <w:sz w:val="28"/>
        </w:rPr>
        <w:t>为透声面积；</w:t>
      </w:r>
      <w:bookmarkStart w:id="95" w:name="_Toc121276326"/>
      <w:bookmarkStart w:id="96" w:name="_Toc130625307"/>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sz w:val="28"/>
        </w:rPr>
      </w:pPr>
      <w:r>
        <w:rPr>
          <w:rFonts w:ascii="Times New Roman" w:hAnsi="Times New Roman"/>
          <w:sz w:val="28"/>
        </w:rPr>
        <w:t>e. 等效室外声源的位置为围护结构的位置，其倍频带声功率级为L</w:t>
      </w:r>
      <w:r>
        <w:rPr>
          <w:rFonts w:ascii="Times New Roman" w:hAnsi="Times New Roman"/>
          <w:sz w:val="28"/>
          <w:vertAlign w:val="subscript"/>
        </w:rPr>
        <w:t>w oct</w:t>
      </w:r>
      <w:bookmarkEnd w:id="95"/>
      <w:bookmarkEnd w:id="96"/>
      <w:r>
        <w:rPr>
          <w:rFonts w:ascii="Times New Roman" w:hAnsi="Times New Roman"/>
          <w:sz w:val="28"/>
        </w:rPr>
        <w:t>，由此按室外声源方法计算等效室外声源在预测点产生的声级。</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sz w:val="28"/>
        </w:rPr>
      </w:pPr>
      <w:bookmarkStart w:id="97" w:name="_Toc130625308"/>
      <w:bookmarkStart w:id="98" w:name="_Toc121276327"/>
      <w:r>
        <w:rPr>
          <w:rFonts w:hint="eastAsia" w:ascii="Times New Roman" w:hAnsi="Times New Roman" w:cs="宋体"/>
          <w:sz w:val="28"/>
        </w:rPr>
        <w:t>③</w:t>
      </w:r>
      <w:bookmarkEnd w:id="97"/>
      <w:bookmarkEnd w:id="98"/>
      <w:r>
        <w:rPr>
          <w:rFonts w:ascii="Times New Roman" w:hAnsi="Times New Roman"/>
          <w:sz w:val="28"/>
        </w:rPr>
        <w:t xml:space="preserve"> 声级叠加</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Times New Roman" w:hAnsi="Times New Roman"/>
          <w:bCs/>
          <w:sz w:val="28"/>
          <w:szCs w:val="28"/>
        </w:rPr>
      </w:pPr>
      <w:r>
        <w:rPr>
          <w:rFonts w:ascii="Times New Roman" w:hAnsi="Times New Roman"/>
          <w:bCs/>
          <w:sz w:val="28"/>
          <w:szCs w:val="28"/>
        </w:rPr>
        <w:object>
          <v:shape id="_x0000_i1046" o:spt="75" type="#_x0000_t75" style="height:33.75pt;width:105pt;" o:ole="t" fillcolor="#6D6D6D" filled="f" o:preferrelative="t" stroked="f" coordsize="21600,21600">
            <v:path/>
            <v:fill on="f" focussize="0,0"/>
            <v:stroke on="f"/>
            <v:imagedata r:id="rId41" o:title=""/>
            <o:lock v:ext="edit" aspectratio="t"/>
            <w10:wrap type="none"/>
            <w10:anchorlock/>
          </v:shape>
          <o:OLEObject Type="Embed" ProgID="Equation.3" ShapeID="_x0000_i1046" DrawAspect="Content" ObjectID="_1468075736" r:id="rId40">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sz w:val="28"/>
        </w:rPr>
      </w:pPr>
      <w:r>
        <w:rPr>
          <w:rFonts w:hint="eastAsia" w:ascii="Times New Roman" w:hAnsi="Times New Roman" w:cs="宋体"/>
          <w:sz w:val="28"/>
        </w:rPr>
        <w:t>⑵</w:t>
      </w:r>
      <w:r>
        <w:rPr>
          <w:rFonts w:ascii="Times New Roman" w:hAnsi="Times New Roman"/>
          <w:sz w:val="28"/>
        </w:rPr>
        <w:t xml:space="preserve"> 预测结果及评价</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sz w:val="28"/>
        </w:rPr>
      </w:pPr>
      <w:r>
        <w:rPr>
          <w:rFonts w:ascii="Times New Roman" w:hAnsi="Times New Roman"/>
          <w:sz w:val="28"/>
        </w:rPr>
        <w:t>噪声在室外空间的传播，由于受到遮挡物的隔断，各种介质的吸收与反射，以及空气介质的吸收等物理作用而逐渐减弱。为了简化计算条件并能考虑到最不利因素，计算时只考虑噪声控制措施及噪声随距离的衰减时噪声源对外环境影响情况。</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rPr>
          <w:rFonts w:ascii="Times New Roman" w:hAnsi="Times New Roman"/>
          <w:sz w:val="28"/>
        </w:rPr>
      </w:pPr>
      <w:r>
        <w:rPr>
          <w:rFonts w:ascii="Times New Roman" w:hAnsi="Times New Roman"/>
          <w:sz w:val="28"/>
        </w:rPr>
        <w:t>本项目对厂界噪声贡献值见表</w:t>
      </w:r>
      <w:r>
        <w:rPr>
          <w:rFonts w:hint="eastAsia" w:ascii="Times New Roman" w:hAnsi="Times New Roman"/>
          <w:sz w:val="28"/>
          <w:lang w:val="en-US" w:eastAsia="zh-CN"/>
        </w:rPr>
        <w:t>5.3.2-1</w:t>
      </w:r>
      <w:r>
        <w:rPr>
          <w:rFonts w:ascii="Times New Roman" w:hAnsi="Times New Roman"/>
          <w:sz w:val="28"/>
        </w:rPr>
        <w:t>。</w:t>
      </w:r>
    </w:p>
    <w:p>
      <w:pPr>
        <w:pStyle w:val="27"/>
        <w:bidi w:val="0"/>
      </w:pPr>
      <w:r>
        <w:t>表</w:t>
      </w:r>
      <w:r>
        <w:rPr>
          <w:rFonts w:hint="eastAsia"/>
          <w:lang w:val="en-US" w:eastAsia="zh-CN"/>
        </w:rPr>
        <w:t>5.3.2-1</w:t>
      </w:r>
      <w:r>
        <w:t>声环境影响预测结果（dB(A)）</w:t>
      </w:r>
    </w:p>
    <w:tbl>
      <w:tblPr>
        <w:tblStyle w:val="21"/>
        <w:tblW w:w="4997" w:type="pct"/>
        <w:tblInd w:w="0" w:type="dxa"/>
        <w:tblLayout w:type="autofit"/>
        <w:tblCellMar>
          <w:top w:w="0" w:type="dxa"/>
          <w:left w:w="108" w:type="dxa"/>
          <w:bottom w:w="0" w:type="dxa"/>
          <w:right w:w="108" w:type="dxa"/>
        </w:tblCellMar>
      </w:tblPr>
      <w:tblGrid>
        <w:gridCol w:w="4960"/>
        <w:gridCol w:w="1249"/>
        <w:gridCol w:w="1249"/>
        <w:gridCol w:w="1249"/>
        <w:gridCol w:w="1249"/>
      </w:tblGrid>
      <w:tr>
        <w:tblPrEx>
          <w:tblCellMar>
            <w:top w:w="0" w:type="dxa"/>
            <w:left w:w="108" w:type="dxa"/>
            <w:bottom w:w="0" w:type="dxa"/>
            <w:right w:w="108" w:type="dxa"/>
          </w:tblCellMar>
        </w:tblPrEx>
        <w:trPr>
          <w:trHeight w:val="644" w:hRule="atLeast"/>
        </w:trPr>
        <w:tc>
          <w:tcPr>
            <w:tcW w:w="2491"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28"/>
              <w:suppressLineNumbers w:val="0"/>
              <w:bidi w:val="0"/>
              <w:spacing w:before="0" w:after="0"/>
              <w:ind w:left="0" w:right="0"/>
            </w:pPr>
            <w:r>
              <w:t xml:space="preserve">        影响值</w:t>
            </w:r>
          </w:p>
          <w:p>
            <w:pPr>
              <w:pStyle w:val="28"/>
              <w:suppressLineNumbers w:val="0"/>
              <w:bidi w:val="0"/>
              <w:spacing w:before="0" w:after="0"/>
              <w:ind w:left="0" w:right="0"/>
            </w:pPr>
            <w:r>
              <w:t>声源</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东</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西</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南</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北</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车间一埋弧电煅炉</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49.96</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48.51</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25.93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32.95</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车间二埋弧电煅炉</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val="en-US" w:eastAsia="zh-CN"/>
              </w:rPr>
              <w:t>49.96</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val="en-US" w:eastAsia="zh-CN"/>
              </w:rPr>
              <w:t>48.51</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23.18</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42.83</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一期循环水区冷却塔</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32.51</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29.21</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二期循环水区冷却塔</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33.89</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29.96</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val="en-US" w:eastAsia="zh-CN"/>
              </w:rPr>
              <w:t>29.21</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一期工程烟气处理系统风机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32.51</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val="en-US" w:eastAsia="zh-CN"/>
              </w:rPr>
              <w:t>29.21</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一期工程烟气处理系统泵类</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39.54</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38.47</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24.10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34.75</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eastAsia="zh-CN"/>
              </w:rPr>
              <w:t>二</w:t>
            </w:r>
            <w:r>
              <w:t>期工程烟气处理系统风机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31.70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33.64</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17.73</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28.38</w:t>
            </w:r>
          </w:p>
        </w:tc>
      </w:tr>
      <w:tr>
        <w:tblPrEx>
          <w:tblCellMar>
            <w:top w:w="0" w:type="dxa"/>
            <w:left w:w="108" w:type="dxa"/>
            <w:bottom w:w="0" w:type="dxa"/>
            <w:right w:w="108" w:type="dxa"/>
          </w:tblCellMar>
        </w:tblPrEx>
        <w:trPr>
          <w:trHeight w:val="90"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eastAsia="zh-CN"/>
              </w:rPr>
              <w:t>二</w:t>
            </w:r>
            <w:r>
              <w:t>期工程烟气处理系统泵类</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38.67</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39.32</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24.10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34.75</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eastAsia"/>
                <w:lang w:eastAsia="zh-CN"/>
              </w:rPr>
            </w:pPr>
            <w:r>
              <w:rPr>
                <w:rFonts w:hint="eastAsia"/>
                <w:lang w:eastAsia="zh-CN"/>
              </w:rPr>
              <w:t>一期</w:t>
            </w:r>
            <w:r>
              <w:t>破碎机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33.74</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33.48</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30.82</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26.89</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eastAsia="zh-CN"/>
              </w:rPr>
              <w:t>一期</w:t>
            </w:r>
            <w:r>
              <w:t>筛分机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37.44</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35.85</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33.44</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29.42</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eastAsia="zh-CN"/>
              </w:rPr>
              <w:t>二期</w:t>
            </w:r>
            <w:r>
              <w:t>筛分机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36.10</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37.29</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33.26</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29.59</w:t>
            </w:r>
          </w:p>
        </w:tc>
      </w:tr>
      <w:tr>
        <w:tblPrEx>
          <w:tblCellMar>
            <w:top w:w="0" w:type="dxa"/>
            <w:left w:w="108" w:type="dxa"/>
            <w:bottom w:w="0" w:type="dxa"/>
            <w:right w:w="108" w:type="dxa"/>
          </w:tblCellMar>
        </w:tblPrEx>
        <w:trPr>
          <w:trHeight w:val="285" w:hRule="atLeast"/>
        </w:trPr>
        <w:tc>
          <w:tcPr>
            <w:tcW w:w="249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eastAsia"/>
                <w:lang w:eastAsia="zh-CN"/>
              </w:rPr>
            </w:pPr>
            <w:r>
              <w:rPr>
                <w:rFonts w:hint="eastAsia"/>
                <w:lang w:eastAsia="zh-CN"/>
              </w:rPr>
              <w:t>厂界贡献值</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53.69</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52.45</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38.38</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45.12</w:t>
            </w:r>
          </w:p>
        </w:tc>
      </w:tr>
    </w:tbl>
    <w:p>
      <w:pPr>
        <w:bidi w:val="0"/>
      </w:pPr>
      <w:r>
        <w:t>本项目为新建工程，由上表可以看出，项目噪声对各厂界的影响值较小，符合《工业企业厂界环境噪声排放标准》（GB 12348-2008）中3类区标准。</w:t>
      </w:r>
    </w:p>
    <w:p>
      <w:pPr>
        <w:pStyle w:val="4"/>
        <w:bidi w:val="0"/>
        <w:rPr>
          <w:rFonts w:hint="default"/>
          <w:lang w:val="en-US" w:eastAsia="zh-CN"/>
        </w:rPr>
      </w:pPr>
      <w:bookmarkStart w:id="99" w:name="_Toc23240"/>
      <w:r>
        <w:rPr>
          <w:rFonts w:hint="eastAsia"/>
          <w:lang w:val="en-US" w:eastAsia="zh-CN"/>
        </w:rPr>
        <w:t>5.4 土壤环境影响预测与评价</w:t>
      </w:r>
      <w:bookmarkEnd w:id="99"/>
    </w:p>
    <w:p>
      <w:pPr>
        <w:pStyle w:val="5"/>
        <w:bidi w:val="0"/>
        <w:rPr>
          <w:rFonts w:hint="eastAsia" w:eastAsia="宋体"/>
          <w:lang w:eastAsia="zh-CN"/>
        </w:rPr>
      </w:pPr>
      <w:r>
        <w:rPr>
          <w:rFonts w:hint="eastAsia"/>
          <w:lang w:val="en-US" w:eastAsia="zh-CN"/>
        </w:rPr>
        <w:t>5.4.1</w:t>
      </w:r>
      <w:r>
        <w:rPr>
          <w:rFonts w:hint="eastAsia"/>
          <w:lang w:eastAsia="zh-CN"/>
        </w:rPr>
        <w:t>土壤环境影响识别</w:t>
      </w:r>
    </w:p>
    <w:p>
      <w:pPr>
        <w:pStyle w:val="6"/>
        <w:bidi w:val="0"/>
        <w:rPr>
          <w:rFonts w:hint="default"/>
          <w:lang w:val="en-US" w:eastAsia="zh-CN"/>
        </w:rPr>
      </w:pPr>
      <w:r>
        <w:rPr>
          <w:rFonts w:hint="eastAsia"/>
          <w:lang w:val="en-US" w:eastAsia="zh-CN"/>
        </w:rPr>
        <w:t>5.4.1.1 土壤环境影响类型及途径</w:t>
      </w:r>
    </w:p>
    <w:p>
      <w:pPr>
        <w:bidi w:val="0"/>
        <w:rPr>
          <w:rFonts w:hint="eastAsia"/>
        </w:rPr>
      </w:pPr>
      <w:r>
        <w:rPr>
          <w:rFonts w:hint="eastAsia"/>
          <w:lang w:val="en-US" w:eastAsia="zh-CN"/>
        </w:rPr>
        <w:t>本项目属于土壤污染影响型项目，就本项目而言，本项目土壤环境影响类型与影响途径见表5.4.1-1。</w:t>
      </w:r>
    </w:p>
    <w:p>
      <w:pPr>
        <w:pStyle w:val="27"/>
        <w:bidi w:val="0"/>
        <w:rPr>
          <w:rFonts w:hint="eastAsia"/>
          <w:lang w:eastAsia="zh-CN"/>
        </w:rPr>
      </w:pPr>
      <w:r>
        <w:rPr>
          <w:rFonts w:hint="eastAsia"/>
        </w:rPr>
        <w:t>表</w:t>
      </w:r>
      <w:r>
        <w:rPr>
          <w:rFonts w:hint="eastAsia"/>
          <w:lang w:val="en-US" w:eastAsia="zh-CN"/>
        </w:rPr>
        <w:t>5.4.1-1</w:t>
      </w:r>
      <w:r>
        <w:rPr>
          <w:rFonts w:hint="eastAsia"/>
          <w:lang w:eastAsia="zh-CN"/>
        </w:rPr>
        <w:t>土壤评价类别表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4"/>
        <w:gridCol w:w="2073"/>
        <w:gridCol w:w="2073"/>
        <w:gridCol w:w="2073"/>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7"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rPr>
            </w:pPr>
            <w:r>
              <w:rPr>
                <w:rFonts w:hint="eastAsia" w:ascii="Times New Roman" w:hAnsi="Times New Roman" w:eastAsia="宋体"/>
                <w:b w:val="0"/>
                <w:bCs w:val="0"/>
                <w:color w:val="auto"/>
                <w:sz w:val="21"/>
                <w:szCs w:val="21"/>
                <w:vertAlign w:val="baseline"/>
                <w:lang w:eastAsia="zh-CN"/>
              </w:rPr>
              <w:t>不同时段</w:t>
            </w:r>
          </w:p>
        </w:tc>
        <w:tc>
          <w:tcPr>
            <w:tcW w:w="3752" w:type="pct"/>
            <w:gridSpan w:val="4"/>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eastAsia="zh-CN"/>
              </w:rPr>
            </w:pPr>
            <w:r>
              <w:rPr>
                <w:rFonts w:hint="eastAsia" w:ascii="Times New Roman" w:hAnsi="Times New Roman" w:eastAsia="宋体"/>
                <w:b w:val="0"/>
                <w:bCs w:val="0"/>
                <w:color w:val="auto"/>
                <w:sz w:val="21"/>
                <w:szCs w:val="21"/>
                <w:vertAlign w:val="baseline"/>
                <w:lang w:eastAsia="zh-CN"/>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7"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rPr>
            </w:pPr>
          </w:p>
        </w:tc>
        <w:tc>
          <w:tcPr>
            <w:tcW w:w="104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eastAsia="zh-CN"/>
              </w:rPr>
            </w:pPr>
            <w:r>
              <w:rPr>
                <w:rFonts w:hint="eastAsia" w:ascii="Times New Roman" w:hAnsi="Times New Roman" w:eastAsia="宋体"/>
                <w:b w:val="0"/>
                <w:bCs w:val="0"/>
                <w:color w:val="auto"/>
                <w:sz w:val="21"/>
                <w:szCs w:val="21"/>
                <w:vertAlign w:val="baseline"/>
                <w:lang w:eastAsia="zh-CN"/>
              </w:rPr>
              <w:t>大气沉降</w:t>
            </w:r>
          </w:p>
        </w:tc>
        <w:tc>
          <w:tcPr>
            <w:tcW w:w="104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eastAsia="zh-CN"/>
              </w:rPr>
            </w:pPr>
            <w:r>
              <w:rPr>
                <w:rFonts w:hint="eastAsia" w:ascii="Times New Roman" w:hAnsi="Times New Roman" w:eastAsia="宋体"/>
                <w:b w:val="0"/>
                <w:bCs w:val="0"/>
                <w:color w:val="auto"/>
                <w:sz w:val="21"/>
                <w:szCs w:val="21"/>
                <w:vertAlign w:val="baseline"/>
                <w:lang w:eastAsia="zh-CN"/>
              </w:rPr>
              <w:t>地面漫流</w:t>
            </w:r>
          </w:p>
        </w:tc>
        <w:tc>
          <w:tcPr>
            <w:tcW w:w="104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eastAsia="zh-CN"/>
              </w:rPr>
            </w:pPr>
            <w:r>
              <w:rPr>
                <w:rFonts w:hint="eastAsia" w:ascii="Times New Roman" w:hAnsi="Times New Roman" w:eastAsia="宋体"/>
                <w:b w:val="0"/>
                <w:bCs w:val="0"/>
                <w:color w:val="auto"/>
                <w:sz w:val="21"/>
                <w:szCs w:val="21"/>
                <w:vertAlign w:val="baseline"/>
                <w:lang w:eastAsia="zh-CN"/>
              </w:rPr>
              <w:t>垂直入渗</w:t>
            </w:r>
          </w:p>
        </w:tc>
        <w:tc>
          <w:tcPr>
            <w:tcW w:w="628"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eastAsia="zh-CN"/>
              </w:rPr>
            </w:pPr>
            <w:r>
              <w:rPr>
                <w:rFonts w:hint="eastAsia" w:ascii="Times New Roman" w:hAnsi="Times New Roman" w:eastAsia="宋体"/>
                <w:b w:val="0"/>
                <w:bCs w:val="0"/>
                <w:color w:val="auto"/>
                <w:sz w:val="21"/>
                <w:szCs w:val="21"/>
                <w:vertAlign w:val="baseline"/>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7"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rPr>
            </w:pPr>
            <w:r>
              <w:rPr>
                <w:rFonts w:hint="eastAsia" w:ascii="Times New Roman" w:hAnsi="Times New Roman" w:eastAsia="宋体" w:cs="Times New Roman"/>
                <w:color w:val="auto"/>
                <w:kern w:val="2"/>
                <w:sz w:val="21"/>
                <w:szCs w:val="21"/>
                <w:lang w:val="en-US" w:eastAsia="zh-CN" w:bidi="ar"/>
              </w:rPr>
              <w:t>建设期</w:t>
            </w:r>
          </w:p>
        </w:tc>
        <w:tc>
          <w:tcPr>
            <w:tcW w:w="1041"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rPr>
            </w:pPr>
            <w:r>
              <w:rPr>
                <w:rFonts w:hint="eastAsia" w:ascii="Times New Roman" w:hAnsi="Times New Roman"/>
                <w:b w:val="0"/>
                <w:bCs w:val="0"/>
                <w:color w:val="auto"/>
                <w:sz w:val="21"/>
                <w:szCs w:val="21"/>
                <w:vertAlign w:val="baseline"/>
                <w:lang w:val="en-US" w:eastAsia="zh-CN"/>
              </w:rPr>
              <w:t>/</w:t>
            </w:r>
          </w:p>
        </w:tc>
        <w:tc>
          <w:tcPr>
            <w:tcW w:w="1041" w:type="pct"/>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rPr>
            </w:pPr>
            <w:r>
              <w:rPr>
                <w:rFonts w:hint="eastAsia" w:ascii="Times New Roman" w:hAnsi="Times New Roman"/>
                <w:b w:val="0"/>
                <w:bCs w:val="0"/>
                <w:color w:val="auto"/>
                <w:sz w:val="21"/>
                <w:szCs w:val="21"/>
                <w:vertAlign w:val="baseline"/>
                <w:lang w:val="en-US" w:eastAsia="zh-CN"/>
              </w:rPr>
              <w:t>/</w:t>
            </w:r>
          </w:p>
        </w:tc>
        <w:tc>
          <w:tcPr>
            <w:tcW w:w="104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rPr>
            </w:pPr>
            <w:r>
              <w:rPr>
                <w:rFonts w:hint="eastAsia" w:ascii="Times New Roman" w:hAnsi="Times New Roman"/>
                <w:b w:val="0"/>
                <w:bCs w:val="0"/>
                <w:color w:val="auto"/>
                <w:sz w:val="21"/>
                <w:szCs w:val="21"/>
                <w:vertAlign w:val="baseline"/>
                <w:lang w:val="en-US" w:eastAsia="zh-CN"/>
              </w:rPr>
              <w:t>/</w:t>
            </w:r>
          </w:p>
        </w:tc>
        <w:tc>
          <w:tcPr>
            <w:tcW w:w="628"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rPr>
            </w:pPr>
            <w:r>
              <w:rPr>
                <w:rFonts w:hint="eastAsia" w:ascii="Times New Roman" w:hAnsi="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47"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运行期</w:t>
            </w:r>
          </w:p>
        </w:tc>
        <w:tc>
          <w:tcPr>
            <w:tcW w:w="1041" w:type="pct"/>
            <w:tcBorders>
              <w:tl2br w:val="nil"/>
              <w:tr2bl w:val="nil"/>
            </w:tcBorders>
            <w:shd w:val="pct10"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w:t>
            </w:r>
          </w:p>
        </w:tc>
        <w:tc>
          <w:tcPr>
            <w:tcW w:w="1041"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21"/>
                <w:szCs w:val="21"/>
                <w:vertAlign w:val="baseline"/>
                <w:lang w:val="en-US" w:eastAsia="zh-CN" w:bidi="ar-SA"/>
              </w:rPr>
            </w:pPr>
            <w:r>
              <w:rPr>
                <w:rFonts w:hint="eastAsia" w:ascii="Times New Roman" w:hAnsi="Times New Roman"/>
                <w:b w:val="0"/>
                <w:bCs w:val="0"/>
                <w:color w:val="auto"/>
                <w:sz w:val="21"/>
                <w:szCs w:val="21"/>
                <w:vertAlign w:val="baseline"/>
                <w:lang w:val="en-US" w:eastAsia="zh-CN"/>
              </w:rPr>
              <w:t>/</w:t>
            </w:r>
          </w:p>
        </w:tc>
        <w:tc>
          <w:tcPr>
            <w:tcW w:w="1041" w:type="pct"/>
            <w:tcBorders>
              <w:tl2br w:val="nil"/>
              <w:tr2bl w:val="nil"/>
            </w:tcBorders>
            <w:shd w:val="pct10"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w:t>
            </w:r>
          </w:p>
        </w:tc>
        <w:tc>
          <w:tcPr>
            <w:tcW w:w="628"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lang w:eastAsia="zh-CN"/>
              </w:rPr>
            </w:pPr>
            <w:r>
              <w:rPr>
                <w:rFonts w:hint="eastAsia" w:ascii="Times New Roman" w:hAnsi="Times New Roman"/>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247"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服务期满后</w:t>
            </w:r>
          </w:p>
        </w:tc>
        <w:tc>
          <w:tcPr>
            <w:tcW w:w="1041"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w:t>
            </w:r>
          </w:p>
        </w:tc>
        <w:tc>
          <w:tcPr>
            <w:tcW w:w="1041" w:type="pct"/>
            <w:tcBorders>
              <w:tl2br w:val="nil"/>
              <w:tr2bl w:val="nil"/>
            </w:tcBorders>
            <w:shd w:val="clear" w:color="auto" w:fill="auto"/>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b w:val="0"/>
                <w:bCs w:val="0"/>
                <w:color w:val="auto"/>
                <w:sz w:val="21"/>
                <w:szCs w:val="21"/>
                <w:vertAlign w:val="baseline"/>
                <w:lang w:val="en-US" w:eastAsia="zh-CN"/>
              </w:rPr>
              <w:t>/</w:t>
            </w:r>
          </w:p>
        </w:tc>
        <w:tc>
          <w:tcPr>
            <w:tcW w:w="1041"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rPr>
            </w:pPr>
            <w:r>
              <w:rPr>
                <w:rFonts w:hint="eastAsia" w:ascii="Times New Roman" w:hAnsi="Times New Roman"/>
                <w:b w:val="0"/>
                <w:bCs w:val="0"/>
                <w:color w:val="auto"/>
                <w:sz w:val="21"/>
                <w:szCs w:val="21"/>
                <w:vertAlign w:val="baseline"/>
                <w:lang w:val="en-US" w:eastAsia="zh-CN"/>
              </w:rPr>
              <w:t>/</w:t>
            </w:r>
          </w:p>
        </w:tc>
        <w:tc>
          <w:tcPr>
            <w:tcW w:w="628"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b w:val="0"/>
                <w:bCs w:val="0"/>
                <w:color w:val="auto"/>
                <w:sz w:val="21"/>
                <w:szCs w:val="21"/>
                <w:vertAlign w:val="baseline"/>
                <w:lang w:eastAsia="zh-CN"/>
              </w:rPr>
            </w:pPr>
            <w:r>
              <w:rPr>
                <w:rFonts w:hint="eastAsia" w:ascii="Times New Roman" w:hAnsi="Times New Roman"/>
                <w:b w:val="0"/>
                <w:bCs w:val="0"/>
                <w:color w:val="auto"/>
                <w:sz w:val="21"/>
                <w:szCs w:val="21"/>
                <w:vertAlign w:val="baseline"/>
                <w:lang w:val="en-US" w:eastAsia="zh-CN"/>
              </w:rPr>
              <w:t>/</w:t>
            </w:r>
          </w:p>
        </w:tc>
      </w:tr>
    </w:tbl>
    <w:p>
      <w:pPr>
        <w:pStyle w:val="6"/>
        <w:bidi w:val="0"/>
        <w:rPr>
          <w:rFonts w:hint="eastAsia"/>
        </w:rPr>
      </w:pPr>
      <w:r>
        <w:rPr>
          <w:rFonts w:hint="eastAsia"/>
          <w:lang w:val="en-US" w:eastAsia="zh-CN"/>
        </w:rPr>
        <w:t xml:space="preserve">5.4.1.2建设项目土壤环境影响源及影响因子识别 </w:t>
      </w:r>
    </w:p>
    <w:p>
      <w:pPr>
        <w:bidi w:val="0"/>
        <w:rPr>
          <w:rFonts w:hint="eastAsia"/>
        </w:rPr>
      </w:pPr>
      <w:r>
        <w:rPr>
          <w:rFonts w:hint="eastAsia"/>
          <w:lang w:val="en-US" w:eastAsia="zh-CN"/>
        </w:rPr>
        <w:t xml:space="preserve">建设项目土壤环境影响源及影响因子识别见表5.4.1-2。 </w:t>
      </w:r>
    </w:p>
    <w:p>
      <w:pPr>
        <w:pStyle w:val="27"/>
        <w:bidi w:val="0"/>
        <w:rPr>
          <w:rFonts w:hint="eastAsia"/>
          <w:lang w:eastAsia="zh-CN"/>
        </w:rPr>
      </w:pPr>
      <w:r>
        <w:rPr>
          <w:rFonts w:hint="eastAsia"/>
        </w:rPr>
        <w:t>表</w:t>
      </w:r>
      <w:r>
        <w:rPr>
          <w:rFonts w:hint="eastAsia"/>
          <w:lang w:val="en-US" w:eastAsia="zh-CN"/>
        </w:rPr>
        <w:t>5.4.1-2</w:t>
      </w:r>
      <w:r>
        <w:rPr>
          <w:rFonts w:hint="eastAsia"/>
          <w:lang w:eastAsia="zh-CN"/>
        </w:rPr>
        <w:t>建设项目土壤环境影响及影响因子识别表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561"/>
        <w:gridCol w:w="1372"/>
        <w:gridCol w:w="1858"/>
        <w:gridCol w:w="1463"/>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2"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污染源</w:t>
            </w:r>
          </w:p>
        </w:tc>
        <w:tc>
          <w:tcPr>
            <w:tcW w:w="1561" w:type="dxa"/>
            <w:tcBorders>
              <w:tl2br w:val="nil"/>
              <w:tr2bl w:val="nil"/>
            </w:tcBorders>
            <w:noWrap w:val="0"/>
            <w:vAlign w:val="center"/>
          </w:tcPr>
          <w:p>
            <w:pPr>
              <w:pStyle w:val="28"/>
              <w:suppressLineNumbers w:val="0"/>
              <w:bidi w:val="0"/>
              <w:spacing w:before="0" w:after="0"/>
              <w:ind w:left="0" w:right="0"/>
              <w:rPr>
                <w:rFonts w:hint="default"/>
                <w:lang w:eastAsia="zh-CN"/>
              </w:rPr>
            </w:pPr>
            <w:r>
              <w:rPr>
                <w:rFonts w:hint="eastAsia"/>
                <w:lang w:eastAsia="zh-CN"/>
              </w:rPr>
              <w:t>工艺流程</w:t>
            </w:r>
            <w:r>
              <w:rPr>
                <w:rFonts w:hint="eastAsia"/>
                <w:lang w:val="en-US" w:eastAsia="zh-CN"/>
              </w:rPr>
              <w:t>/节点</w:t>
            </w:r>
          </w:p>
        </w:tc>
        <w:tc>
          <w:tcPr>
            <w:tcW w:w="1372"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污染途径</w:t>
            </w:r>
          </w:p>
        </w:tc>
        <w:tc>
          <w:tcPr>
            <w:tcW w:w="1858"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全部污染物指标</w:t>
            </w:r>
          </w:p>
        </w:tc>
        <w:tc>
          <w:tcPr>
            <w:tcW w:w="1463"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特征因子</w:t>
            </w:r>
          </w:p>
        </w:tc>
        <w:tc>
          <w:tcPr>
            <w:tcW w:w="1555"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2"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排气筒</w:t>
            </w:r>
          </w:p>
        </w:tc>
        <w:tc>
          <w:tcPr>
            <w:tcW w:w="1561"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废气处理</w:t>
            </w:r>
          </w:p>
        </w:tc>
        <w:tc>
          <w:tcPr>
            <w:tcW w:w="1372"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大气沉降</w:t>
            </w:r>
          </w:p>
        </w:tc>
        <w:tc>
          <w:tcPr>
            <w:tcW w:w="1858"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颗粒物</w:t>
            </w:r>
          </w:p>
        </w:tc>
        <w:tc>
          <w:tcPr>
            <w:tcW w:w="1463"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1555"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32"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脱硫装置区</w:t>
            </w:r>
          </w:p>
        </w:tc>
        <w:tc>
          <w:tcPr>
            <w:tcW w:w="1561"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废气处理</w:t>
            </w:r>
          </w:p>
        </w:tc>
        <w:tc>
          <w:tcPr>
            <w:tcW w:w="1372"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ascii="Times New Roman" w:hAnsi="Times New Roman" w:eastAsia="宋体"/>
                <w:b w:val="0"/>
                <w:bCs w:val="0"/>
                <w:color w:val="auto"/>
                <w:sz w:val="21"/>
                <w:szCs w:val="21"/>
                <w:vertAlign w:val="baseline"/>
                <w:lang w:eastAsia="zh-CN"/>
              </w:rPr>
              <w:t>垂直入渗</w:t>
            </w:r>
          </w:p>
        </w:tc>
        <w:tc>
          <w:tcPr>
            <w:tcW w:w="1858" w:type="dxa"/>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盐分</w:t>
            </w:r>
          </w:p>
        </w:tc>
        <w:tc>
          <w:tcPr>
            <w:tcW w:w="1463"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555"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事故</w:t>
            </w:r>
          </w:p>
        </w:tc>
      </w:tr>
    </w:tbl>
    <w:p>
      <w:pPr>
        <w:pStyle w:val="6"/>
        <w:bidi w:val="0"/>
        <w:rPr>
          <w:rFonts w:hint="eastAsia"/>
          <w:lang w:val="en-US" w:eastAsia="zh-CN"/>
        </w:rPr>
      </w:pPr>
      <w:r>
        <w:rPr>
          <w:rFonts w:hint="eastAsia"/>
          <w:lang w:val="en-US" w:eastAsia="zh-CN"/>
        </w:rPr>
        <w:t>5.4.1.3 敏感目标</w:t>
      </w:r>
      <w:r>
        <w:rPr>
          <w:rFonts w:hint="eastAsia"/>
        </w:rPr>
        <w:t xml:space="preserve"> </w:t>
      </w:r>
    </w:p>
    <w:p>
      <w:pPr>
        <w:spacing w:beforeLines="0" w:afterLines="0"/>
        <w:jc w:val="left"/>
        <w:rPr>
          <w:rFonts w:hint="eastAsia" w:ascii="宋体" w:hAnsi="宋体" w:eastAsia="宋体"/>
          <w:color w:val="000000"/>
          <w:sz w:val="28"/>
        </w:rPr>
      </w:pPr>
      <w:r>
        <w:rPr>
          <w:rFonts w:hint="eastAsia" w:ascii="宋体" w:hAnsi="宋体" w:eastAsia="宋体"/>
          <w:color w:val="000000"/>
          <w:sz w:val="28"/>
        </w:rPr>
        <w:t>项目位于</w:t>
      </w:r>
      <w:r>
        <w:rPr>
          <w:rFonts w:hint="eastAsia" w:ascii="宋体" w:hAnsi="宋体"/>
          <w:color w:val="000000"/>
          <w:sz w:val="28"/>
          <w:lang w:eastAsia="zh-CN"/>
        </w:rPr>
        <w:t>青湖镇工业</w:t>
      </w:r>
      <w:r>
        <w:rPr>
          <w:rFonts w:hint="eastAsia" w:ascii="宋体" w:hAnsi="宋体" w:eastAsia="宋体"/>
          <w:color w:val="000000"/>
          <w:sz w:val="28"/>
        </w:rPr>
        <w:t xml:space="preserve">集中区内，经调查，项目周边影响范围内存在耕地。 </w:t>
      </w:r>
    </w:p>
    <w:p>
      <w:pPr>
        <w:pStyle w:val="5"/>
        <w:bidi w:val="0"/>
        <w:rPr>
          <w:rFonts w:hint="default"/>
          <w:lang w:val="en-US" w:eastAsia="zh-CN"/>
        </w:rPr>
      </w:pPr>
      <w:r>
        <w:rPr>
          <w:rFonts w:hint="eastAsia"/>
          <w:lang w:val="en-US" w:eastAsia="zh-CN"/>
        </w:rPr>
        <w:t>5.4.2 土壤环境评价等级、评价范围</w:t>
      </w:r>
    </w:p>
    <w:p>
      <w:pPr>
        <w:pStyle w:val="6"/>
        <w:bidi w:val="0"/>
        <w:rPr>
          <w:rFonts w:hint="default"/>
          <w:lang w:val="en-US" w:eastAsia="zh-CN"/>
        </w:rPr>
      </w:pPr>
      <w:r>
        <w:rPr>
          <w:rFonts w:hint="eastAsia"/>
          <w:lang w:val="en-US" w:eastAsia="zh-CN"/>
        </w:rPr>
        <w:t>5.4.2.1 土壤环境评价等级</w:t>
      </w:r>
    </w:p>
    <w:p>
      <w:pPr>
        <w:bidi w:val="0"/>
        <w:rPr>
          <w:rFonts w:hint="eastAsia"/>
        </w:rPr>
      </w:pPr>
      <w:r>
        <w:rPr>
          <w:rFonts w:hint="eastAsia"/>
        </w:rPr>
        <w:t>本项目属于污染影响型建设项目，属于附录A确定的</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类项目（</w:t>
      </w:r>
      <w:r>
        <w:rPr>
          <w:rFonts w:hint="eastAsia"/>
          <w:lang w:eastAsia="zh-CN"/>
        </w:rPr>
        <w:t>金属冶炼和压延加工及非金属矿物制品</w:t>
      </w:r>
      <w:r>
        <w:rPr>
          <w:rFonts w:hint="eastAsia"/>
          <w:lang w:val="en-US" w:eastAsia="zh-CN"/>
        </w:rPr>
        <w:t xml:space="preserve"> 其他</w:t>
      </w:r>
      <w:r>
        <w:rPr>
          <w:rFonts w:hint="eastAsia"/>
        </w:rPr>
        <w:t>）。根据占地规模属于小型项目（</w:t>
      </w:r>
      <w:r>
        <w:rPr>
          <w:rFonts w:hint="eastAsia"/>
          <w:lang w:val="en-US" w:eastAsia="zh-CN"/>
        </w:rPr>
        <w:t>60亩=4</w:t>
      </w:r>
      <w:r>
        <w:rPr>
          <w:rFonts w:hint="eastAsia"/>
        </w:rPr>
        <w:t>hm</w:t>
      </w:r>
      <w:r>
        <w:rPr>
          <w:rFonts w:hint="eastAsia"/>
          <w:vertAlign w:val="superscript"/>
        </w:rPr>
        <w:t>2</w:t>
      </w:r>
      <w:r>
        <w:rPr>
          <w:rFonts w:hint="eastAsia"/>
        </w:rPr>
        <w:t>，占地面积≤5hm</w:t>
      </w:r>
      <w:r>
        <w:rPr>
          <w:rFonts w:hint="eastAsia"/>
          <w:vertAlign w:val="superscript"/>
        </w:rPr>
        <w:t>2</w:t>
      </w:r>
      <w:r>
        <w:rPr>
          <w:rFonts w:hint="eastAsia"/>
        </w:rPr>
        <w:t>），项目为永久占地。</w:t>
      </w:r>
    </w:p>
    <w:p>
      <w:pPr>
        <w:bidi w:val="0"/>
        <w:rPr>
          <w:rFonts w:hint="eastAsia"/>
          <w:lang w:eastAsia="zh-CN"/>
        </w:rPr>
      </w:pPr>
      <w:r>
        <w:rPr>
          <w:rFonts w:hint="eastAsia"/>
        </w:rPr>
        <w:t>项目位于</w:t>
      </w:r>
      <w:r>
        <w:rPr>
          <w:rFonts w:hint="eastAsia"/>
          <w:lang w:eastAsia="zh-CN"/>
        </w:rPr>
        <w:t>工业</w:t>
      </w:r>
      <w:r>
        <w:rPr>
          <w:rFonts w:hint="eastAsia"/>
        </w:rPr>
        <w:t>园区内，周边500m范围内</w:t>
      </w:r>
      <w:r>
        <w:rPr>
          <w:rFonts w:hint="eastAsia"/>
          <w:lang w:eastAsia="zh-CN"/>
        </w:rPr>
        <w:t>零星分布耕地，因此周边土壤敏感程度为敏感，详见表</w:t>
      </w:r>
      <w:r>
        <w:rPr>
          <w:rFonts w:hint="eastAsia"/>
          <w:lang w:val="en-US" w:eastAsia="zh-CN"/>
        </w:rPr>
        <w:t>5.4.2-1</w:t>
      </w:r>
      <w:r>
        <w:rPr>
          <w:rFonts w:hint="eastAsia"/>
          <w:lang w:eastAsia="zh-CN"/>
        </w:rPr>
        <w:t>。</w:t>
      </w:r>
    </w:p>
    <w:p>
      <w:pPr>
        <w:pStyle w:val="27"/>
        <w:bidi w:val="0"/>
      </w:pPr>
      <w:r>
        <w:t>表</w:t>
      </w:r>
      <w:r>
        <w:rPr>
          <w:rFonts w:hint="eastAsia"/>
          <w:lang w:val="en-US" w:eastAsia="zh-CN"/>
        </w:rPr>
        <w:t>5.4.2-1</w:t>
      </w:r>
      <w:r>
        <w:t>污染影响型评价工作等级划分表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8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default"/>
                <w:lang w:val="en-US" w:eastAsia="zh-CN"/>
              </w:rPr>
            </w:pPr>
            <w:r>
              <w:rPr>
                <w:rFonts w:hint="eastAsia"/>
                <w:lang w:val="en-US" w:eastAsia="zh-CN"/>
              </w:rPr>
              <w:t>敏感程度</w:t>
            </w:r>
          </w:p>
        </w:tc>
        <w:tc>
          <w:tcPr>
            <w:tcW w:w="8348" w:type="dxa"/>
            <w:vAlign w:val="center"/>
          </w:tcPr>
          <w:p>
            <w:pPr>
              <w:pStyle w:val="28"/>
              <w:suppressLineNumbers w:val="0"/>
              <w:bidi w:val="0"/>
              <w:spacing w:before="0" w:after="0"/>
              <w:ind w:left="0" w:right="0"/>
              <w:jc w:val="center"/>
              <w:rPr>
                <w:rFonts w:hint="eastAsia"/>
                <w:lang w:eastAsia="zh-CN"/>
              </w:rPr>
            </w:pPr>
            <w:r>
              <w:rPr>
                <w:rFonts w:hint="eastAsia"/>
                <w:lang w:eastAsia="zh-CN"/>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shd w:val="pct10" w:color="auto" w:fill="auto"/>
            <w:vAlign w:val="center"/>
          </w:tcPr>
          <w:p>
            <w:pPr>
              <w:pStyle w:val="28"/>
              <w:suppressLineNumbers w:val="0"/>
              <w:bidi w:val="0"/>
              <w:spacing w:before="0" w:after="0"/>
              <w:ind w:left="0" w:right="0"/>
              <w:jc w:val="center"/>
              <w:rPr>
                <w:rFonts w:hint="eastAsia"/>
                <w:lang w:eastAsia="zh-CN"/>
              </w:rPr>
            </w:pPr>
            <w:r>
              <w:rPr>
                <w:rFonts w:hint="eastAsia"/>
                <w:lang w:eastAsia="zh-CN"/>
              </w:rPr>
              <w:t>敏感</w:t>
            </w:r>
          </w:p>
        </w:tc>
        <w:tc>
          <w:tcPr>
            <w:tcW w:w="8348" w:type="dxa"/>
            <w:shd w:val="pct10" w:color="auto" w:fill="auto"/>
            <w:vAlign w:val="center"/>
          </w:tcPr>
          <w:p>
            <w:pPr>
              <w:pStyle w:val="28"/>
              <w:suppressLineNumbers w:val="0"/>
              <w:bidi w:val="0"/>
              <w:spacing w:before="0" w:after="0"/>
              <w:ind w:left="0" w:right="0"/>
              <w:jc w:val="center"/>
              <w:rPr>
                <w:rFonts w:hint="eastAsia"/>
              </w:rPr>
            </w:pPr>
            <w:r>
              <w:rPr>
                <w:rFonts w:hint="eastAsia"/>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eastAsia"/>
                <w:lang w:eastAsia="zh-CN"/>
              </w:rPr>
            </w:pPr>
            <w:r>
              <w:rPr>
                <w:rFonts w:hint="eastAsia"/>
                <w:lang w:eastAsia="zh-CN"/>
              </w:rPr>
              <w:t>较敏感</w:t>
            </w:r>
          </w:p>
        </w:tc>
        <w:tc>
          <w:tcPr>
            <w:tcW w:w="8348" w:type="dxa"/>
            <w:vAlign w:val="center"/>
          </w:tcPr>
          <w:p>
            <w:pPr>
              <w:pStyle w:val="28"/>
              <w:suppressLineNumbers w:val="0"/>
              <w:bidi w:val="0"/>
              <w:spacing w:before="0" w:after="0"/>
              <w:ind w:left="0" w:right="0"/>
              <w:jc w:val="center"/>
              <w:rPr>
                <w:rFonts w:hint="eastAsia"/>
              </w:rPr>
            </w:pPr>
            <w:r>
              <w:rPr>
                <w:rFonts w:hint="eastAsia"/>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vAlign w:val="center"/>
          </w:tcPr>
          <w:p>
            <w:pPr>
              <w:pStyle w:val="28"/>
              <w:suppressLineNumbers w:val="0"/>
              <w:bidi w:val="0"/>
              <w:spacing w:before="0" w:after="0"/>
              <w:ind w:left="0" w:right="0"/>
              <w:jc w:val="center"/>
              <w:rPr>
                <w:rFonts w:hint="eastAsia"/>
                <w:lang w:eastAsia="zh-CN"/>
              </w:rPr>
            </w:pPr>
            <w:r>
              <w:rPr>
                <w:rFonts w:hint="eastAsia"/>
                <w:lang w:eastAsia="zh-CN"/>
              </w:rPr>
              <w:t>不敏感</w:t>
            </w:r>
          </w:p>
        </w:tc>
        <w:tc>
          <w:tcPr>
            <w:tcW w:w="8348" w:type="dxa"/>
            <w:vAlign w:val="center"/>
          </w:tcPr>
          <w:p>
            <w:pPr>
              <w:pStyle w:val="28"/>
              <w:suppressLineNumbers w:val="0"/>
              <w:bidi w:val="0"/>
              <w:spacing w:before="0" w:after="0"/>
              <w:ind w:left="0" w:right="0"/>
              <w:jc w:val="center"/>
              <w:rPr>
                <w:rFonts w:hint="eastAsia"/>
                <w:lang w:eastAsia="zh-CN"/>
              </w:rPr>
            </w:pPr>
            <w:r>
              <w:rPr>
                <w:rFonts w:hint="eastAsia"/>
                <w:lang w:eastAsia="zh-CN"/>
              </w:rPr>
              <w:t>其他情况</w:t>
            </w:r>
          </w:p>
        </w:tc>
      </w:tr>
    </w:tbl>
    <w:p>
      <w:pPr>
        <w:bidi w:val="0"/>
        <w:rPr>
          <w:rFonts w:hint="eastAsia"/>
        </w:rPr>
      </w:pPr>
      <w:r>
        <w:rPr>
          <w:rFonts w:hint="eastAsia"/>
        </w:rPr>
        <w:t>根据《环境影响评价技术导则 土壤环境（试行）》（HJ964-2018）表4，本项目土壤环境评价工作等级为</w:t>
      </w:r>
      <w:r>
        <w:rPr>
          <w:rFonts w:hint="eastAsia"/>
          <w:lang w:eastAsia="zh-CN"/>
        </w:rPr>
        <w:t>三级，详见下表</w:t>
      </w:r>
      <w:r>
        <w:rPr>
          <w:rFonts w:hint="eastAsia"/>
        </w:rPr>
        <w:t xml:space="preserve">。 </w:t>
      </w:r>
    </w:p>
    <w:p>
      <w:pPr>
        <w:pStyle w:val="27"/>
        <w:bidi w:val="0"/>
      </w:pPr>
      <w:r>
        <w:t>表</w:t>
      </w:r>
      <w:r>
        <w:rPr>
          <w:rFonts w:hint="eastAsia"/>
          <w:lang w:val="en-US" w:eastAsia="zh-CN"/>
        </w:rPr>
        <w:t>5.4.2-2</w:t>
      </w:r>
      <w:r>
        <w:t>污染影响型评价工作等级划分表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0"/>
        <w:gridCol w:w="874"/>
        <w:gridCol w:w="876"/>
        <w:gridCol w:w="888"/>
        <w:gridCol w:w="876"/>
        <w:gridCol w:w="876"/>
        <w:gridCol w:w="888"/>
        <w:gridCol w:w="876"/>
        <w:gridCol w:w="87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trPr>
        <w:tc>
          <w:tcPr>
            <w:tcW w:w="933" w:type="pct"/>
            <w:vMerge w:val="restart"/>
            <w:tcBorders>
              <w:tl2br w:val="nil"/>
              <w:tr2bl w:val="nil"/>
            </w:tcBorders>
            <w:noWrap w:val="0"/>
            <w:vAlign w:val="center"/>
          </w:tcPr>
          <w:p>
            <w:pPr>
              <w:pStyle w:val="28"/>
              <w:suppressLineNumbers w:val="0"/>
              <w:bidi w:val="0"/>
              <w:spacing w:before="0" w:after="0"/>
              <w:ind w:left="0" w:right="0"/>
              <w:jc w:val="center"/>
              <w:rPr>
                <w:sz w:val="18"/>
                <w:szCs w:val="18"/>
              </w:rPr>
            </w:pPr>
            <w:r>
              <w:rPr>
                <w:sz w:val="18"/>
                <w:szCs w:val="18"/>
              </w:rPr>
              <mc:AlternateContent>
                <mc:Choice Requires="wps">
                  <w:drawing>
                    <wp:anchor distT="0" distB="0" distL="114300" distR="114300" simplePos="0" relativeHeight="251752448" behindDoc="0" locked="0" layoutInCell="1" allowOverlap="1">
                      <wp:simplePos x="0" y="0"/>
                      <wp:positionH relativeFrom="column">
                        <wp:posOffset>1270</wp:posOffset>
                      </wp:positionH>
                      <wp:positionV relativeFrom="paragraph">
                        <wp:posOffset>-3810</wp:posOffset>
                      </wp:positionV>
                      <wp:extent cx="1138555" cy="518160"/>
                      <wp:effectExtent l="1905" t="4445" r="2540" b="10795"/>
                      <wp:wrapNone/>
                      <wp:docPr id="82" name="直接连接符 82"/>
                      <wp:cNvGraphicFramePr/>
                      <a:graphic xmlns:a="http://schemas.openxmlformats.org/drawingml/2006/main">
                        <a:graphicData uri="http://schemas.microsoft.com/office/word/2010/wordprocessingShape">
                          <wps:wsp>
                            <wps:cNvCnPr/>
                            <wps:spPr>
                              <a:xfrm flipH="1" flipV="1">
                                <a:off x="0" y="0"/>
                                <a:ext cx="1138555" cy="518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left:0.1pt;margin-top:-0.3pt;height:40.8pt;width:89.65pt;z-index:251752448;mso-width-relative:page;mso-height-relative:page;" filled="f" stroked="t" coordsize="21600,21600" o:gfxdata="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JOm8&#10;1AAAAAUBAAAPAAAAAAAAAAEAIAAAACIAAABkcnMvZG93bnJldi54bWxQSwECFAAUAAAACACHTuJA&#10;O0dqvuwBAACgAwAADgAAAAAAAAABACAAAAAjAQAAZHJzL2Uyb0RvYy54bWxQSwUGAAAAAAYABgBZ&#10;AQAAgQUAAAAA&#10;">
                      <v:fill on="f" focussize="0,0"/>
                      <v:stroke weight="0.5pt" color="#000000" miterlimit="8" joinstyle="miter"/>
                      <v:imagedata o:title=""/>
                      <o:lock v:ext="edit" aspectratio="f"/>
                    </v:line>
                  </w:pict>
                </mc:Fallback>
              </mc:AlternateContent>
            </w:r>
            <w:r>
              <w:rPr>
                <w:rFonts w:hint="eastAsia"/>
                <w:sz w:val="18"/>
                <w:szCs w:val="18"/>
                <w:lang w:val="en-US" w:eastAsia="zh-CN"/>
              </w:rPr>
              <w:t xml:space="preserve">  </w:t>
            </w:r>
            <w:r>
              <w:rPr>
                <w:sz w:val="18"/>
                <w:szCs w:val="18"/>
              </w:rPr>
              <w:t>占地规模</w:t>
            </w:r>
          </w:p>
          <w:p>
            <w:pPr>
              <w:pStyle w:val="28"/>
              <w:suppressLineNumbers w:val="0"/>
              <w:bidi w:val="0"/>
              <w:spacing w:before="0" w:after="0"/>
              <w:ind w:left="0" w:right="0"/>
              <w:jc w:val="both"/>
              <w:rPr>
                <w:sz w:val="18"/>
                <w:szCs w:val="18"/>
              </w:rPr>
            </w:pPr>
            <w:r>
              <w:rPr>
                <w:sz w:val="18"/>
                <w:szCs w:val="18"/>
              </w:rPr>
              <mc:AlternateContent>
                <mc:Choice Requires="wps">
                  <w:drawing>
                    <wp:anchor distT="0" distB="0" distL="114300" distR="114300" simplePos="0" relativeHeight="251753472" behindDoc="0" locked="0" layoutInCell="1" allowOverlap="1">
                      <wp:simplePos x="0" y="0"/>
                      <wp:positionH relativeFrom="margin">
                        <wp:align>left</wp:align>
                      </wp:positionH>
                      <wp:positionV relativeFrom="paragraph">
                        <wp:posOffset>139700</wp:posOffset>
                      </wp:positionV>
                      <wp:extent cx="1152525" cy="205740"/>
                      <wp:effectExtent l="635" t="4445" r="8890" b="18415"/>
                      <wp:wrapNone/>
                      <wp:docPr id="83" name="直接连接符 83"/>
                      <wp:cNvGraphicFramePr/>
                      <a:graphic xmlns:a="http://schemas.openxmlformats.org/drawingml/2006/main">
                        <a:graphicData uri="http://schemas.microsoft.com/office/word/2010/wordprocessingShape">
                          <wps:wsp>
                            <wps:cNvCnPr/>
                            <wps:spPr>
                              <a:xfrm flipH="1" flipV="1">
                                <a:off x="0" y="0"/>
                                <a:ext cx="1152525" cy="2057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flip:x y;margin-top:11pt;height:16.2pt;width:90.75pt;mso-position-horizontal:left;mso-position-horizontal-relative:margin;z-index:251753472;mso-width-relative:page;mso-height-relative:page;" filled="f" stroked="t" coordsize="21600,21600" o:gfxdata="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eI&#10;nDXWAAAABgEAAA8AAAAAAAAAAQAgAAAAIgAAAGRycy9kb3ducmV2LnhtbFBLAQIUABQAAAAIAIdO&#10;4kCnYzFz7AEAAKADAAAOAAAAAAAAAAEAIAAAACUBAABkcnMvZTJvRG9jLnhtbFBLBQYAAAAABgAG&#10;AFkBAACDBQAAAAA=&#10;">
                      <v:fill on="f" focussize="0,0"/>
                      <v:stroke weight="0.5pt" color="#000000" miterlimit="8" joinstyle="miter"/>
                      <v:imagedata o:title=""/>
                      <o:lock v:ext="edit" aspectratio="f"/>
                    </v:line>
                  </w:pict>
                </mc:Fallback>
              </mc:AlternateContent>
            </w:r>
            <w:r>
              <w:rPr>
                <w:sz w:val="18"/>
                <w:szCs w:val="18"/>
              </w:rPr>
              <w:t>评价等级</w:t>
            </w:r>
          </w:p>
          <w:p>
            <w:pPr>
              <w:pStyle w:val="28"/>
              <w:suppressLineNumbers w:val="0"/>
              <w:bidi w:val="0"/>
              <w:spacing w:before="0" w:after="0"/>
              <w:ind w:left="0" w:right="0"/>
              <w:jc w:val="both"/>
            </w:pPr>
            <w:r>
              <w:rPr>
                <w:sz w:val="18"/>
                <w:szCs w:val="18"/>
              </w:rPr>
              <w:t>敏感程度</w:t>
            </w:r>
          </w:p>
        </w:tc>
        <w:tc>
          <w:tcPr>
            <w:tcW w:w="1352"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Ⅰ</w:t>
            </w:r>
            <w:r>
              <w:t>类</w:t>
            </w:r>
          </w:p>
        </w:tc>
        <w:tc>
          <w:tcPr>
            <w:tcW w:w="1353"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Ⅱ</w:t>
            </w:r>
            <w:r>
              <w:t>类</w:t>
            </w:r>
          </w:p>
        </w:tc>
        <w:tc>
          <w:tcPr>
            <w:tcW w:w="1360" w:type="pct"/>
            <w:gridSpan w:val="3"/>
            <w:tcBorders>
              <w:tl2br w:val="nil"/>
              <w:tr2bl w:val="nil"/>
            </w:tcBorders>
            <w:noWrap w:val="0"/>
            <w:vAlign w:val="center"/>
          </w:tcPr>
          <w:p>
            <w:pPr>
              <w:pStyle w:val="28"/>
              <w:suppressLineNumbers w:val="0"/>
              <w:bidi w:val="0"/>
              <w:spacing w:before="0" w:after="0"/>
              <w:ind w:left="0" w:right="0"/>
              <w:jc w:val="center"/>
            </w:pPr>
            <w:r>
              <w:rPr>
                <w:rFonts w:hint="eastAsia"/>
              </w:rPr>
              <w:t>Ⅲ</w:t>
            </w:r>
            <w: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3" w:type="pct"/>
            <w:vMerge w:val="continue"/>
            <w:tcBorders>
              <w:tl2br w:val="nil"/>
              <w:tr2bl w:val="nil"/>
            </w:tcBorders>
            <w:noWrap w:val="0"/>
            <w:vAlign w:val="center"/>
          </w:tcPr>
          <w:p>
            <w:pPr>
              <w:pStyle w:val="28"/>
              <w:suppressLineNumbers w:val="0"/>
              <w:bidi w:val="0"/>
              <w:spacing w:before="0" w:after="0"/>
              <w:ind w:left="0" w:right="0"/>
              <w:jc w:val="center"/>
              <w:outlineLvl w:val="9"/>
            </w:pPr>
          </w:p>
        </w:tc>
        <w:tc>
          <w:tcPr>
            <w:tcW w:w="448"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noWrap w:val="0"/>
            <w:vAlign w:val="center"/>
          </w:tcPr>
          <w:p>
            <w:pPr>
              <w:pStyle w:val="28"/>
              <w:suppressLineNumbers w:val="0"/>
              <w:bidi w:val="0"/>
              <w:spacing w:before="0" w:after="0"/>
              <w:ind w:left="0" w:right="0"/>
              <w:jc w:val="center"/>
            </w:pPr>
            <w:r>
              <w:t>中</w:t>
            </w:r>
          </w:p>
        </w:tc>
        <w:tc>
          <w:tcPr>
            <w:tcW w:w="454" w:type="pct"/>
            <w:tcBorders>
              <w:tl2br w:val="nil"/>
              <w:tr2bl w:val="nil"/>
            </w:tcBorders>
            <w:noWrap w:val="0"/>
            <w:vAlign w:val="center"/>
          </w:tcPr>
          <w:p>
            <w:pPr>
              <w:pStyle w:val="28"/>
              <w:suppressLineNumbers w:val="0"/>
              <w:bidi w:val="0"/>
              <w:spacing w:before="0" w:after="0"/>
              <w:ind w:left="0" w:right="0"/>
              <w:jc w:val="center"/>
            </w:pPr>
            <w:r>
              <w:t>小</w:t>
            </w:r>
          </w:p>
        </w:tc>
        <w:tc>
          <w:tcPr>
            <w:tcW w:w="449"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noWrap w:val="0"/>
            <w:vAlign w:val="center"/>
          </w:tcPr>
          <w:p>
            <w:pPr>
              <w:pStyle w:val="28"/>
              <w:suppressLineNumbers w:val="0"/>
              <w:bidi w:val="0"/>
              <w:spacing w:before="0" w:after="0"/>
              <w:ind w:left="0" w:right="0"/>
              <w:jc w:val="center"/>
            </w:pPr>
            <w:r>
              <w:t>中</w:t>
            </w:r>
          </w:p>
        </w:tc>
        <w:tc>
          <w:tcPr>
            <w:tcW w:w="454" w:type="pct"/>
            <w:tcBorders>
              <w:tl2br w:val="nil"/>
              <w:tr2bl w:val="nil"/>
            </w:tcBorders>
            <w:noWrap w:val="0"/>
            <w:vAlign w:val="center"/>
          </w:tcPr>
          <w:p>
            <w:pPr>
              <w:pStyle w:val="28"/>
              <w:suppressLineNumbers w:val="0"/>
              <w:bidi w:val="0"/>
              <w:spacing w:before="0" w:after="0"/>
              <w:ind w:left="0" w:right="0"/>
              <w:jc w:val="center"/>
            </w:pPr>
            <w:r>
              <w:t>小</w:t>
            </w:r>
          </w:p>
        </w:tc>
        <w:tc>
          <w:tcPr>
            <w:tcW w:w="449" w:type="pct"/>
            <w:tcBorders>
              <w:tl2br w:val="nil"/>
              <w:tr2bl w:val="nil"/>
            </w:tcBorders>
            <w:noWrap w:val="0"/>
            <w:vAlign w:val="center"/>
          </w:tcPr>
          <w:p>
            <w:pPr>
              <w:pStyle w:val="28"/>
              <w:suppressLineNumbers w:val="0"/>
              <w:bidi w:val="0"/>
              <w:spacing w:before="0" w:after="0"/>
              <w:ind w:left="0" w:right="0"/>
              <w:jc w:val="center"/>
            </w:pPr>
            <w:r>
              <w:t>大</w:t>
            </w:r>
          </w:p>
        </w:tc>
        <w:tc>
          <w:tcPr>
            <w:tcW w:w="449" w:type="pct"/>
            <w:tcBorders>
              <w:tl2br w:val="nil"/>
              <w:tr2bl w:val="nil"/>
            </w:tcBorders>
            <w:shd w:val="clear" w:color="auto" w:fill="auto"/>
            <w:noWrap w:val="0"/>
            <w:vAlign w:val="center"/>
          </w:tcPr>
          <w:p>
            <w:pPr>
              <w:pStyle w:val="28"/>
              <w:suppressLineNumbers w:val="0"/>
              <w:bidi w:val="0"/>
              <w:spacing w:before="0" w:after="0"/>
              <w:ind w:left="0" w:right="0"/>
              <w:jc w:val="center"/>
            </w:pPr>
            <w:r>
              <w:t>中</w:t>
            </w:r>
          </w:p>
        </w:tc>
        <w:tc>
          <w:tcPr>
            <w:tcW w:w="460" w:type="pct"/>
            <w:tcBorders>
              <w:tl2br w:val="nil"/>
              <w:tr2bl w:val="nil"/>
            </w:tcBorders>
            <w:shd w:val="clear" w:color="auto" w:fill="auto"/>
            <w:noWrap w:val="0"/>
            <w:vAlign w:val="center"/>
          </w:tcPr>
          <w:p>
            <w:pPr>
              <w:pStyle w:val="28"/>
              <w:suppressLineNumbers w:val="0"/>
              <w:bidi w:val="0"/>
              <w:spacing w:before="0" w:after="0"/>
              <w:ind w:left="0" w:right="0"/>
              <w:jc w:val="center"/>
            </w:pPr>
            <w: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一级</w:t>
            </w:r>
          </w:p>
        </w:tc>
        <w:tc>
          <w:tcPr>
            <w:tcW w:w="454"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60" w:type="pct"/>
            <w:tcBorders>
              <w:tl2br w:val="nil"/>
              <w:tr2bl w:val="nil"/>
            </w:tcBorders>
            <w:shd w:val="pct10" w:color="auto" w:fill="auto"/>
            <w:noWrap w:val="0"/>
            <w:vAlign w:val="center"/>
          </w:tcPr>
          <w:p>
            <w:pPr>
              <w:pStyle w:val="28"/>
              <w:suppressLineNumbers w:val="0"/>
              <w:bidi w:val="0"/>
              <w:spacing w:before="0" w:after="0"/>
              <w:ind w:left="0" w:right="0"/>
              <w:jc w:val="center"/>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较敏感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一级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60" w:type="pct"/>
            <w:tcBorders>
              <w:tl2br w:val="nil"/>
              <w:tr2bl w:val="nil"/>
            </w:tcBorders>
            <w:noWrap w:val="0"/>
            <w:vAlign w:val="center"/>
          </w:tcPr>
          <w:p>
            <w:pPr>
              <w:pStyle w:val="28"/>
              <w:suppressLineNumbers w:val="0"/>
              <w:bidi w:val="0"/>
              <w:spacing w:before="0" w:after="0"/>
              <w:ind w:left="0" w:right="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933" w:type="pct"/>
            <w:tcBorders>
              <w:tl2br w:val="nil"/>
              <w:tr2bl w:val="nil"/>
            </w:tcBorders>
            <w:noWrap w:val="0"/>
            <w:vAlign w:val="center"/>
          </w:tcPr>
          <w:p>
            <w:pPr>
              <w:pStyle w:val="28"/>
              <w:suppressLineNumbers w:val="0"/>
              <w:bidi w:val="0"/>
              <w:spacing w:before="0" w:after="0"/>
              <w:ind w:left="0" w:right="0"/>
              <w:jc w:val="center"/>
            </w:pPr>
            <w:r>
              <w:t>不敏感</w:t>
            </w:r>
          </w:p>
        </w:tc>
        <w:tc>
          <w:tcPr>
            <w:tcW w:w="448" w:type="pct"/>
            <w:tcBorders>
              <w:tl2br w:val="nil"/>
              <w:tr2bl w:val="nil"/>
            </w:tcBorders>
            <w:noWrap w:val="0"/>
            <w:vAlign w:val="center"/>
          </w:tcPr>
          <w:p>
            <w:pPr>
              <w:pStyle w:val="28"/>
              <w:suppressLineNumbers w:val="0"/>
              <w:bidi w:val="0"/>
              <w:spacing w:before="0" w:after="0"/>
              <w:ind w:left="0" w:right="0"/>
              <w:jc w:val="center"/>
            </w:pPr>
            <w:r>
              <w:t>一级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54"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二级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54"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三级</w:t>
            </w:r>
          </w:p>
        </w:tc>
        <w:tc>
          <w:tcPr>
            <w:tcW w:w="449" w:type="pct"/>
            <w:tcBorders>
              <w:tl2br w:val="nil"/>
              <w:tr2bl w:val="nil"/>
            </w:tcBorders>
            <w:noWrap w:val="0"/>
            <w:vAlign w:val="center"/>
          </w:tcPr>
          <w:p>
            <w:pPr>
              <w:pStyle w:val="28"/>
              <w:suppressLineNumbers w:val="0"/>
              <w:bidi w:val="0"/>
              <w:spacing w:before="0" w:after="0"/>
              <w:ind w:left="0" w:right="0"/>
              <w:jc w:val="center"/>
            </w:pPr>
            <w:r>
              <w:t>-</w:t>
            </w:r>
          </w:p>
        </w:tc>
        <w:tc>
          <w:tcPr>
            <w:tcW w:w="460" w:type="pct"/>
            <w:tcBorders>
              <w:tl2br w:val="nil"/>
              <w:tr2bl w:val="nil"/>
            </w:tcBorders>
            <w:noWrap w:val="0"/>
            <w:vAlign w:val="center"/>
          </w:tcPr>
          <w:p>
            <w:pPr>
              <w:pStyle w:val="28"/>
              <w:suppressLineNumbers w:val="0"/>
              <w:bidi w:val="0"/>
              <w:spacing w:before="0" w:after="0"/>
              <w:ind w:left="0" w:right="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000" w:type="pct"/>
            <w:gridSpan w:val="10"/>
            <w:tcBorders>
              <w:tl2br w:val="nil"/>
              <w:tr2bl w:val="nil"/>
            </w:tcBorders>
            <w:noWrap w:val="0"/>
            <w:vAlign w:val="center"/>
          </w:tcPr>
          <w:p>
            <w:pPr>
              <w:pStyle w:val="28"/>
              <w:suppressLineNumbers w:val="0"/>
              <w:bidi w:val="0"/>
              <w:spacing w:before="0" w:after="0"/>
              <w:ind w:left="0" w:right="0"/>
              <w:jc w:val="left"/>
            </w:pPr>
            <w:r>
              <w:t>注：“-”表示可不开展土壤环境影响评价工作。</w:t>
            </w:r>
          </w:p>
        </w:tc>
      </w:tr>
    </w:tbl>
    <w:p>
      <w:pPr>
        <w:pStyle w:val="6"/>
        <w:bidi w:val="0"/>
        <w:rPr>
          <w:rFonts w:hint="default"/>
          <w:lang w:val="en-US" w:eastAsia="zh-CN"/>
        </w:rPr>
      </w:pPr>
      <w:r>
        <w:rPr>
          <w:rFonts w:hint="eastAsia"/>
          <w:lang w:val="en-US" w:eastAsia="zh-CN"/>
        </w:rPr>
        <w:t>5.4.2.2 调查评价范围</w:t>
      </w:r>
    </w:p>
    <w:p>
      <w:pPr>
        <w:bidi w:val="0"/>
        <w:rPr>
          <w:rFonts w:hint="eastAsia"/>
        </w:rPr>
      </w:pPr>
      <w:r>
        <w:rPr>
          <w:rFonts w:hint="eastAsia"/>
        </w:rPr>
        <w:t>参考《环境影响评价技术导则 土壤环境（试行）》（HJ964-2018），本项目影响范围确定为0.</w:t>
      </w:r>
      <w:r>
        <w:rPr>
          <w:rFonts w:hint="eastAsia"/>
          <w:lang w:val="en-US" w:eastAsia="zh-CN"/>
        </w:rPr>
        <w:t>05</w:t>
      </w:r>
      <w:r>
        <w:rPr>
          <w:rFonts w:hint="eastAsia"/>
        </w:rPr>
        <w:t>km。</w:t>
      </w:r>
    </w:p>
    <w:p>
      <w:pPr>
        <w:pStyle w:val="5"/>
        <w:bidi w:val="0"/>
        <w:rPr>
          <w:rFonts w:hint="eastAsia"/>
        </w:rPr>
      </w:pPr>
      <w:r>
        <w:rPr>
          <w:rFonts w:hint="eastAsia"/>
          <w:lang w:val="en-US" w:eastAsia="zh-CN"/>
        </w:rPr>
        <w:t>5.4.3</w:t>
      </w:r>
      <w:r>
        <w:rPr>
          <w:rFonts w:hint="eastAsia"/>
        </w:rPr>
        <w:t xml:space="preserve">土壤环境影响预测评价 </w:t>
      </w:r>
    </w:p>
    <w:p>
      <w:pPr>
        <w:pStyle w:val="6"/>
        <w:bidi w:val="0"/>
        <w:rPr>
          <w:rFonts w:hint="eastAsia"/>
        </w:rPr>
      </w:pPr>
      <w:r>
        <w:rPr>
          <w:rFonts w:hint="eastAsia"/>
          <w:lang w:val="en-US" w:eastAsia="zh-CN"/>
        </w:rPr>
        <w:t>5.4.3</w:t>
      </w:r>
      <w:r>
        <w:rPr>
          <w:rFonts w:hint="eastAsia"/>
        </w:rPr>
        <w:t xml:space="preserve">.1 施工期土壤环境影响分析及评价 </w:t>
      </w:r>
    </w:p>
    <w:p>
      <w:pPr>
        <w:spacing w:beforeLines="0" w:afterLines="0"/>
        <w:jc w:val="left"/>
        <w:rPr>
          <w:rFonts w:hint="eastAsia" w:ascii="宋体" w:hAnsi="宋体" w:eastAsia="宋体"/>
          <w:color w:val="000000"/>
          <w:sz w:val="28"/>
        </w:rPr>
      </w:pPr>
      <w:r>
        <w:rPr>
          <w:rFonts w:hint="eastAsia" w:ascii="宋体" w:hAnsi="宋体" w:eastAsia="宋体"/>
          <w:color w:val="000000"/>
          <w:sz w:val="28"/>
        </w:rPr>
        <w:t>本项目施工期主要是土建工程</w:t>
      </w:r>
      <w:r>
        <w:rPr>
          <w:rFonts w:hint="eastAsia" w:ascii="宋体" w:hAnsi="宋体"/>
          <w:color w:val="000000"/>
          <w:sz w:val="28"/>
          <w:lang w:eastAsia="zh-CN"/>
        </w:rPr>
        <w:t>和设备安装</w:t>
      </w:r>
      <w:r>
        <w:rPr>
          <w:rFonts w:hint="eastAsia" w:ascii="宋体" w:hAnsi="宋体" w:eastAsia="宋体"/>
          <w:color w:val="000000"/>
          <w:sz w:val="28"/>
        </w:rPr>
        <w:t xml:space="preserve">。施工过程不涉及危险化学品和其他环境风险物质的使用，不涉及其他土壤污染物。 </w:t>
      </w:r>
    </w:p>
    <w:p>
      <w:pPr>
        <w:spacing w:beforeLines="0" w:afterLines="0"/>
        <w:jc w:val="left"/>
        <w:rPr>
          <w:rFonts w:hint="eastAsia" w:ascii="宋体" w:hAnsi="宋体" w:eastAsia="宋体"/>
          <w:color w:val="000000"/>
          <w:sz w:val="28"/>
        </w:rPr>
      </w:pPr>
      <w:r>
        <w:rPr>
          <w:rFonts w:hint="eastAsia" w:ascii="宋体" w:hAnsi="宋体" w:eastAsia="宋体"/>
          <w:color w:val="000000"/>
          <w:sz w:val="28"/>
        </w:rPr>
        <w:t xml:space="preserve">因此认为本项目施工期土壤环境影响可以忽略。 </w:t>
      </w:r>
    </w:p>
    <w:p>
      <w:pPr>
        <w:pStyle w:val="6"/>
        <w:bidi w:val="0"/>
        <w:rPr>
          <w:rFonts w:hint="eastAsia"/>
        </w:rPr>
      </w:pPr>
      <w:r>
        <w:rPr>
          <w:rFonts w:hint="eastAsia"/>
          <w:lang w:val="en-US" w:eastAsia="zh-CN"/>
        </w:rPr>
        <w:t>5.4.3</w:t>
      </w:r>
      <w:r>
        <w:rPr>
          <w:rFonts w:hint="eastAsia"/>
        </w:rPr>
        <w:t xml:space="preserve">.2 运行期土壤环境影响预测评价 </w:t>
      </w:r>
    </w:p>
    <w:p>
      <w:pPr>
        <w:bidi w:val="0"/>
        <w:rPr>
          <w:rFonts w:hint="eastAsia"/>
        </w:rPr>
      </w:pPr>
      <w:r>
        <w:rPr>
          <w:rFonts w:hint="eastAsia"/>
        </w:rPr>
        <w:t>本项目土壤环境影响评价技术等级为</w:t>
      </w:r>
      <w:r>
        <w:rPr>
          <w:rFonts w:hint="eastAsia"/>
          <w:lang w:eastAsia="zh-CN"/>
        </w:rPr>
        <w:t>三</w:t>
      </w:r>
      <w:r>
        <w:rPr>
          <w:rFonts w:hint="eastAsia"/>
        </w:rPr>
        <w:t>级，根据《环境影响评价技术导则 土壤环境（试行）》（HJ964-2018），土壤预测方法可采用</w:t>
      </w:r>
      <w:r>
        <w:rPr>
          <w:rFonts w:hint="eastAsia"/>
          <w:lang w:eastAsia="zh-CN"/>
        </w:rPr>
        <w:t>定性描述</w:t>
      </w:r>
      <w:r>
        <w:rPr>
          <w:rFonts w:hint="eastAsia"/>
        </w:rPr>
        <w:t xml:space="preserve">，也可以采用类比法。 </w:t>
      </w:r>
    </w:p>
    <w:p>
      <w:pPr>
        <w:bidi w:val="0"/>
        <w:rPr>
          <w:rFonts w:hint="eastAsia"/>
        </w:rPr>
      </w:pPr>
      <w:r>
        <w:rPr>
          <w:rFonts w:hint="eastAsia"/>
        </w:rPr>
        <w:t>从现状监测结果看，对照GB36600-2018表1 环境风险筛选值可知，各项污染物指数均低于1，满足相应标准二类用地筛选值的要求。</w:t>
      </w:r>
    </w:p>
    <w:p>
      <w:pPr>
        <w:bidi w:val="0"/>
        <w:rPr>
          <w:rFonts w:hint="eastAsia"/>
        </w:rPr>
      </w:pPr>
      <w:r>
        <w:rPr>
          <w:rFonts w:hint="eastAsia"/>
          <w:lang w:eastAsia="zh-CN"/>
        </w:rPr>
        <w:t>大气预测结果表明，在大气污染处理措施正常运行的情况下，颗粒物出现最大浓度占标率为</w:t>
      </w:r>
      <w:r>
        <w:rPr>
          <w:rFonts w:hint="eastAsia"/>
          <w:lang w:val="en-US" w:eastAsia="zh-CN"/>
        </w:rPr>
        <w:t>8.6137%，</w:t>
      </w:r>
      <w:r>
        <w:t>下风向最大浓度出现距离</w:t>
      </w:r>
      <w:r>
        <w:rPr>
          <w:rFonts w:hint="eastAsia"/>
          <w:lang w:eastAsia="zh-CN"/>
        </w:rPr>
        <w:t>为</w:t>
      </w:r>
      <w:r>
        <w:rPr>
          <w:rFonts w:hint="eastAsia"/>
          <w:lang w:val="en-US" w:eastAsia="zh-CN"/>
        </w:rPr>
        <w:t>112米，在厂区周边。因此在</w:t>
      </w:r>
      <w:r>
        <w:rPr>
          <w:rFonts w:hint="eastAsia"/>
          <w:lang w:eastAsia="zh-CN"/>
        </w:rPr>
        <w:t>加强厂区地面硬化和加大厂区及周边绿化面积的情况下，大气降尘对土壤环境影响较小。在加强石膏池防渗防腐的情况下，石膏池垂直入渗对土壤环境影响较小</w:t>
      </w:r>
    </w:p>
    <w:p>
      <w:pPr>
        <w:pStyle w:val="5"/>
        <w:bidi w:val="0"/>
        <w:rPr>
          <w:rFonts w:hint="eastAsia"/>
        </w:rPr>
      </w:pPr>
      <w:r>
        <w:rPr>
          <w:rFonts w:hint="eastAsia"/>
          <w:lang w:val="en-US" w:eastAsia="zh-CN"/>
        </w:rPr>
        <w:t>5.4.4</w:t>
      </w:r>
      <w:r>
        <w:rPr>
          <w:rFonts w:hint="eastAsia"/>
        </w:rPr>
        <w:t xml:space="preserve">结论 </w:t>
      </w:r>
    </w:p>
    <w:p>
      <w:pPr>
        <w:bidi w:val="0"/>
        <w:rPr>
          <w:rFonts w:hint="eastAsia"/>
        </w:rPr>
      </w:pPr>
      <w:r>
        <w:rPr>
          <w:rFonts w:hint="eastAsia"/>
        </w:rPr>
        <w:t>经监测，</w:t>
      </w:r>
      <w:r>
        <w:rPr>
          <w:rFonts w:hint="eastAsia"/>
          <w:lang w:eastAsia="zh-CN"/>
        </w:rPr>
        <w:t>项目</w:t>
      </w:r>
      <w:r>
        <w:rPr>
          <w:rFonts w:hint="eastAsia"/>
        </w:rPr>
        <w:t>厂区内各土壤监测点监测指标均能够满足（GB36600-2018）标准要求。类比</w:t>
      </w:r>
      <w:r>
        <w:rPr>
          <w:rFonts w:hint="eastAsia"/>
          <w:lang w:eastAsia="zh-CN"/>
        </w:rPr>
        <w:t>同类工程</w:t>
      </w:r>
      <w:r>
        <w:rPr>
          <w:rFonts w:hint="eastAsia"/>
        </w:rPr>
        <w:t>运行情况以及对土壤环境的影响情况，本次环评认为项目建成后，</w:t>
      </w:r>
      <w:r>
        <w:rPr>
          <w:rFonts w:hint="eastAsia"/>
          <w:lang w:eastAsia="zh-CN"/>
        </w:rPr>
        <w:t>在加强厂区地面硬化和加大厂区及周边绿化面积的情况下</w:t>
      </w:r>
      <w:r>
        <w:rPr>
          <w:rFonts w:hint="eastAsia"/>
        </w:rPr>
        <w:t>，从土壤环境影响上，本项目建设是可行的。</w:t>
      </w:r>
    </w:p>
    <w:p>
      <w:pPr>
        <w:pStyle w:val="27"/>
        <w:bidi w:val="0"/>
        <w:rPr>
          <w:rFonts w:hint="eastAsia"/>
        </w:rPr>
      </w:pPr>
      <w:r>
        <w:rPr>
          <w:rFonts w:hint="eastAsia"/>
          <w:lang w:eastAsia="zh-CN"/>
        </w:rPr>
        <w:t>表</w:t>
      </w:r>
      <w:r>
        <w:rPr>
          <w:rFonts w:hint="eastAsia"/>
          <w:lang w:val="en-US" w:eastAsia="zh-CN"/>
        </w:rPr>
        <w:t>5.4.4-1</w:t>
      </w:r>
      <w:r>
        <w:rPr>
          <w:rFonts w:hint="eastAsia"/>
        </w:rPr>
        <w:t>土壤环境影响评价自查表</w:t>
      </w:r>
    </w:p>
    <w:tbl>
      <w:tblPr>
        <w:tblStyle w:val="21"/>
        <w:tblW w:w="5003"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03"/>
        <w:gridCol w:w="1628"/>
        <w:gridCol w:w="1349"/>
        <w:gridCol w:w="1479"/>
        <w:gridCol w:w="1567"/>
        <w:gridCol w:w="551"/>
        <w:gridCol w:w="1796"/>
        <w:gridCol w:w="1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988" w:type="pct"/>
            <w:gridSpan w:val="2"/>
            <w:tcBorders>
              <w:tl2br w:val="nil"/>
              <w:tr2bl w:val="nil"/>
            </w:tcBorders>
            <w:noWrap w:val="0"/>
            <w:vAlign w:val="center"/>
          </w:tcPr>
          <w:p>
            <w:pPr>
              <w:pStyle w:val="28"/>
              <w:suppressLineNumbers w:val="0"/>
              <w:bidi w:val="0"/>
              <w:spacing w:before="0" w:after="0"/>
              <w:ind w:left="0" w:right="0"/>
            </w:pPr>
            <w:r>
              <w:t>工作内容</w:t>
            </w:r>
          </w:p>
        </w:tc>
        <w:tc>
          <w:tcPr>
            <w:tcW w:w="3450" w:type="pct"/>
            <w:gridSpan w:val="5"/>
            <w:tcBorders>
              <w:tl2br w:val="nil"/>
              <w:tr2bl w:val="nil"/>
            </w:tcBorders>
            <w:noWrap w:val="0"/>
            <w:vAlign w:val="center"/>
          </w:tcPr>
          <w:p>
            <w:pPr>
              <w:pStyle w:val="28"/>
              <w:suppressLineNumbers w:val="0"/>
              <w:bidi w:val="0"/>
              <w:spacing w:before="0" w:after="0"/>
              <w:ind w:left="0" w:right="0"/>
            </w:pPr>
            <w:r>
              <w:t>完成情况</w:t>
            </w:r>
          </w:p>
        </w:tc>
        <w:tc>
          <w:tcPr>
            <w:tcW w:w="561" w:type="pct"/>
            <w:tcBorders>
              <w:tl2br w:val="nil"/>
              <w:tr2bl w:val="nil"/>
            </w:tcBorders>
            <w:noWrap w:val="0"/>
            <w:vAlign w:val="center"/>
          </w:tcPr>
          <w:p>
            <w:pPr>
              <w:pStyle w:val="28"/>
              <w:suppressLineNumbers w:val="0"/>
              <w:bidi w:val="0"/>
              <w:spacing w:before="0" w:after="0"/>
              <w:ind w:left="0" w:right="0"/>
            </w:pPr>
            <w: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restart"/>
            <w:tcBorders>
              <w:tl2br w:val="nil"/>
              <w:tr2bl w:val="nil"/>
            </w:tcBorders>
            <w:noWrap w:val="0"/>
            <w:vAlign w:val="center"/>
          </w:tcPr>
          <w:p>
            <w:pPr>
              <w:pStyle w:val="28"/>
              <w:suppressLineNumbers w:val="0"/>
              <w:bidi w:val="0"/>
              <w:spacing w:before="0" w:after="0"/>
              <w:ind w:left="0" w:right="0"/>
            </w:pPr>
            <w:r>
              <w:t>影响识别</w:t>
            </w:r>
          </w:p>
        </w:tc>
        <w:tc>
          <w:tcPr>
            <w:tcW w:w="833" w:type="pct"/>
            <w:tcBorders>
              <w:tl2br w:val="nil"/>
              <w:tr2bl w:val="nil"/>
            </w:tcBorders>
            <w:noWrap w:val="0"/>
            <w:vAlign w:val="center"/>
          </w:tcPr>
          <w:p>
            <w:pPr>
              <w:pStyle w:val="28"/>
              <w:suppressLineNumbers w:val="0"/>
              <w:bidi w:val="0"/>
              <w:spacing w:before="0" w:after="0"/>
              <w:ind w:left="0" w:right="0"/>
            </w:pPr>
            <w:r>
              <w:t>影响类型</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污染影响型</w:t>
            </w:r>
            <w:r>
              <w:rPr>
                <w:rFonts w:hint="eastAsia"/>
                <w:lang w:eastAsia="zh-CN"/>
              </w:rPr>
              <w:t>☑</w:t>
            </w:r>
            <w:r>
              <w:rPr>
                <w:lang w:eastAsia="zh-CN"/>
              </w:rPr>
              <w:t>；生态影响型□；两种兼有□</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rPr>
                <w:lang w:eastAsia="zh-CN"/>
              </w:rPr>
            </w:pPr>
          </w:p>
        </w:tc>
        <w:tc>
          <w:tcPr>
            <w:tcW w:w="833" w:type="pct"/>
            <w:tcBorders>
              <w:tl2br w:val="nil"/>
              <w:tr2bl w:val="nil"/>
            </w:tcBorders>
            <w:noWrap w:val="0"/>
            <w:vAlign w:val="center"/>
          </w:tcPr>
          <w:p>
            <w:pPr>
              <w:pStyle w:val="28"/>
              <w:suppressLineNumbers w:val="0"/>
              <w:bidi w:val="0"/>
              <w:spacing w:before="0" w:after="0"/>
              <w:ind w:left="0" w:right="0"/>
            </w:pPr>
            <w:r>
              <w:t>土地利用类型</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建设用地</w:t>
            </w:r>
            <w:r>
              <w:rPr>
                <w:rFonts w:hint="eastAsia"/>
                <w:lang w:eastAsia="zh-CN"/>
              </w:rPr>
              <w:t>☑</w:t>
            </w:r>
            <w:r>
              <w:rPr>
                <w:lang w:eastAsia="zh-CN"/>
              </w:rPr>
              <w:t>；农用地□；未利用地□</w:t>
            </w:r>
          </w:p>
        </w:tc>
        <w:tc>
          <w:tcPr>
            <w:tcW w:w="561" w:type="pct"/>
            <w:tcBorders>
              <w:tl2br w:val="nil"/>
              <w:tr2bl w:val="nil"/>
            </w:tcBorders>
            <w:noWrap w:val="0"/>
            <w:vAlign w:val="center"/>
          </w:tcPr>
          <w:p>
            <w:pPr>
              <w:pStyle w:val="28"/>
              <w:suppressLineNumbers w:val="0"/>
              <w:bidi w:val="0"/>
              <w:spacing w:before="0" w:after="0"/>
              <w:ind w:left="0" w:right="0"/>
            </w:pPr>
            <w:r>
              <w:t>土地利用类</w:t>
            </w:r>
          </w:p>
          <w:p>
            <w:pPr>
              <w:pStyle w:val="28"/>
              <w:suppressLineNumbers w:val="0"/>
              <w:bidi w:val="0"/>
              <w:spacing w:before="0" w:after="0"/>
              <w:ind w:left="0" w:right="0"/>
            </w:pPr>
            <w:r>
              <w:t>型图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占地规模</w:t>
            </w:r>
          </w:p>
        </w:tc>
        <w:tc>
          <w:tcPr>
            <w:tcW w:w="3450" w:type="pct"/>
            <w:gridSpan w:val="5"/>
            <w:tcBorders>
              <w:tl2br w:val="nil"/>
              <w:tr2bl w:val="nil"/>
            </w:tcBorders>
            <w:noWrap w:val="0"/>
            <w:vAlign w:val="center"/>
          </w:tcPr>
          <w:p>
            <w:pPr>
              <w:pStyle w:val="28"/>
              <w:suppressLineNumbers w:val="0"/>
              <w:bidi w:val="0"/>
              <w:spacing w:before="0" w:after="0"/>
              <w:ind w:left="0" w:right="0"/>
            </w:pPr>
            <w:r>
              <w:t>（</w:t>
            </w:r>
            <w:r>
              <w:rPr>
                <w:rFonts w:hint="eastAsia"/>
                <w:lang w:val="en-US" w:eastAsia="zh-CN"/>
              </w:rPr>
              <w:t>4</w:t>
            </w:r>
            <w:r>
              <w:t>）hm</w:t>
            </w:r>
            <w:r>
              <w:rPr>
                <w:vertAlign w:val="superscript"/>
              </w:rPr>
              <w:t>2</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敏感目标信息</w:t>
            </w:r>
          </w:p>
        </w:tc>
        <w:tc>
          <w:tcPr>
            <w:tcW w:w="3450" w:type="pct"/>
            <w:gridSpan w:val="5"/>
            <w:tcBorders>
              <w:tl2br w:val="nil"/>
              <w:tr2bl w:val="nil"/>
            </w:tcBorders>
            <w:noWrap w:val="0"/>
            <w:vAlign w:val="center"/>
          </w:tcPr>
          <w:p>
            <w:pPr>
              <w:pStyle w:val="28"/>
              <w:suppressLineNumbers w:val="0"/>
              <w:bidi w:val="0"/>
              <w:spacing w:before="0" w:after="0"/>
              <w:ind w:left="0" w:right="0"/>
              <w:rPr>
                <w:rFonts w:hint="default"/>
                <w:lang w:val="en-US"/>
              </w:rPr>
            </w:pPr>
            <w:r>
              <w:rPr>
                <w:lang w:eastAsia="zh-CN"/>
              </w:rPr>
              <w:t>敏感目标（</w:t>
            </w:r>
            <w:r>
              <w:t>周边均为规划的工业用地</w:t>
            </w:r>
            <w:r>
              <w:rPr>
                <w:lang w:eastAsia="zh-CN"/>
              </w:rPr>
              <w:t>）、方位（</w:t>
            </w:r>
            <w:r>
              <w:rPr>
                <w:rFonts w:hint="eastAsia"/>
                <w:lang w:val="en-US" w:eastAsia="zh-CN"/>
              </w:rPr>
              <w:t>N</w:t>
            </w:r>
            <w:r>
              <w:rPr>
                <w:lang w:eastAsia="zh-CN"/>
              </w:rPr>
              <w:t>）、距离</w:t>
            </w:r>
            <w:r>
              <w:rPr>
                <w:rFonts w:hint="eastAsia"/>
                <w:lang w:val="en-US" w:eastAsia="zh-CN"/>
              </w:rPr>
              <w:t>10m</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影响途径</w:t>
            </w:r>
          </w:p>
        </w:tc>
        <w:tc>
          <w:tcPr>
            <w:tcW w:w="3450" w:type="pct"/>
            <w:gridSpan w:val="5"/>
            <w:tcBorders>
              <w:tl2br w:val="nil"/>
              <w:tr2bl w:val="nil"/>
            </w:tcBorders>
            <w:noWrap w:val="0"/>
            <w:vAlign w:val="center"/>
          </w:tcPr>
          <w:p>
            <w:pPr>
              <w:pStyle w:val="28"/>
              <w:suppressLineNumbers w:val="0"/>
              <w:bidi w:val="0"/>
              <w:spacing w:before="0" w:after="0"/>
              <w:ind w:left="0" w:right="0"/>
            </w:pPr>
            <w:r>
              <w:rPr>
                <w:lang w:eastAsia="zh-CN"/>
              </w:rPr>
              <w:t>大气沉降</w:t>
            </w:r>
            <w:r>
              <w:rPr>
                <w:rFonts w:hint="eastAsia"/>
                <w:lang w:eastAsia="zh-CN"/>
              </w:rPr>
              <w:t>☑</w:t>
            </w:r>
            <w:r>
              <w:rPr>
                <w:lang w:eastAsia="zh-CN"/>
              </w:rPr>
              <w:t>；地面漫流</w:t>
            </w:r>
            <w:r>
              <w:rPr>
                <w:rFonts w:hint="eastAsia"/>
                <w:lang w:eastAsia="zh-CN"/>
              </w:rPr>
              <w:t>□</w:t>
            </w:r>
            <w:r>
              <w:rPr>
                <w:lang w:eastAsia="zh-CN"/>
              </w:rPr>
              <w:t>；垂直入渗</w:t>
            </w:r>
            <w:r>
              <w:rPr>
                <w:rFonts w:hint="eastAsia"/>
                <w:lang w:eastAsia="zh-CN"/>
              </w:rPr>
              <w:t>☑</w:t>
            </w:r>
            <w:r>
              <w:rPr>
                <w:lang w:eastAsia="zh-CN"/>
              </w:rPr>
              <w:t>；地下水位</w:t>
            </w:r>
            <w:r>
              <w:rPr>
                <w:rFonts w:hint="eastAsia"/>
                <w:lang w:eastAsia="zh-CN"/>
              </w:rPr>
              <w:t>□</w:t>
            </w:r>
            <w:r>
              <w:rPr>
                <w:lang w:eastAsia="zh-CN"/>
              </w:rPr>
              <w:t>；其他</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全部污染物</w:t>
            </w:r>
          </w:p>
        </w:tc>
        <w:tc>
          <w:tcPr>
            <w:tcW w:w="3450" w:type="pct"/>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颗粒物</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特征因子</w:t>
            </w:r>
          </w:p>
        </w:tc>
        <w:tc>
          <w:tcPr>
            <w:tcW w:w="3450" w:type="pct"/>
            <w:gridSpan w:val="5"/>
            <w:tcBorders>
              <w:tl2br w:val="nil"/>
              <w:tr2bl w:val="nil"/>
            </w:tcBorders>
            <w:noWrap w:val="0"/>
            <w:vAlign w:val="center"/>
          </w:tcPr>
          <w:p>
            <w:pPr>
              <w:pStyle w:val="28"/>
              <w:suppressLineNumbers w:val="0"/>
              <w:bidi w:val="0"/>
              <w:spacing w:before="0" w:after="0"/>
              <w:ind w:left="0" w:right="0"/>
            </w:pPr>
            <w:r>
              <w:rPr>
                <w:rFonts w:hint="eastAsia"/>
                <w:lang w:val="en-US"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rPr>
                <w:lang w:eastAsia="zh-CN"/>
              </w:rPr>
            </w:pPr>
            <w:r>
              <w:rPr>
                <w:lang w:eastAsia="zh-CN"/>
              </w:rPr>
              <w:t>所属土壤环境影响</w:t>
            </w:r>
          </w:p>
          <w:p>
            <w:pPr>
              <w:pStyle w:val="28"/>
              <w:suppressLineNumbers w:val="0"/>
              <w:bidi w:val="0"/>
              <w:spacing w:before="0" w:after="0"/>
              <w:ind w:left="0" w:right="0"/>
              <w:rPr>
                <w:lang w:eastAsia="zh-CN"/>
              </w:rPr>
            </w:pPr>
            <w:r>
              <w:rPr>
                <w:lang w:eastAsia="zh-CN"/>
              </w:rPr>
              <w:t>评价项目类别</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Ⅰ类□；Ⅱ类</w:t>
            </w:r>
            <w:r>
              <w:rPr>
                <w:rFonts w:hint="eastAsia"/>
                <w:lang w:eastAsia="zh-CN"/>
              </w:rPr>
              <w:t>□</w:t>
            </w:r>
            <w:r>
              <w:rPr>
                <w:lang w:eastAsia="zh-CN"/>
              </w:rPr>
              <w:t>；Ⅲ类</w:t>
            </w:r>
            <w:r>
              <w:rPr>
                <w:rFonts w:hint="eastAsia"/>
                <w:lang w:eastAsia="zh-CN"/>
              </w:rPr>
              <w:t>☑</w:t>
            </w:r>
            <w:r>
              <w:rPr>
                <w:lang w:eastAsia="zh-CN"/>
              </w:rPr>
              <w:t>；Ⅳ类□</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rPr>
                <w:lang w:eastAsia="zh-CN"/>
              </w:rPr>
            </w:pPr>
          </w:p>
        </w:tc>
        <w:tc>
          <w:tcPr>
            <w:tcW w:w="833" w:type="pct"/>
            <w:tcBorders>
              <w:tl2br w:val="nil"/>
              <w:tr2bl w:val="nil"/>
            </w:tcBorders>
            <w:noWrap w:val="0"/>
            <w:vAlign w:val="center"/>
          </w:tcPr>
          <w:p>
            <w:pPr>
              <w:pStyle w:val="28"/>
              <w:suppressLineNumbers w:val="0"/>
              <w:bidi w:val="0"/>
              <w:spacing w:before="0" w:after="0"/>
              <w:ind w:left="0" w:right="0"/>
            </w:pPr>
            <w:r>
              <w:t>敏感程度</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敏感</w:t>
            </w:r>
            <w:r>
              <w:rPr>
                <w:rFonts w:hint="eastAsia"/>
                <w:lang w:eastAsia="zh-CN"/>
              </w:rPr>
              <w:t>☑</w:t>
            </w:r>
            <w:r>
              <w:rPr>
                <w:lang w:eastAsia="zh-CN"/>
              </w:rPr>
              <w:t>；较敏感□；不敏感</w:t>
            </w:r>
            <w:r>
              <w:rPr>
                <w:rFonts w:hint="eastAsia"/>
                <w:lang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988" w:type="pct"/>
            <w:gridSpan w:val="2"/>
            <w:tcBorders>
              <w:tl2br w:val="nil"/>
              <w:tr2bl w:val="nil"/>
            </w:tcBorders>
            <w:noWrap w:val="0"/>
            <w:vAlign w:val="center"/>
          </w:tcPr>
          <w:p>
            <w:pPr>
              <w:pStyle w:val="28"/>
              <w:suppressLineNumbers w:val="0"/>
              <w:bidi w:val="0"/>
              <w:spacing w:before="0" w:after="0"/>
              <w:ind w:left="0" w:right="0"/>
            </w:pPr>
            <w:r>
              <w:t>评价工作等级</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一级□；二级□；三级</w:t>
            </w:r>
            <w:r>
              <w:rPr>
                <w:rFonts w:hint="eastAsia"/>
                <w:lang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restart"/>
            <w:tcBorders>
              <w:tl2br w:val="nil"/>
              <w:tr2bl w:val="nil"/>
            </w:tcBorders>
            <w:noWrap w:val="0"/>
            <w:vAlign w:val="center"/>
          </w:tcPr>
          <w:p>
            <w:pPr>
              <w:pStyle w:val="28"/>
              <w:suppressLineNumbers w:val="0"/>
              <w:bidi w:val="0"/>
              <w:spacing w:before="0" w:after="0"/>
              <w:ind w:left="0" w:right="0"/>
            </w:pPr>
            <w:r>
              <w:t>现状调查内容</w:t>
            </w:r>
          </w:p>
        </w:tc>
        <w:tc>
          <w:tcPr>
            <w:tcW w:w="833" w:type="pct"/>
            <w:tcBorders>
              <w:tl2br w:val="nil"/>
              <w:tr2bl w:val="nil"/>
            </w:tcBorders>
            <w:noWrap w:val="0"/>
            <w:vAlign w:val="center"/>
          </w:tcPr>
          <w:p>
            <w:pPr>
              <w:pStyle w:val="28"/>
              <w:suppressLineNumbers w:val="0"/>
              <w:bidi w:val="0"/>
              <w:spacing w:before="0" w:after="0"/>
              <w:ind w:left="0" w:right="0"/>
            </w:pPr>
            <w:r>
              <w:t>资料收集</w:t>
            </w:r>
          </w:p>
        </w:tc>
        <w:tc>
          <w:tcPr>
            <w:tcW w:w="3450" w:type="pct"/>
            <w:gridSpan w:val="5"/>
            <w:tcBorders>
              <w:tl2br w:val="nil"/>
              <w:tr2bl w:val="nil"/>
            </w:tcBorders>
            <w:noWrap w:val="0"/>
            <w:vAlign w:val="center"/>
          </w:tcPr>
          <w:p>
            <w:pPr>
              <w:pStyle w:val="28"/>
              <w:suppressLineNumbers w:val="0"/>
              <w:bidi w:val="0"/>
              <w:spacing w:before="0" w:after="0"/>
              <w:ind w:left="0" w:right="0"/>
              <w:rPr>
                <w:rFonts w:hint="eastAsia"/>
                <w:lang w:eastAsia="zh-CN"/>
              </w:rPr>
            </w:pPr>
            <w:r>
              <w:t>a）□；b）□；c）</w:t>
            </w:r>
            <w:r>
              <w:rPr>
                <w:rFonts w:hint="eastAsia"/>
                <w:lang w:eastAsia="zh-CN"/>
              </w:rPr>
              <w:t>☑</w:t>
            </w:r>
            <w:r>
              <w:t>；d）</w:t>
            </w:r>
            <w:r>
              <w:rPr>
                <w:rFonts w:hint="eastAsia"/>
                <w:lang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理化特性</w:t>
            </w:r>
          </w:p>
        </w:tc>
        <w:tc>
          <w:tcPr>
            <w:tcW w:w="3450" w:type="pct"/>
            <w:gridSpan w:val="5"/>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561" w:type="pc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vMerge w:val="restart"/>
            <w:tcBorders>
              <w:tl2br w:val="nil"/>
              <w:tr2bl w:val="nil"/>
            </w:tcBorders>
            <w:noWrap w:val="0"/>
            <w:vAlign w:val="center"/>
          </w:tcPr>
          <w:p>
            <w:pPr>
              <w:pStyle w:val="28"/>
              <w:suppressLineNumbers w:val="0"/>
              <w:bidi w:val="0"/>
              <w:spacing w:before="0" w:after="0"/>
              <w:ind w:left="0" w:right="0"/>
            </w:pPr>
            <w:r>
              <w:t>现状监测点位</w:t>
            </w:r>
          </w:p>
        </w:tc>
        <w:tc>
          <w:tcPr>
            <w:tcW w:w="690" w:type="pct"/>
            <w:tcBorders>
              <w:tl2br w:val="nil"/>
              <w:tr2bl w:val="nil"/>
            </w:tcBorders>
            <w:noWrap w:val="0"/>
            <w:vAlign w:val="center"/>
          </w:tcPr>
          <w:p>
            <w:pPr>
              <w:pStyle w:val="28"/>
              <w:suppressLineNumbers w:val="0"/>
              <w:bidi w:val="0"/>
              <w:spacing w:before="0" w:after="0"/>
              <w:ind w:left="0" w:right="0"/>
              <w:outlineLvl w:val="9"/>
            </w:pPr>
          </w:p>
        </w:tc>
        <w:tc>
          <w:tcPr>
            <w:tcW w:w="757" w:type="pct"/>
            <w:tcBorders>
              <w:tl2br w:val="nil"/>
              <w:tr2bl w:val="nil"/>
            </w:tcBorders>
            <w:noWrap w:val="0"/>
            <w:vAlign w:val="center"/>
          </w:tcPr>
          <w:p>
            <w:pPr>
              <w:pStyle w:val="28"/>
              <w:suppressLineNumbers w:val="0"/>
              <w:bidi w:val="0"/>
              <w:spacing w:before="0" w:after="0"/>
              <w:ind w:left="0" w:right="0"/>
            </w:pPr>
            <w:r>
              <w:t>占地范围内</w:t>
            </w:r>
          </w:p>
        </w:tc>
        <w:tc>
          <w:tcPr>
            <w:tcW w:w="1084" w:type="pct"/>
            <w:gridSpan w:val="2"/>
            <w:tcBorders>
              <w:tl2br w:val="nil"/>
              <w:tr2bl w:val="nil"/>
            </w:tcBorders>
            <w:noWrap w:val="0"/>
            <w:vAlign w:val="center"/>
          </w:tcPr>
          <w:p>
            <w:pPr>
              <w:pStyle w:val="28"/>
              <w:suppressLineNumbers w:val="0"/>
              <w:bidi w:val="0"/>
              <w:spacing w:before="0" w:after="0"/>
              <w:ind w:left="0" w:right="0"/>
            </w:pPr>
            <w:r>
              <w:t>占地范围外</w:t>
            </w:r>
          </w:p>
        </w:tc>
        <w:tc>
          <w:tcPr>
            <w:tcW w:w="917" w:type="pct"/>
            <w:tcBorders>
              <w:tl2br w:val="nil"/>
              <w:tr2bl w:val="nil"/>
            </w:tcBorders>
            <w:noWrap w:val="0"/>
            <w:vAlign w:val="center"/>
          </w:tcPr>
          <w:p>
            <w:pPr>
              <w:pStyle w:val="28"/>
              <w:suppressLineNumbers w:val="0"/>
              <w:bidi w:val="0"/>
              <w:spacing w:before="0" w:after="0"/>
              <w:ind w:left="0" w:right="0"/>
            </w:pPr>
            <w:r>
              <w:t>深度</w:t>
            </w:r>
          </w:p>
        </w:tc>
        <w:tc>
          <w:tcPr>
            <w:tcW w:w="561" w:type="pct"/>
            <w:vMerge w:val="restart"/>
            <w:tcBorders>
              <w:tl2br w:val="nil"/>
              <w:tr2bl w:val="nil"/>
            </w:tcBorders>
            <w:noWrap w:val="0"/>
            <w:vAlign w:val="center"/>
          </w:tcPr>
          <w:p>
            <w:pPr>
              <w:pStyle w:val="28"/>
              <w:suppressLineNumbers w:val="0"/>
              <w:bidi w:val="0"/>
              <w:spacing w:before="0" w:after="0"/>
              <w:ind w:left="0" w:right="0"/>
              <w:outlineLvl w:val="9"/>
            </w:pPr>
          </w:p>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vMerge w:val="continue"/>
            <w:tcBorders>
              <w:tl2br w:val="nil"/>
              <w:tr2bl w:val="nil"/>
            </w:tcBorders>
            <w:noWrap w:val="0"/>
            <w:vAlign w:val="center"/>
          </w:tcPr>
          <w:p>
            <w:pPr>
              <w:pStyle w:val="28"/>
              <w:suppressLineNumbers w:val="0"/>
              <w:bidi w:val="0"/>
              <w:spacing w:before="0" w:after="0"/>
              <w:ind w:left="0" w:right="0"/>
              <w:outlineLvl w:val="9"/>
            </w:pPr>
          </w:p>
        </w:tc>
        <w:tc>
          <w:tcPr>
            <w:tcW w:w="690" w:type="pct"/>
            <w:tcBorders>
              <w:tl2br w:val="nil"/>
              <w:tr2bl w:val="nil"/>
            </w:tcBorders>
            <w:noWrap w:val="0"/>
            <w:vAlign w:val="center"/>
          </w:tcPr>
          <w:p>
            <w:pPr>
              <w:pStyle w:val="28"/>
              <w:suppressLineNumbers w:val="0"/>
              <w:bidi w:val="0"/>
              <w:spacing w:before="0" w:after="0"/>
              <w:ind w:left="0" w:right="0"/>
            </w:pPr>
            <w:r>
              <w:t>表层样点数</w:t>
            </w:r>
          </w:p>
        </w:tc>
        <w:tc>
          <w:tcPr>
            <w:tcW w:w="757" w:type="pct"/>
            <w:tcBorders>
              <w:tl2br w:val="nil"/>
              <w:tr2bl w:val="nil"/>
            </w:tcBorders>
            <w:noWrap w:val="0"/>
            <w:vAlign w:val="center"/>
          </w:tcPr>
          <w:p>
            <w:pPr>
              <w:pStyle w:val="28"/>
              <w:suppressLineNumbers w:val="0"/>
              <w:bidi w:val="0"/>
              <w:spacing w:before="0" w:after="0"/>
              <w:ind w:left="0" w:right="0"/>
              <w:rPr>
                <w:lang w:val="en-US" w:eastAsia="zh-CN"/>
              </w:rPr>
            </w:pPr>
            <w:r>
              <w:rPr>
                <w:rFonts w:hint="eastAsia"/>
                <w:lang w:val="en-US" w:eastAsia="zh-CN"/>
              </w:rPr>
              <w:t>1</w:t>
            </w:r>
            <w:r>
              <w:t>个</w:t>
            </w:r>
          </w:p>
        </w:tc>
        <w:tc>
          <w:tcPr>
            <w:tcW w:w="1084" w:type="pct"/>
            <w:gridSpan w:val="2"/>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r>
              <w:t>个</w:t>
            </w:r>
          </w:p>
        </w:tc>
        <w:tc>
          <w:tcPr>
            <w:tcW w:w="917" w:type="pct"/>
            <w:tcBorders>
              <w:tl2br w:val="nil"/>
              <w:tr2bl w:val="nil"/>
            </w:tcBorders>
            <w:noWrap w:val="0"/>
            <w:vAlign w:val="center"/>
          </w:tcPr>
          <w:p>
            <w:pPr>
              <w:pStyle w:val="28"/>
              <w:suppressLineNumbers w:val="0"/>
              <w:bidi w:val="0"/>
              <w:spacing w:before="0" w:after="0"/>
              <w:ind w:left="0" w:right="0"/>
              <w:rPr>
                <w:lang w:val="en-US" w:eastAsia="zh-CN"/>
              </w:rPr>
            </w:pPr>
            <w:r>
              <w:t>0-0.2m</w:t>
            </w:r>
          </w:p>
        </w:tc>
        <w:tc>
          <w:tcPr>
            <w:tcW w:w="561"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vMerge w:val="continue"/>
            <w:tcBorders>
              <w:tl2br w:val="nil"/>
              <w:tr2bl w:val="nil"/>
            </w:tcBorders>
            <w:noWrap w:val="0"/>
            <w:vAlign w:val="center"/>
          </w:tcPr>
          <w:p>
            <w:pPr>
              <w:pStyle w:val="28"/>
              <w:suppressLineNumbers w:val="0"/>
              <w:bidi w:val="0"/>
              <w:spacing w:before="0" w:after="0"/>
              <w:ind w:left="0" w:right="0"/>
              <w:outlineLvl w:val="9"/>
            </w:pPr>
          </w:p>
        </w:tc>
        <w:tc>
          <w:tcPr>
            <w:tcW w:w="690" w:type="pct"/>
            <w:tcBorders>
              <w:tl2br w:val="nil"/>
              <w:tr2bl w:val="nil"/>
            </w:tcBorders>
            <w:noWrap w:val="0"/>
            <w:vAlign w:val="center"/>
          </w:tcPr>
          <w:p>
            <w:pPr>
              <w:pStyle w:val="28"/>
              <w:suppressLineNumbers w:val="0"/>
              <w:bidi w:val="0"/>
              <w:spacing w:before="0" w:after="0"/>
              <w:ind w:left="0" w:right="0"/>
            </w:pPr>
            <w:r>
              <w:t>柱状样点数</w:t>
            </w:r>
          </w:p>
        </w:tc>
        <w:tc>
          <w:tcPr>
            <w:tcW w:w="757"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w:t>
            </w:r>
            <w:r>
              <w:t>个</w:t>
            </w:r>
          </w:p>
        </w:tc>
        <w:tc>
          <w:tcPr>
            <w:tcW w:w="1084" w:type="pct"/>
            <w:gridSpan w:val="2"/>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917" w:type="pct"/>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0~0.5m</w:t>
            </w:r>
          </w:p>
          <w:p>
            <w:pPr>
              <w:pStyle w:val="28"/>
              <w:suppressLineNumbers w:val="0"/>
              <w:bidi w:val="0"/>
              <w:spacing w:before="0" w:after="0"/>
              <w:ind w:left="0" w:right="0"/>
              <w:rPr>
                <w:rFonts w:hint="eastAsia"/>
                <w:lang w:val="en-US" w:eastAsia="zh-CN"/>
              </w:rPr>
            </w:pPr>
            <w:r>
              <w:rPr>
                <w:rFonts w:hint="eastAsia"/>
                <w:lang w:val="en-US" w:eastAsia="zh-CN"/>
              </w:rPr>
              <w:t>0.5~1.5m</w:t>
            </w:r>
          </w:p>
          <w:p>
            <w:pPr>
              <w:pStyle w:val="28"/>
              <w:suppressLineNumbers w:val="0"/>
              <w:bidi w:val="0"/>
              <w:spacing w:before="0" w:after="0"/>
              <w:ind w:left="0" w:right="0"/>
              <w:rPr>
                <w:rFonts w:hint="default"/>
                <w:lang w:val="en-US" w:eastAsia="zh-CN"/>
              </w:rPr>
            </w:pPr>
            <w:r>
              <w:rPr>
                <w:rFonts w:hint="eastAsia"/>
                <w:lang w:val="en-US" w:eastAsia="zh-CN"/>
              </w:rPr>
              <w:t>1.5~3.0m</w:t>
            </w:r>
          </w:p>
        </w:tc>
        <w:tc>
          <w:tcPr>
            <w:tcW w:w="561"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现状监测因子</w:t>
            </w:r>
          </w:p>
        </w:tc>
        <w:tc>
          <w:tcPr>
            <w:tcW w:w="3450" w:type="pct"/>
            <w:gridSpan w:val="5"/>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t>GB36600-2018</w:t>
            </w:r>
            <w:r>
              <w:rPr>
                <w:rFonts w:hint="eastAsia"/>
                <w:lang w:eastAsia="zh-CN"/>
              </w:rPr>
              <w:t>中</w:t>
            </w:r>
            <w:r>
              <w:rPr>
                <w:rFonts w:hint="eastAsia"/>
                <w:lang w:val="en-US" w:eastAsia="zh-CN"/>
              </w:rPr>
              <w:t>45个基本因子</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restart"/>
            <w:tcBorders>
              <w:tl2br w:val="nil"/>
              <w:tr2bl w:val="nil"/>
            </w:tcBorders>
            <w:noWrap w:val="0"/>
            <w:vAlign w:val="center"/>
          </w:tcPr>
          <w:p>
            <w:pPr>
              <w:pStyle w:val="28"/>
              <w:suppressLineNumbers w:val="0"/>
              <w:bidi w:val="0"/>
              <w:spacing w:before="0" w:after="0"/>
              <w:ind w:left="0" w:right="0"/>
            </w:pPr>
            <w:r>
              <w:t>现状评</w:t>
            </w:r>
          </w:p>
          <w:p>
            <w:pPr>
              <w:pStyle w:val="28"/>
              <w:suppressLineNumbers w:val="0"/>
              <w:bidi w:val="0"/>
              <w:spacing w:before="0" w:after="0"/>
              <w:ind w:left="0" w:right="0"/>
            </w:pPr>
            <w:r>
              <w:t>价</w:t>
            </w:r>
          </w:p>
        </w:tc>
        <w:tc>
          <w:tcPr>
            <w:tcW w:w="833" w:type="pct"/>
            <w:tcBorders>
              <w:tl2br w:val="nil"/>
              <w:tr2bl w:val="nil"/>
            </w:tcBorders>
            <w:noWrap w:val="0"/>
            <w:vAlign w:val="center"/>
          </w:tcPr>
          <w:p>
            <w:pPr>
              <w:pStyle w:val="28"/>
              <w:suppressLineNumbers w:val="0"/>
              <w:bidi w:val="0"/>
              <w:spacing w:before="0" w:after="0"/>
              <w:ind w:left="0" w:right="0"/>
            </w:pPr>
            <w:r>
              <w:t>评价因子</w:t>
            </w:r>
          </w:p>
        </w:tc>
        <w:tc>
          <w:tcPr>
            <w:tcW w:w="3450" w:type="pct"/>
            <w:gridSpan w:val="5"/>
            <w:tcBorders>
              <w:tl2br w:val="nil"/>
              <w:tr2bl w:val="nil"/>
            </w:tcBorders>
            <w:noWrap w:val="0"/>
            <w:vAlign w:val="center"/>
          </w:tcPr>
          <w:p>
            <w:pPr>
              <w:pStyle w:val="28"/>
              <w:suppressLineNumbers w:val="0"/>
              <w:bidi w:val="0"/>
              <w:spacing w:before="0" w:after="0"/>
              <w:ind w:left="0" w:right="0"/>
              <w:rPr>
                <w:rFonts w:hint="eastAsia"/>
                <w:lang w:eastAsia="zh-CN"/>
              </w:rPr>
            </w:pPr>
            <w:r>
              <w:t>GB36600-2018</w:t>
            </w:r>
            <w:r>
              <w:rPr>
                <w:rFonts w:hint="eastAsia"/>
                <w:lang w:eastAsia="zh-CN"/>
              </w:rPr>
              <w:t>中</w:t>
            </w:r>
            <w:r>
              <w:rPr>
                <w:rFonts w:hint="eastAsia"/>
                <w:lang w:val="en-US" w:eastAsia="zh-CN"/>
              </w:rPr>
              <w:t>45个基本因子</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评价标准</w:t>
            </w:r>
          </w:p>
        </w:tc>
        <w:tc>
          <w:tcPr>
            <w:tcW w:w="3450" w:type="pct"/>
            <w:gridSpan w:val="5"/>
            <w:tcBorders>
              <w:tl2br w:val="nil"/>
              <w:tr2bl w:val="nil"/>
            </w:tcBorders>
            <w:noWrap w:val="0"/>
            <w:vAlign w:val="center"/>
          </w:tcPr>
          <w:p>
            <w:pPr>
              <w:pStyle w:val="28"/>
              <w:suppressLineNumbers w:val="0"/>
              <w:bidi w:val="0"/>
              <w:spacing w:before="0" w:after="0"/>
              <w:ind w:left="0" w:right="0"/>
              <w:rPr>
                <w:rFonts w:hint="eastAsia"/>
                <w:lang w:eastAsia="zh-CN"/>
              </w:rPr>
            </w:pPr>
            <w:r>
              <w:t>GB 15618□；GB 36600</w:t>
            </w:r>
            <w:r>
              <w:rPr>
                <w:rFonts w:hint="eastAsia"/>
                <w:lang w:eastAsia="zh-CN"/>
              </w:rPr>
              <w:t>☑</w:t>
            </w:r>
            <w:r>
              <w:t>；表D.1□；表 D.2□；其他</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现状评价结论</w:t>
            </w:r>
          </w:p>
        </w:tc>
        <w:tc>
          <w:tcPr>
            <w:tcW w:w="3450" w:type="pct"/>
            <w:gridSpan w:val="5"/>
            <w:tcBorders>
              <w:tl2br w:val="nil"/>
              <w:tr2bl w:val="nil"/>
            </w:tcBorders>
            <w:noWrap w:val="0"/>
            <w:vAlign w:val="center"/>
          </w:tcPr>
          <w:p>
            <w:pPr>
              <w:pStyle w:val="28"/>
              <w:suppressLineNumbers w:val="0"/>
              <w:bidi w:val="0"/>
              <w:spacing w:before="0" w:after="0"/>
              <w:ind w:left="0" w:right="0"/>
              <w:rPr>
                <w:lang w:val="en-US" w:eastAsia="zh-CN"/>
              </w:rPr>
            </w:pPr>
            <w:r>
              <w:t>预测范围内各评价因子均满足《土壤环境质量建设用地土壤污染风险管控标准（试行）》(GB36600-2018)中筛选值第二类用地标准要求，满足工业用地对土壤环境要求</w:t>
            </w:r>
          </w:p>
        </w:tc>
        <w:tc>
          <w:tcPr>
            <w:tcW w:w="561" w:type="pct"/>
            <w:tcBorders>
              <w:tl2br w:val="nil"/>
              <w:tr2bl w:val="nil"/>
            </w:tcBorders>
            <w:noWrap w:val="0"/>
            <w:vAlign w:val="center"/>
          </w:tcPr>
          <w:p>
            <w:pPr>
              <w:pStyle w:val="28"/>
              <w:suppressLineNumbers w:val="0"/>
              <w:bidi w:val="0"/>
              <w:spacing w:before="0" w:after="0"/>
              <w:ind w:left="0" w:right="0"/>
              <w:outlineLvl w:val="9"/>
              <w:rPr>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restart"/>
            <w:tcBorders>
              <w:tl2br w:val="nil"/>
              <w:tr2bl w:val="nil"/>
            </w:tcBorders>
            <w:noWrap w:val="0"/>
            <w:vAlign w:val="center"/>
          </w:tcPr>
          <w:p>
            <w:pPr>
              <w:pStyle w:val="28"/>
              <w:suppressLineNumbers w:val="0"/>
              <w:bidi w:val="0"/>
              <w:spacing w:before="0" w:after="0"/>
              <w:ind w:left="0" w:right="0"/>
            </w:pPr>
            <w:r>
              <w:t>影响预测</w:t>
            </w:r>
          </w:p>
        </w:tc>
        <w:tc>
          <w:tcPr>
            <w:tcW w:w="833" w:type="pct"/>
            <w:tcBorders>
              <w:tl2br w:val="nil"/>
              <w:tr2bl w:val="nil"/>
            </w:tcBorders>
            <w:noWrap w:val="0"/>
            <w:vAlign w:val="center"/>
          </w:tcPr>
          <w:p>
            <w:pPr>
              <w:pStyle w:val="28"/>
              <w:suppressLineNumbers w:val="0"/>
              <w:bidi w:val="0"/>
              <w:spacing w:before="0" w:after="0"/>
              <w:ind w:left="0" w:right="0"/>
            </w:pPr>
            <w:r>
              <w:t>预测因子</w:t>
            </w:r>
          </w:p>
        </w:tc>
        <w:tc>
          <w:tcPr>
            <w:tcW w:w="3450" w:type="pct"/>
            <w:gridSpan w:val="5"/>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预测方法</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附录 E□；附录 F□；其他（</w:t>
            </w:r>
            <w:r>
              <w:rPr>
                <w:lang w:eastAsia="zh-CN"/>
              </w:rPr>
              <w:tab/>
            </w:r>
            <w:r>
              <w:rPr>
                <w:lang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rPr>
                <w:lang w:eastAsia="zh-CN"/>
              </w:rPr>
            </w:pPr>
          </w:p>
        </w:tc>
        <w:tc>
          <w:tcPr>
            <w:tcW w:w="833" w:type="pct"/>
            <w:tcBorders>
              <w:tl2br w:val="nil"/>
              <w:tr2bl w:val="nil"/>
            </w:tcBorders>
            <w:noWrap w:val="0"/>
            <w:vAlign w:val="center"/>
          </w:tcPr>
          <w:p>
            <w:pPr>
              <w:pStyle w:val="28"/>
              <w:suppressLineNumbers w:val="0"/>
              <w:bidi w:val="0"/>
              <w:spacing w:before="0" w:after="0"/>
              <w:ind w:left="0" w:right="0"/>
            </w:pPr>
            <w:r>
              <w:t>预测分析内容</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影响范围（</w:t>
            </w:r>
            <w:r>
              <w:rPr>
                <w:lang w:eastAsia="zh-CN"/>
              </w:rPr>
              <w:tab/>
            </w:r>
            <w:r>
              <w:rPr>
                <w:lang w:eastAsia="zh-CN"/>
              </w:rPr>
              <w:t>）</w:t>
            </w:r>
          </w:p>
          <w:p>
            <w:pPr>
              <w:pStyle w:val="28"/>
              <w:suppressLineNumbers w:val="0"/>
              <w:bidi w:val="0"/>
              <w:spacing w:before="0" w:after="0"/>
              <w:ind w:left="0" w:right="0"/>
              <w:rPr>
                <w:lang w:eastAsia="zh-CN"/>
              </w:rPr>
            </w:pPr>
            <w:r>
              <w:rPr>
                <w:lang w:eastAsia="zh-CN"/>
              </w:rPr>
              <w:t>影响程度（</w:t>
            </w:r>
            <w:r>
              <w:rPr>
                <w:lang w:eastAsia="zh-CN"/>
              </w:rPr>
              <w:tab/>
            </w:r>
            <w:r>
              <w:rPr>
                <w:lang w:eastAsia="zh-CN"/>
              </w:rPr>
              <w:t>）</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rPr>
                <w:lang w:eastAsia="zh-CN"/>
              </w:rPr>
            </w:pPr>
          </w:p>
        </w:tc>
        <w:tc>
          <w:tcPr>
            <w:tcW w:w="833" w:type="pct"/>
            <w:tcBorders>
              <w:tl2br w:val="nil"/>
              <w:tr2bl w:val="nil"/>
            </w:tcBorders>
            <w:noWrap w:val="0"/>
            <w:vAlign w:val="center"/>
          </w:tcPr>
          <w:p>
            <w:pPr>
              <w:pStyle w:val="28"/>
              <w:suppressLineNumbers w:val="0"/>
              <w:bidi w:val="0"/>
              <w:spacing w:before="0" w:after="0"/>
              <w:ind w:left="0" w:right="0"/>
            </w:pPr>
            <w:r>
              <w:t>预测结论</w:t>
            </w:r>
          </w:p>
        </w:tc>
        <w:tc>
          <w:tcPr>
            <w:tcW w:w="3450" w:type="pct"/>
            <w:gridSpan w:val="5"/>
            <w:tcBorders>
              <w:tl2br w:val="nil"/>
              <w:tr2bl w:val="nil"/>
            </w:tcBorders>
            <w:noWrap w:val="0"/>
            <w:vAlign w:val="center"/>
          </w:tcPr>
          <w:p>
            <w:pPr>
              <w:pStyle w:val="28"/>
              <w:suppressLineNumbers w:val="0"/>
              <w:bidi w:val="0"/>
              <w:spacing w:before="0" w:after="0"/>
              <w:ind w:left="0" w:right="0"/>
              <w:rPr>
                <w:lang w:eastAsia="zh-CN"/>
              </w:rPr>
            </w:pPr>
            <w:r>
              <w:rPr>
                <w:lang w:eastAsia="zh-CN"/>
              </w:rPr>
              <w:t>达标结论：a）□；b）□；c）□</w:t>
            </w:r>
          </w:p>
          <w:p>
            <w:pPr>
              <w:pStyle w:val="28"/>
              <w:suppressLineNumbers w:val="0"/>
              <w:bidi w:val="0"/>
              <w:spacing w:before="0" w:after="0"/>
              <w:ind w:left="0" w:right="0"/>
              <w:rPr>
                <w:lang w:eastAsia="zh-CN"/>
              </w:rPr>
            </w:pPr>
            <w:r>
              <w:rPr>
                <w:lang w:eastAsia="zh-CN"/>
              </w:rPr>
              <w:t>不达标结论：a）□；b）□</w:t>
            </w:r>
          </w:p>
        </w:tc>
        <w:tc>
          <w:tcPr>
            <w:tcW w:w="561" w:type="pct"/>
            <w:tcBorders>
              <w:tl2br w:val="nil"/>
              <w:tr2bl w:val="nil"/>
            </w:tcBorders>
            <w:noWrap w:val="0"/>
            <w:vAlign w:val="center"/>
          </w:tcPr>
          <w:p>
            <w:pPr>
              <w:pStyle w:val="28"/>
              <w:suppressLineNumbers w:val="0"/>
              <w:bidi w:val="0"/>
              <w:spacing w:before="0" w:after="0"/>
              <w:ind w:left="0" w:right="0"/>
              <w:outlineLvl w:val="9"/>
              <w:rPr>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restart"/>
            <w:tcBorders>
              <w:tl2br w:val="nil"/>
              <w:tr2bl w:val="nil"/>
            </w:tcBorders>
            <w:noWrap w:val="0"/>
            <w:vAlign w:val="center"/>
          </w:tcPr>
          <w:p>
            <w:pPr>
              <w:pStyle w:val="28"/>
              <w:suppressLineNumbers w:val="0"/>
              <w:bidi w:val="0"/>
              <w:spacing w:before="0" w:after="0"/>
              <w:ind w:left="0" w:right="0"/>
            </w:pPr>
            <w:r>
              <w:t>防治措</w:t>
            </w:r>
          </w:p>
          <w:p>
            <w:pPr>
              <w:pStyle w:val="28"/>
              <w:suppressLineNumbers w:val="0"/>
              <w:bidi w:val="0"/>
              <w:spacing w:before="0" w:after="0"/>
              <w:ind w:left="0" w:right="0"/>
            </w:pPr>
            <w:r>
              <w:t>施</w:t>
            </w:r>
          </w:p>
        </w:tc>
        <w:tc>
          <w:tcPr>
            <w:tcW w:w="833" w:type="pct"/>
            <w:tcBorders>
              <w:tl2br w:val="nil"/>
              <w:tr2bl w:val="nil"/>
            </w:tcBorders>
            <w:noWrap w:val="0"/>
            <w:vAlign w:val="center"/>
          </w:tcPr>
          <w:p>
            <w:pPr>
              <w:pStyle w:val="28"/>
              <w:suppressLineNumbers w:val="0"/>
              <w:bidi w:val="0"/>
              <w:spacing w:before="0" w:after="0"/>
              <w:ind w:left="0" w:right="0"/>
            </w:pPr>
            <w:r>
              <w:t>防控措施</w:t>
            </w:r>
          </w:p>
        </w:tc>
        <w:tc>
          <w:tcPr>
            <w:tcW w:w="3450" w:type="pct"/>
            <w:gridSpan w:val="5"/>
            <w:tcBorders>
              <w:tl2br w:val="nil"/>
              <w:tr2bl w:val="nil"/>
            </w:tcBorders>
            <w:noWrap w:val="0"/>
            <w:vAlign w:val="center"/>
          </w:tcPr>
          <w:p>
            <w:pPr>
              <w:pStyle w:val="28"/>
              <w:suppressLineNumbers w:val="0"/>
              <w:bidi w:val="0"/>
              <w:spacing w:before="0" w:after="0"/>
              <w:ind w:left="0" w:right="0"/>
            </w:pPr>
            <w:r>
              <w:rPr>
                <w:lang w:eastAsia="zh-CN"/>
              </w:rPr>
              <w:t>土壤环境质量现状保障</w:t>
            </w:r>
            <w:r>
              <w:rPr>
                <w:rFonts w:hint="eastAsia"/>
                <w:lang w:eastAsia="zh-CN"/>
              </w:rPr>
              <w:t>☑</w:t>
            </w:r>
            <w:r>
              <w:rPr>
                <w:lang w:eastAsia="zh-CN"/>
              </w:rPr>
              <w:t>；源头控制</w:t>
            </w:r>
            <w:r>
              <w:rPr>
                <w:rFonts w:hint="eastAsia"/>
                <w:lang w:eastAsia="zh-CN"/>
              </w:rPr>
              <w:t>☑</w:t>
            </w:r>
            <w:r>
              <w:rPr>
                <w:lang w:eastAsia="zh-CN"/>
              </w:rPr>
              <w:t>；过程防控</w:t>
            </w:r>
            <w:r>
              <w:rPr>
                <w:rFonts w:hint="eastAsia"/>
                <w:lang w:eastAsia="zh-CN"/>
              </w:rPr>
              <w:t>☑</w:t>
            </w:r>
            <w:r>
              <w:rPr>
                <w:lang w:eastAsia="zh-CN"/>
              </w:rPr>
              <w:t>；其他</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vMerge w:val="restart"/>
            <w:tcBorders>
              <w:tl2br w:val="nil"/>
              <w:tr2bl w:val="nil"/>
            </w:tcBorders>
            <w:noWrap w:val="0"/>
            <w:vAlign w:val="center"/>
          </w:tcPr>
          <w:p>
            <w:pPr>
              <w:pStyle w:val="28"/>
              <w:suppressLineNumbers w:val="0"/>
              <w:bidi w:val="0"/>
              <w:spacing w:before="0" w:after="0"/>
              <w:ind w:left="0" w:right="0"/>
            </w:pPr>
            <w:r>
              <w:t>跟踪监测</w:t>
            </w:r>
          </w:p>
        </w:tc>
        <w:tc>
          <w:tcPr>
            <w:tcW w:w="1447" w:type="pct"/>
            <w:gridSpan w:val="2"/>
            <w:tcBorders>
              <w:tl2br w:val="nil"/>
              <w:tr2bl w:val="nil"/>
            </w:tcBorders>
            <w:noWrap w:val="0"/>
            <w:vAlign w:val="center"/>
          </w:tcPr>
          <w:p>
            <w:pPr>
              <w:pStyle w:val="28"/>
              <w:suppressLineNumbers w:val="0"/>
              <w:bidi w:val="0"/>
              <w:spacing w:before="0" w:after="0"/>
              <w:ind w:left="0" w:right="0"/>
            </w:pPr>
            <w:r>
              <w:t>监测点数</w:t>
            </w:r>
          </w:p>
        </w:tc>
        <w:tc>
          <w:tcPr>
            <w:tcW w:w="802" w:type="pct"/>
            <w:tcBorders>
              <w:tl2br w:val="nil"/>
              <w:tr2bl w:val="nil"/>
            </w:tcBorders>
            <w:noWrap w:val="0"/>
            <w:vAlign w:val="center"/>
          </w:tcPr>
          <w:p>
            <w:pPr>
              <w:pStyle w:val="28"/>
              <w:suppressLineNumbers w:val="0"/>
              <w:bidi w:val="0"/>
              <w:spacing w:before="0" w:after="0"/>
              <w:ind w:left="0" w:right="0"/>
            </w:pPr>
            <w:r>
              <w:t>监测指标</w:t>
            </w:r>
          </w:p>
        </w:tc>
        <w:tc>
          <w:tcPr>
            <w:tcW w:w="1200" w:type="pct"/>
            <w:gridSpan w:val="2"/>
            <w:tcBorders>
              <w:tl2br w:val="nil"/>
              <w:tr2bl w:val="nil"/>
            </w:tcBorders>
            <w:noWrap w:val="0"/>
            <w:vAlign w:val="center"/>
          </w:tcPr>
          <w:p>
            <w:pPr>
              <w:pStyle w:val="28"/>
              <w:suppressLineNumbers w:val="0"/>
              <w:bidi w:val="0"/>
              <w:spacing w:before="0" w:after="0"/>
              <w:ind w:left="0" w:right="0"/>
            </w:pPr>
            <w:r>
              <w:t>监测频次</w:t>
            </w:r>
          </w:p>
        </w:tc>
        <w:tc>
          <w:tcPr>
            <w:tcW w:w="561" w:type="pct"/>
            <w:vMerge w:val="restar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vMerge w:val="continue"/>
            <w:tcBorders>
              <w:tl2br w:val="nil"/>
              <w:tr2bl w:val="nil"/>
            </w:tcBorders>
            <w:noWrap w:val="0"/>
            <w:vAlign w:val="center"/>
          </w:tcPr>
          <w:p>
            <w:pPr>
              <w:pStyle w:val="28"/>
              <w:suppressLineNumbers w:val="0"/>
              <w:bidi w:val="0"/>
              <w:spacing w:before="0" w:after="0"/>
              <w:ind w:left="0" w:right="0"/>
              <w:outlineLvl w:val="9"/>
            </w:pPr>
          </w:p>
        </w:tc>
        <w:tc>
          <w:tcPr>
            <w:tcW w:w="1447" w:type="pct"/>
            <w:gridSpan w:val="2"/>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802" w:type="pct"/>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1200" w:type="pct"/>
            <w:gridSpan w:val="2"/>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必要时开展</w:t>
            </w:r>
          </w:p>
        </w:tc>
        <w:tc>
          <w:tcPr>
            <w:tcW w:w="561"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55" w:type="pct"/>
            <w:vMerge w:val="continue"/>
            <w:tcBorders>
              <w:tl2br w:val="nil"/>
              <w:tr2bl w:val="nil"/>
            </w:tcBorders>
            <w:noWrap w:val="0"/>
            <w:vAlign w:val="center"/>
          </w:tcPr>
          <w:p>
            <w:pPr>
              <w:pStyle w:val="28"/>
              <w:suppressLineNumbers w:val="0"/>
              <w:bidi w:val="0"/>
              <w:spacing w:before="0" w:after="0"/>
              <w:ind w:left="0" w:right="0"/>
              <w:outlineLvl w:val="9"/>
            </w:pPr>
          </w:p>
        </w:tc>
        <w:tc>
          <w:tcPr>
            <w:tcW w:w="833" w:type="pct"/>
            <w:tcBorders>
              <w:tl2br w:val="nil"/>
              <w:tr2bl w:val="nil"/>
            </w:tcBorders>
            <w:noWrap w:val="0"/>
            <w:vAlign w:val="center"/>
          </w:tcPr>
          <w:p>
            <w:pPr>
              <w:pStyle w:val="28"/>
              <w:suppressLineNumbers w:val="0"/>
              <w:bidi w:val="0"/>
              <w:spacing w:before="0" w:after="0"/>
              <w:ind w:left="0" w:right="0"/>
            </w:pPr>
            <w:r>
              <w:t>信息公开指标</w:t>
            </w:r>
          </w:p>
        </w:tc>
        <w:tc>
          <w:tcPr>
            <w:tcW w:w="3450" w:type="pct"/>
            <w:gridSpan w:val="5"/>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561" w:type="pct"/>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988" w:type="pct"/>
            <w:gridSpan w:val="2"/>
            <w:tcBorders>
              <w:tl2br w:val="nil"/>
              <w:tr2bl w:val="nil"/>
            </w:tcBorders>
            <w:noWrap w:val="0"/>
            <w:vAlign w:val="center"/>
          </w:tcPr>
          <w:p>
            <w:pPr>
              <w:pStyle w:val="28"/>
              <w:suppressLineNumbers w:val="0"/>
              <w:bidi w:val="0"/>
              <w:spacing w:before="0" w:after="0"/>
              <w:ind w:left="0" w:right="0"/>
            </w:pPr>
            <w:r>
              <w:t>评价结论</w:t>
            </w:r>
          </w:p>
        </w:tc>
        <w:tc>
          <w:tcPr>
            <w:tcW w:w="3450" w:type="pct"/>
            <w:gridSpan w:val="5"/>
            <w:tcBorders>
              <w:tl2br w:val="nil"/>
              <w:tr2bl w:val="nil"/>
            </w:tcBorders>
            <w:noWrap w:val="0"/>
            <w:vAlign w:val="center"/>
          </w:tcPr>
          <w:p>
            <w:pPr>
              <w:pStyle w:val="28"/>
              <w:suppressLineNumbers w:val="0"/>
              <w:bidi w:val="0"/>
              <w:spacing w:before="0" w:after="0"/>
              <w:ind w:left="0" w:right="0"/>
            </w:pPr>
            <w:r>
              <w:t>土壤环境影响角度，拟建项目建设是可行的</w:t>
            </w:r>
          </w:p>
        </w:tc>
        <w:tc>
          <w:tcPr>
            <w:tcW w:w="561" w:type="pct"/>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000" w:type="pct"/>
            <w:gridSpan w:val="8"/>
            <w:tcBorders>
              <w:tl2br w:val="nil"/>
              <w:tr2bl w:val="nil"/>
            </w:tcBorders>
            <w:noWrap w:val="0"/>
            <w:vAlign w:val="center"/>
          </w:tcPr>
          <w:p>
            <w:pPr>
              <w:pStyle w:val="28"/>
              <w:suppressLineNumbers w:val="0"/>
              <w:bidi w:val="0"/>
              <w:spacing w:before="0" w:after="0"/>
              <w:ind w:left="0" w:right="0"/>
              <w:jc w:val="left"/>
              <w:rPr>
                <w:lang w:eastAsia="zh-CN"/>
              </w:rPr>
            </w:pPr>
            <w:r>
              <w:rPr>
                <w:lang w:eastAsia="zh-CN"/>
              </w:rPr>
              <w:t>注 1：“□”为勾选项，可√；“（ ）”为内容填写项；“备注”为其他补充内容。</w:t>
            </w:r>
          </w:p>
          <w:p>
            <w:pPr>
              <w:pStyle w:val="28"/>
              <w:suppressLineNumbers w:val="0"/>
              <w:bidi w:val="0"/>
              <w:spacing w:before="0" w:after="0"/>
              <w:ind w:left="0" w:right="0"/>
              <w:jc w:val="left"/>
              <w:rPr>
                <w:lang w:eastAsia="zh-CN"/>
              </w:rPr>
            </w:pPr>
            <w:r>
              <w:rPr>
                <w:lang w:eastAsia="zh-CN"/>
              </w:rPr>
              <w:t>注 2：需要分别开展土壤环境影响评级工作的，分别填写自查表。</w:t>
            </w:r>
          </w:p>
        </w:tc>
      </w:tr>
    </w:tbl>
    <w:p>
      <w:pPr>
        <w:pStyle w:val="4"/>
        <w:bidi w:val="0"/>
        <w:rPr>
          <w:rFonts w:hint="eastAsia"/>
          <w:lang w:val="en-US" w:eastAsia="zh-CN"/>
        </w:rPr>
      </w:pPr>
      <w:bookmarkStart w:id="100" w:name="_Toc15267"/>
      <w:r>
        <w:rPr>
          <w:rFonts w:hint="eastAsia"/>
          <w:lang w:val="en-US" w:eastAsia="zh-CN"/>
        </w:rPr>
        <w:t>5.5环境风险影响预测与评价</w:t>
      </w:r>
      <w:bookmarkEnd w:id="100"/>
    </w:p>
    <w:p>
      <w:pPr>
        <w:bidi w:val="0"/>
        <w:rPr>
          <w:rFonts w:hint="eastAsia"/>
        </w:rPr>
      </w:pPr>
      <w:r>
        <w:rPr>
          <w:rFonts w:hint="eastAsia"/>
        </w:rPr>
        <w:t>环境风险评价是分析和预测建设项目存在的潜在危险、有害因素，项目建设和运行期间可能发生的突发性事件或事故（不包括人为破坏及自然灾害），引起有毒有害和易燃易爆等物质泄漏，造成人身安全与环境影响和损害程度，提出防范应急与减缓措施，使项目事故率、损失和环境影响达到可接受水平。</w:t>
      </w:r>
    </w:p>
    <w:p>
      <w:pPr>
        <w:bidi w:val="0"/>
        <w:rPr>
          <w:rFonts w:hint="eastAsia"/>
        </w:rPr>
      </w:pPr>
      <w:r>
        <w:rPr>
          <w:rFonts w:hint="eastAsia"/>
        </w:rPr>
        <w:t>本次环境风险评价将把事故引起厂界外人群的伤害、环境质量的恶化及对生态系统影响的预测和防护作为评价重点。通过分析本项目中主要物料的危险性和毒性，识别其潜在危险源并提出防治措施，达到降低风险性、危害程度，保护环境的目的。</w:t>
      </w:r>
    </w:p>
    <w:p>
      <w:pPr>
        <w:pStyle w:val="5"/>
        <w:bidi w:val="0"/>
        <w:rPr>
          <w:rFonts w:hint="default"/>
          <w:lang w:val="en-US" w:eastAsia="zh-CN"/>
        </w:rPr>
      </w:pPr>
      <w:r>
        <w:rPr>
          <w:rFonts w:hint="eastAsia"/>
          <w:lang w:val="en-US" w:eastAsia="zh-CN"/>
        </w:rPr>
        <w:t>5.5.1 环境风险潜势判定</w:t>
      </w:r>
    </w:p>
    <w:p>
      <w:pPr>
        <w:bidi w:val="0"/>
      </w:pPr>
      <w:r>
        <w:t>本项目生产涉及的原辅料及产品主要为煅后焦、氧化钙、硫酸钙（石膏）等，不涉及《危险化学品名录》（2015）中所列的危险化学品。同时，项目所使用的原辅料未列入</w:t>
      </w:r>
      <w:r>
        <w:rPr>
          <w:rFonts w:hint="eastAsia"/>
          <w:lang w:eastAsia="zh-CN"/>
        </w:rPr>
        <w:t>《建设项目环境风险评价技术导则</w:t>
      </w:r>
      <w:r>
        <w:t>》（</w:t>
      </w:r>
      <w:r>
        <w:rPr>
          <w:rFonts w:hint="eastAsia"/>
          <w:lang w:val="en-US" w:eastAsia="zh-CN"/>
        </w:rPr>
        <w:t>HJ169-2018</w:t>
      </w:r>
      <w:r>
        <w:t>）中有毒有害易燃易爆物质，也未列入《危险化学品重大危险源辨识》（GB18182-20</w:t>
      </w:r>
      <w:r>
        <w:rPr>
          <w:rFonts w:hint="eastAsia"/>
          <w:lang w:val="en-US" w:eastAsia="zh-CN"/>
        </w:rPr>
        <w:t>18</w:t>
      </w:r>
      <w:r>
        <w:t>）中危险物质名单。</w:t>
      </w:r>
    </w:p>
    <w:p>
      <w:pPr>
        <w:bidi w:val="0"/>
      </w:pPr>
      <w:r>
        <w:t>本项目</w:t>
      </w:r>
      <w:r>
        <w:rPr>
          <w:rFonts w:hint="eastAsia"/>
          <w:lang w:eastAsia="zh-CN"/>
        </w:rPr>
        <w:t>埋弧电煅炉</w:t>
      </w:r>
      <w:r>
        <w:t>运行过程中产生的SO</w:t>
      </w:r>
      <w:r>
        <w:rPr>
          <w:vertAlign w:val="subscript"/>
        </w:rPr>
        <w:t>2</w:t>
      </w:r>
      <w:r>
        <w:t>作为毒性气体列入了</w:t>
      </w:r>
      <w:r>
        <w:rPr>
          <w:rFonts w:hint="eastAsia"/>
          <w:lang w:eastAsia="zh-CN"/>
        </w:rPr>
        <w:t>《建设项目环境风险评价技术导则</w:t>
      </w:r>
      <w:r>
        <w:t>》（</w:t>
      </w:r>
      <w:r>
        <w:rPr>
          <w:rFonts w:hint="eastAsia"/>
          <w:lang w:val="en-US" w:eastAsia="zh-CN"/>
        </w:rPr>
        <w:t>HJ169-2018</w:t>
      </w:r>
      <w:r>
        <w:t>）</w:t>
      </w:r>
      <w:r>
        <w:rPr>
          <w:rFonts w:hint="eastAsia"/>
          <w:lang w:eastAsia="zh-CN"/>
        </w:rPr>
        <w:t>附录</w:t>
      </w:r>
      <w:r>
        <w:rPr>
          <w:rFonts w:hint="eastAsia"/>
          <w:lang w:val="en-US" w:eastAsia="zh-CN"/>
        </w:rPr>
        <w:t>B的突发环境事件风险物质及临界量</w:t>
      </w:r>
      <w:r>
        <w:t>。</w:t>
      </w:r>
    </w:p>
    <w:p>
      <w:pPr>
        <w:pStyle w:val="27"/>
        <w:bidi w:val="0"/>
        <w:rPr>
          <w:rFonts w:hint="eastAsia"/>
        </w:rPr>
      </w:pPr>
      <w:r>
        <w:rPr>
          <w:rFonts w:hint="eastAsia"/>
        </w:rPr>
        <w:t>表</w:t>
      </w:r>
      <w:r>
        <w:rPr>
          <w:rFonts w:hint="eastAsia"/>
          <w:lang w:val="en-US" w:eastAsia="zh-CN"/>
        </w:rPr>
        <w:t>5.5.1-1</w:t>
      </w:r>
      <w:r>
        <w:rPr>
          <w:rFonts w:hint="eastAsia"/>
        </w:rPr>
        <w:t>主要原辅材料及产品的理化性质表</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1"/>
        <w:gridCol w:w="534"/>
        <w:gridCol w:w="825"/>
        <w:gridCol w:w="783"/>
        <w:gridCol w:w="783"/>
        <w:gridCol w:w="948"/>
        <w:gridCol w:w="896"/>
        <w:gridCol w:w="2526"/>
        <w:gridCol w:w="1275"/>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物质</w:t>
            </w:r>
          </w:p>
          <w:p>
            <w:pPr>
              <w:pStyle w:val="28"/>
              <w:suppressLineNumbers w:val="0"/>
              <w:bidi w:val="0"/>
              <w:spacing w:before="0" w:after="0"/>
              <w:ind w:left="0" w:right="0"/>
            </w:pPr>
            <w:r>
              <w:t>名称</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形态</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熔点(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沸点(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闪点(</w:t>
            </w:r>
            <w:r>
              <w:rPr>
                <w:rFonts w:hint="eastAsia"/>
              </w:rPr>
              <w:t>℃</w:t>
            </w:r>
            <w: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比重g/cm</w:t>
            </w:r>
            <w:r>
              <w:rPr>
                <w:vertAlign w:val="superscript"/>
              </w:rPr>
              <w:t>3</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爆炸限V%</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急性毒性</w:t>
            </w:r>
          </w:p>
        </w:tc>
        <w:tc>
          <w:tcPr>
            <w:tcW w:w="1275"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pPr>
            <w:r>
              <w:t>危险特性</w:t>
            </w:r>
          </w:p>
        </w:tc>
        <w:tc>
          <w:tcPr>
            <w:tcW w:w="636"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eastAsia="宋体"/>
                <w:lang w:val="en-US" w:eastAsia="zh-CN"/>
              </w:rPr>
            </w:pPr>
            <w:r>
              <w:t>临界量</w:t>
            </w:r>
            <w:r>
              <w:rPr>
                <w:rFonts w:hint="eastAsia"/>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二氧化硫</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eastAsia="zh-CN"/>
              </w:rPr>
              <w:t>气态</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-75.5</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-10</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1.43</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rPr>
                <w:rFonts w:hint="eastAsia"/>
                <w:lang w:val="en-US" w:eastAsia="zh-CN"/>
              </w:rPr>
              <w:t>/</w:t>
            </w:r>
          </w:p>
        </w:tc>
        <w:tc>
          <w:tcPr>
            <w:tcW w:w="0" w:type="auto"/>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val="en-US" w:eastAsia="zh-CN"/>
              </w:rPr>
            </w:pPr>
            <w:r>
              <w:t>LC</w:t>
            </w:r>
            <w:r>
              <w:rPr>
                <w:vertAlign w:val="subscript"/>
              </w:rPr>
              <w:t>50</w:t>
            </w:r>
            <w:r>
              <w:t>：6600mg/m</w:t>
            </w:r>
            <w:r>
              <w:rPr>
                <w:vertAlign w:val="superscript"/>
              </w:rPr>
              <w:t>3</w:t>
            </w:r>
            <w:r>
              <w:t>，1小时(大鼠吸入)</w:t>
            </w:r>
          </w:p>
        </w:tc>
        <w:tc>
          <w:tcPr>
            <w:tcW w:w="1275"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eastAsia"/>
                <w:lang w:eastAsia="zh-CN"/>
              </w:rPr>
            </w:pPr>
            <w:r>
              <w:t>第</w:t>
            </w:r>
            <w:r>
              <w:rPr>
                <w:rFonts w:hint="eastAsia"/>
                <w:lang w:val="en-US" w:eastAsia="zh-CN"/>
              </w:rPr>
              <w:t>2.</w:t>
            </w:r>
            <w:r>
              <w:t>3</w:t>
            </w:r>
            <w:r>
              <w:rPr>
                <w:rFonts w:hint="eastAsia"/>
              </w:rPr>
              <w:t>类</w:t>
            </w:r>
            <w:r>
              <w:rPr>
                <w:rFonts w:hint="eastAsia"/>
                <w:lang w:eastAsia="zh-CN"/>
              </w:rPr>
              <w:t>有毒气体</w:t>
            </w:r>
          </w:p>
        </w:tc>
        <w:tc>
          <w:tcPr>
            <w:tcW w:w="636" w:type="dxa"/>
            <w:tcBorders>
              <w:tl2br w:val="nil"/>
              <w:tr2bl w:val="nil"/>
            </w:tcBorders>
            <w:noWrap w:val="0"/>
            <w:tcMar>
              <w:top w:w="0" w:type="dxa"/>
              <w:left w:w="108" w:type="dxa"/>
              <w:bottom w:w="0" w:type="dxa"/>
              <w:right w:w="108" w:type="dxa"/>
            </w:tcMar>
            <w:vAlign w:val="center"/>
          </w:tcPr>
          <w:p>
            <w:pPr>
              <w:pStyle w:val="28"/>
              <w:suppressLineNumbers w:val="0"/>
              <w:bidi w:val="0"/>
              <w:spacing w:before="0" w:after="0"/>
              <w:ind w:left="0" w:right="0"/>
              <w:rPr>
                <w:rFonts w:hint="default"/>
                <w:lang w:val="en-US"/>
              </w:rPr>
            </w:pPr>
            <w:r>
              <w:rPr>
                <w:rFonts w:hint="eastAsia"/>
                <w:lang w:val="en-US" w:eastAsia="zh-CN"/>
              </w:rPr>
              <w:t>2.5</w:t>
            </w:r>
          </w:p>
        </w:tc>
      </w:tr>
    </w:tbl>
    <w:p>
      <w:pPr>
        <w:bidi w:val="0"/>
      </w:pPr>
      <w:r>
        <w:t>计算所涉及的每种危险物质在厂界内的最大存在总量与其在附录B中对应临界量的比值Q。在不同厂区的同一种物质，按其在厂界内的最大存在总量计算。</w:t>
      </w:r>
    </w:p>
    <w:p>
      <w:pPr>
        <w:bidi w:val="0"/>
      </w:pPr>
      <w:r>
        <w:t>当只涉及一种危险物质时，计算该物质的总量与其临界量比值，即为Q；</w:t>
      </w:r>
    </w:p>
    <w:p>
      <w:pPr>
        <w:bidi w:val="0"/>
      </w:pPr>
      <w:r>
        <w:t>当存在多种危险物质时，则下式计算物质总量与其临界量比值（Q）:</w:t>
      </w:r>
    </w:p>
    <w:p>
      <w:pPr>
        <w:tabs>
          <w:tab w:val="left" w:pos="720"/>
        </w:tabs>
        <w:snapToGrid w:val="0"/>
        <w:spacing w:line="500" w:lineRule="exact"/>
        <w:ind w:firstLine="480"/>
        <w:jc w:val="center"/>
        <w:rPr>
          <w:rFonts w:ascii="Times New Roman" w:hAnsi="Times New Roman" w:eastAsia="宋体"/>
          <w:sz w:val="28"/>
          <w:szCs w:val="28"/>
          <w:lang w:val="fr-FR" w:eastAsia="zh-TW"/>
        </w:rPr>
      </w:pPr>
      <w:r>
        <w:rPr>
          <w:rFonts w:ascii="Times New Roman" w:hAnsi="Times New Roman" w:eastAsia="宋体"/>
          <w:sz w:val="28"/>
          <w:szCs w:val="28"/>
          <w:lang w:val="fr-FR"/>
        </w:rPr>
        <w:t>Q=</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1</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1</w:t>
      </w:r>
      <w:r>
        <w:rPr>
          <w:rFonts w:ascii="Times New Roman" w:hAnsi="Times New Roman" w:eastAsia="宋体"/>
          <w:sz w:val="28"/>
          <w:szCs w:val="28"/>
          <w:lang w:val="fr-FR" w:eastAsia="zh-TW"/>
        </w:rPr>
        <w:t xml:space="preserve"> + q</w:t>
      </w:r>
      <w:r>
        <w:rPr>
          <w:rFonts w:ascii="Times New Roman" w:hAnsi="Times New Roman" w:eastAsia="宋体"/>
          <w:sz w:val="28"/>
          <w:szCs w:val="28"/>
          <w:vertAlign w:val="subscript"/>
          <w:lang w:val="fr-FR" w:eastAsia="zh-TW"/>
        </w:rPr>
        <w:t>2</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 xml:space="preserve">2 </w:t>
      </w:r>
      <w:r>
        <w:rPr>
          <w:rFonts w:ascii="Times New Roman" w:hAnsi="Times New Roman" w:eastAsia="宋体"/>
          <w:sz w:val="28"/>
          <w:szCs w:val="28"/>
          <w:lang w:val="fr-FR" w:eastAsia="zh-TW"/>
        </w:rPr>
        <w:t>…… + q</w:t>
      </w:r>
      <w:r>
        <w:rPr>
          <w:rFonts w:ascii="Times New Roman" w:hAnsi="Times New Roman" w:eastAsia="宋体"/>
          <w:sz w:val="28"/>
          <w:szCs w:val="28"/>
          <w:vertAlign w:val="subscript"/>
          <w:lang w:val="fr-FR" w:eastAsia="zh-TW"/>
        </w:rPr>
        <w:t>n</w:t>
      </w:r>
      <w:r>
        <w:rPr>
          <w:rFonts w:ascii="Times New Roman" w:hAnsi="Times New Roman" w:eastAsia="宋体"/>
          <w:sz w:val="28"/>
          <w:szCs w:val="28"/>
          <w:lang w:val="fr-FR" w:eastAsia="zh-TW"/>
        </w:rPr>
        <w:t>/Q</w:t>
      </w:r>
      <w:r>
        <w:rPr>
          <w:rFonts w:ascii="Times New Roman" w:hAnsi="Times New Roman" w:eastAsia="宋体"/>
          <w:sz w:val="28"/>
          <w:szCs w:val="28"/>
          <w:vertAlign w:val="subscript"/>
          <w:lang w:val="fr-FR" w:eastAsia="zh-TW"/>
        </w:rPr>
        <w:t>n</w:t>
      </w:r>
      <w:r>
        <w:rPr>
          <w:rFonts w:ascii="Times New Roman" w:hAnsi="Times New Roman" w:eastAsia="宋体"/>
          <w:sz w:val="28"/>
          <w:szCs w:val="28"/>
          <w:lang w:val="fr-FR" w:eastAsia="zh-TW"/>
        </w:rPr>
        <w:t xml:space="preserve"> </w:t>
      </w:r>
    </w:p>
    <w:p>
      <w:pPr>
        <w:bidi w:val="0"/>
      </w:pPr>
      <w:r>
        <w:t>式中：</w:t>
      </w:r>
    </w:p>
    <w:p>
      <w:pPr>
        <w:bidi w:val="0"/>
      </w:pPr>
      <w:r>
        <w:t>q</w:t>
      </w:r>
      <w:r>
        <w:rPr>
          <w:vertAlign w:val="subscript"/>
        </w:rPr>
        <w:t>1</w:t>
      </w:r>
      <w:r>
        <w:t>、q</w:t>
      </w:r>
      <w:r>
        <w:rPr>
          <w:vertAlign w:val="subscript"/>
        </w:rPr>
        <w:t>2</w:t>
      </w:r>
      <w:r>
        <w:t>…q</w:t>
      </w:r>
      <w:r>
        <w:rPr>
          <w:vertAlign w:val="subscript"/>
        </w:rPr>
        <w:t>n</w:t>
      </w:r>
      <w:r>
        <w:t>—每种危险物质的最大存在量，t；</w:t>
      </w:r>
    </w:p>
    <w:p>
      <w:pPr>
        <w:bidi w:val="0"/>
      </w:pPr>
      <w:r>
        <w:t>Q</w:t>
      </w:r>
      <w:r>
        <w:rPr>
          <w:vertAlign w:val="subscript"/>
        </w:rPr>
        <w:t>1</w:t>
      </w:r>
      <w:r>
        <w:t>、Q</w:t>
      </w:r>
      <w:r>
        <w:rPr>
          <w:vertAlign w:val="subscript"/>
        </w:rPr>
        <w:t>2</w:t>
      </w:r>
      <w:r>
        <w:t>…Q</w:t>
      </w:r>
      <w:r>
        <w:rPr>
          <w:vertAlign w:val="subscript"/>
        </w:rPr>
        <w:t>n</w:t>
      </w:r>
      <w:r>
        <w:t>—与各危险物质相对应的临界量，t。</w:t>
      </w:r>
    </w:p>
    <w:p>
      <w:pPr>
        <w:bidi w:val="0"/>
      </w:pPr>
      <w:r>
        <w:t>当Q＜1时，该项目环境风险潜势为</w:t>
      </w:r>
      <w:r>
        <w:rPr>
          <w:rFonts w:hint="eastAsia"/>
        </w:rPr>
        <w:t>Ⅰ</w:t>
      </w:r>
      <w:r>
        <w:t>。</w:t>
      </w:r>
    </w:p>
    <w:p>
      <w:pPr>
        <w:bidi w:val="0"/>
      </w:pPr>
      <w:r>
        <w:t>当Q≥1时，将Q值划分为：</w:t>
      </w:r>
      <w:r>
        <w:rPr>
          <w:rFonts w:hint="eastAsia"/>
        </w:rPr>
        <w:t>⑴</w:t>
      </w:r>
      <w:r>
        <w:t>1≤Q＜10；</w:t>
      </w:r>
      <w:r>
        <w:rPr>
          <w:rFonts w:hint="eastAsia"/>
        </w:rPr>
        <w:t>⑵</w:t>
      </w:r>
      <w:r>
        <w:t>10≤Q＜100；</w:t>
      </w:r>
      <w:r>
        <w:rPr>
          <w:rFonts w:hint="eastAsia"/>
        </w:rPr>
        <w:t>⑶</w:t>
      </w:r>
      <w:r>
        <w:t>Q≥100。</w:t>
      </w:r>
    </w:p>
    <w:p>
      <w:pPr>
        <w:pStyle w:val="27"/>
        <w:bidi w:val="0"/>
      </w:pPr>
      <w:r>
        <w:t>表</w:t>
      </w:r>
      <w:r>
        <w:rPr>
          <w:rFonts w:hint="eastAsia"/>
          <w:lang w:val="en-US" w:eastAsia="zh-CN"/>
        </w:rPr>
        <w:t>5.5.1-2</w:t>
      </w:r>
      <w:r>
        <w:t xml:space="preserve"> 项目危险化学物品临界储存、使用量及重大危险源判别表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59"/>
        <w:gridCol w:w="2064"/>
        <w:gridCol w:w="2454"/>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pPr>
            <w:r>
              <w:t>物质名称</w:t>
            </w:r>
          </w:p>
        </w:tc>
        <w:tc>
          <w:tcPr>
            <w:tcW w:w="2064" w:type="dxa"/>
            <w:tcBorders>
              <w:tl2br w:val="nil"/>
              <w:tr2bl w:val="nil"/>
            </w:tcBorders>
            <w:noWrap w:val="0"/>
            <w:vAlign w:val="center"/>
          </w:tcPr>
          <w:p>
            <w:pPr>
              <w:pStyle w:val="28"/>
              <w:suppressLineNumbers w:val="0"/>
              <w:bidi w:val="0"/>
              <w:spacing w:before="0" w:after="0"/>
              <w:ind w:left="0" w:right="0"/>
            </w:pPr>
            <w:r>
              <w:t>最大储存量（t）</w:t>
            </w:r>
          </w:p>
        </w:tc>
        <w:tc>
          <w:tcPr>
            <w:tcW w:w="2454" w:type="dxa"/>
            <w:tcBorders>
              <w:tl2br w:val="nil"/>
              <w:tr2bl w:val="nil"/>
            </w:tcBorders>
            <w:noWrap w:val="0"/>
            <w:vAlign w:val="center"/>
          </w:tcPr>
          <w:p>
            <w:pPr>
              <w:pStyle w:val="28"/>
              <w:suppressLineNumbers w:val="0"/>
              <w:bidi w:val="0"/>
              <w:spacing w:before="0" w:after="0"/>
              <w:ind w:left="0" w:right="0"/>
            </w:pPr>
            <w:r>
              <w:t>临界量（t）</w:t>
            </w:r>
          </w:p>
        </w:tc>
        <w:tc>
          <w:tcPr>
            <w:tcW w:w="2269" w:type="dxa"/>
            <w:tcBorders>
              <w:tl2br w:val="nil"/>
              <w:tr2bl w:val="nil"/>
            </w:tcBorders>
            <w:noWrap w:val="0"/>
            <w:vAlign w:val="center"/>
          </w:tcPr>
          <w:p>
            <w:pPr>
              <w:pStyle w:val="28"/>
              <w:suppressLineNumbers w:val="0"/>
              <w:bidi w:val="0"/>
              <w:spacing w:before="0" w:after="0"/>
              <w:ind w:left="0" w:right="0"/>
            </w:pPr>
            <w: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二氧化硫</w:t>
            </w:r>
          </w:p>
        </w:tc>
        <w:tc>
          <w:tcPr>
            <w:tcW w:w="206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0.00067</w:t>
            </w:r>
          </w:p>
        </w:tc>
        <w:tc>
          <w:tcPr>
            <w:tcW w:w="245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w:t>
            </w:r>
          </w:p>
        </w:tc>
        <w:tc>
          <w:tcPr>
            <w:tcW w:w="2269" w:type="dxa"/>
            <w:tcBorders>
              <w:tl2br w:val="nil"/>
              <w:tr2bl w:val="nil"/>
            </w:tcBorders>
            <w:noWrap w:val="0"/>
            <w:vAlign w:val="bottom"/>
          </w:tcPr>
          <w:p>
            <w:pPr>
              <w:pStyle w:val="28"/>
              <w:suppressLineNumbers w:val="0"/>
              <w:bidi w:val="0"/>
              <w:spacing w:before="0" w:after="0"/>
              <w:ind w:left="0" w:right="0"/>
              <w:rPr>
                <w:rFonts w:hint="default" w:eastAsia="宋体"/>
                <w:lang w:val="en-US" w:eastAsia="zh-CN"/>
              </w:rPr>
            </w:pPr>
            <w:r>
              <w:rPr>
                <w:rFonts w:hint="eastAsia"/>
                <w:lang w:val="en-US" w:eastAsia="zh-CN"/>
              </w:rPr>
              <w:t>0.00027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959" w:type="dxa"/>
            <w:tcBorders>
              <w:tl2br w:val="nil"/>
              <w:tr2bl w:val="nil"/>
            </w:tcBorders>
            <w:noWrap w:val="0"/>
            <w:vAlign w:val="center"/>
          </w:tcPr>
          <w:p>
            <w:pPr>
              <w:pStyle w:val="28"/>
              <w:suppressLineNumbers w:val="0"/>
              <w:bidi w:val="0"/>
              <w:spacing w:before="0" w:after="0"/>
              <w:ind w:left="0" w:right="0"/>
            </w:pPr>
            <w:r>
              <w:t>合计</w:t>
            </w:r>
          </w:p>
        </w:tc>
        <w:tc>
          <w:tcPr>
            <w:tcW w:w="2064" w:type="dxa"/>
            <w:tcBorders>
              <w:tl2br w:val="nil"/>
              <w:tr2bl w:val="nil"/>
            </w:tcBorders>
            <w:noWrap w:val="0"/>
            <w:vAlign w:val="center"/>
          </w:tcPr>
          <w:p>
            <w:pPr>
              <w:pStyle w:val="28"/>
              <w:suppressLineNumbers w:val="0"/>
              <w:bidi w:val="0"/>
              <w:spacing w:before="0" w:after="0"/>
              <w:ind w:left="0" w:right="0"/>
            </w:pPr>
            <w:r>
              <w:t>-</w:t>
            </w:r>
          </w:p>
        </w:tc>
        <w:tc>
          <w:tcPr>
            <w:tcW w:w="2454" w:type="dxa"/>
            <w:tcBorders>
              <w:tl2br w:val="nil"/>
              <w:tr2bl w:val="nil"/>
            </w:tcBorders>
            <w:noWrap w:val="0"/>
            <w:vAlign w:val="center"/>
          </w:tcPr>
          <w:p>
            <w:pPr>
              <w:pStyle w:val="28"/>
              <w:suppressLineNumbers w:val="0"/>
              <w:bidi w:val="0"/>
              <w:spacing w:before="0" w:after="0"/>
              <w:ind w:left="0" w:right="0"/>
            </w:pPr>
            <w:r>
              <w:t>-</w:t>
            </w:r>
          </w:p>
        </w:tc>
        <w:tc>
          <w:tcPr>
            <w:tcW w:w="2269" w:type="dxa"/>
            <w:tcBorders>
              <w:tl2br w:val="nil"/>
              <w:tr2bl w:val="nil"/>
            </w:tcBorders>
            <w:noWrap w:val="0"/>
            <w:vAlign w:val="bottom"/>
          </w:tcPr>
          <w:p>
            <w:pPr>
              <w:pStyle w:val="28"/>
              <w:suppressLineNumbers w:val="0"/>
              <w:bidi w:val="0"/>
              <w:spacing w:before="0" w:after="0"/>
              <w:ind w:left="0" w:right="0"/>
              <w:rPr>
                <w:rFonts w:hint="default" w:eastAsia="宋体"/>
                <w:lang w:val="en-US" w:eastAsia="zh-CN"/>
              </w:rPr>
            </w:pPr>
            <w:r>
              <w:rPr>
                <w:rFonts w:hint="eastAsia"/>
                <w:lang w:val="en-US" w:eastAsia="zh-CN"/>
              </w:rPr>
              <w:t>0.00027</w:t>
            </w:r>
          </w:p>
        </w:tc>
      </w:tr>
    </w:tbl>
    <w:p>
      <w:pPr>
        <w:widowControl/>
        <w:spacing w:line="500" w:lineRule="exact"/>
        <w:ind w:firstLine="561"/>
        <w:jc w:val="left"/>
        <w:rPr>
          <w:rFonts w:ascii="Times New Roman" w:hAnsi="Times New Roman" w:eastAsia="宋体"/>
          <w:sz w:val="24"/>
        </w:rPr>
      </w:pPr>
      <w:r>
        <w:rPr>
          <w:sz w:val="24"/>
        </w:rPr>
        <w:t>注：SO</w:t>
      </w:r>
      <w:r>
        <w:rPr>
          <w:sz w:val="24"/>
          <w:vertAlign w:val="subscript"/>
        </w:rPr>
        <w:t>2</w:t>
      </w:r>
      <w:r>
        <w:rPr>
          <w:sz w:val="24"/>
        </w:rPr>
        <w:t>装置区存量以系统10分钟的产生量</w:t>
      </w:r>
    </w:p>
    <w:p>
      <w:pPr>
        <w:bidi w:val="0"/>
      </w:pPr>
      <w:r>
        <w:t>由上述计算可知，本项目Q值为：Q＜</w:t>
      </w:r>
      <w:r>
        <w:rPr>
          <w:rFonts w:hint="eastAsia"/>
          <w:lang w:val="en-US" w:eastAsia="zh-CN"/>
        </w:rPr>
        <w:t>1，项目环境风险潜势为</w:t>
      </w:r>
      <w:r>
        <w:rPr>
          <w:rFonts w:hint="eastAsia"/>
          <w:lang w:val="en-US" w:eastAsia="zh-CN"/>
        </w:rPr>
        <w:fldChar w:fldCharType="begin"/>
      </w:r>
      <w:r>
        <w:rPr>
          <w:rFonts w:hint="eastAsia"/>
          <w:lang w:val="en-US" w:eastAsia="zh-CN"/>
        </w:rPr>
        <w:instrText xml:space="preserve"> = 1 \* ROMAN \* MERGEFORMAT </w:instrText>
      </w:r>
      <w:r>
        <w:rPr>
          <w:rFonts w:hint="eastAsia"/>
          <w:lang w:val="en-US" w:eastAsia="zh-CN"/>
        </w:rPr>
        <w:fldChar w:fldCharType="separate"/>
      </w:r>
      <w:r>
        <w:t>I</w:t>
      </w:r>
      <w:r>
        <w:rPr>
          <w:rFonts w:hint="eastAsia"/>
          <w:lang w:val="en-US" w:eastAsia="zh-CN"/>
        </w:rPr>
        <w:fldChar w:fldCharType="end"/>
      </w:r>
      <w:r>
        <w:t>。</w:t>
      </w:r>
    </w:p>
    <w:p>
      <w:pPr>
        <w:bidi w:val="0"/>
        <w:rPr>
          <w:rFonts w:hint="eastAsia"/>
          <w:lang w:val="en-US" w:eastAsia="zh-CN"/>
        </w:rPr>
      </w:pPr>
      <w:r>
        <w:rPr>
          <w:rFonts w:hint="eastAsia"/>
          <w:lang w:eastAsia="zh-CN"/>
        </w:rPr>
        <w:t>根据《建设项目环境风险评价技术导则</w:t>
      </w:r>
      <w:r>
        <w:t>》（</w:t>
      </w:r>
      <w:r>
        <w:rPr>
          <w:rFonts w:hint="eastAsia"/>
          <w:lang w:val="en-US" w:eastAsia="zh-CN"/>
        </w:rPr>
        <w:t>HJ169-2018</w:t>
      </w:r>
      <w:r>
        <w:t>）</w:t>
      </w:r>
      <w:r>
        <w:rPr>
          <w:rFonts w:hint="eastAsia"/>
          <w:lang w:eastAsia="zh-CN"/>
        </w:rPr>
        <w:t>，</w:t>
      </w:r>
      <w:r>
        <w:rPr>
          <w:rFonts w:hint="eastAsia"/>
          <w:lang w:val="en-US" w:eastAsia="zh-CN"/>
        </w:rPr>
        <w:t>环境风险潜势为</w:t>
      </w:r>
      <w:r>
        <w:rPr>
          <w:rFonts w:hint="eastAsia"/>
          <w:lang w:val="en-US" w:eastAsia="zh-CN"/>
        </w:rPr>
        <w:fldChar w:fldCharType="begin"/>
      </w:r>
      <w:r>
        <w:rPr>
          <w:rFonts w:hint="eastAsia"/>
          <w:lang w:val="en-US" w:eastAsia="zh-CN"/>
        </w:rPr>
        <w:instrText xml:space="preserve"> = 1 \* ROMAN \* MERGEFORMAT </w:instrText>
      </w:r>
      <w:r>
        <w:rPr>
          <w:rFonts w:hint="eastAsia"/>
          <w:lang w:val="en-US" w:eastAsia="zh-CN"/>
        </w:rPr>
        <w:fldChar w:fldCharType="separate"/>
      </w:r>
      <w:r>
        <w:t>I</w:t>
      </w:r>
      <w:r>
        <w:rPr>
          <w:rFonts w:hint="eastAsia"/>
          <w:lang w:val="en-US" w:eastAsia="zh-CN"/>
        </w:rPr>
        <w:fldChar w:fldCharType="end"/>
      </w:r>
      <w:r>
        <w:rPr>
          <w:rFonts w:hint="eastAsia"/>
          <w:lang w:val="en-US" w:eastAsia="zh-CN"/>
        </w:rPr>
        <w:t>，应对建设项目产生的风险进行简单分析，简单分析是相对于详细评价工作内容而言，在描述危险物质、环境影响途径、环境危害后果、风险防范措施等方面给出定性的说明。</w:t>
      </w:r>
    </w:p>
    <w:p>
      <w:pPr>
        <w:pStyle w:val="5"/>
        <w:bidi w:val="0"/>
        <w:rPr>
          <w:rFonts w:hint="eastAsia"/>
          <w:lang w:val="en-US" w:eastAsia="zh-CN"/>
        </w:rPr>
      </w:pPr>
      <w:r>
        <w:rPr>
          <w:rFonts w:hint="eastAsia"/>
          <w:lang w:val="en-US" w:eastAsia="zh-CN"/>
        </w:rPr>
        <w:t>5.5.2 环境敏感目标概况</w:t>
      </w:r>
    </w:p>
    <w:p>
      <w:pPr>
        <w:pStyle w:val="27"/>
        <w:bidi w:val="0"/>
      </w:pPr>
      <w:r>
        <w:t>表</w:t>
      </w:r>
      <w:r>
        <w:rPr>
          <w:rFonts w:hint="eastAsia"/>
          <w:lang w:val="en-US" w:eastAsia="zh-CN"/>
        </w:rPr>
        <w:t>5.5.2-1</w:t>
      </w:r>
      <w:r>
        <w:t>项目主要大气环境保护目标表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42"/>
        <w:gridCol w:w="1043"/>
        <w:gridCol w:w="754"/>
        <w:gridCol w:w="994"/>
        <w:gridCol w:w="2875"/>
        <w:gridCol w:w="795"/>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03" w:type="dxa"/>
            <w:vMerge w:val="restart"/>
            <w:tcBorders>
              <w:tl2br w:val="nil"/>
              <w:tr2bl w:val="nil"/>
            </w:tcBorders>
            <w:noWrap w:val="0"/>
            <w:tcMar>
              <w:left w:w="28" w:type="dxa"/>
              <w:right w:w="28" w:type="dxa"/>
            </w:tcMar>
            <w:vAlign w:val="center"/>
          </w:tcPr>
          <w:p>
            <w:pPr>
              <w:pStyle w:val="28"/>
              <w:suppressLineNumbers w:val="0"/>
              <w:bidi w:val="0"/>
              <w:spacing w:before="0" w:after="0"/>
              <w:ind w:left="0" w:right="0"/>
            </w:pPr>
            <w:r>
              <w:t>名称</w:t>
            </w:r>
          </w:p>
        </w:tc>
        <w:tc>
          <w:tcPr>
            <w:tcW w:w="1885" w:type="dxa"/>
            <w:gridSpan w:val="2"/>
            <w:tcBorders>
              <w:tl2br w:val="nil"/>
              <w:tr2bl w:val="nil"/>
            </w:tcBorders>
            <w:noWrap w:val="0"/>
            <w:vAlign w:val="center"/>
          </w:tcPr>
          <w:p>
            <w:pPr>
              <w:pStyle w:val="28"/>
              <w:suppressLineNumbers w:val="0"/>
              <w:bidi w:val="0"/>
              <w:spacing w:before="0" w:after="0"/>
              <w:ind w:left="0" w:right="0"/>
            </w:pPr>
            <w:r>
              <w:t>坐标/m</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保护对象</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保护内容</w:t>
            </w:r>
          </w:p>
        </w:tc>
        <w:tc>
          <w:tcPr>
            <w:tcW w:w="2875" w:type="dxa"/>
            <w:vMerge w:val="restart"/>
            <w:tcBorders>
              <w:tl2br w:val="nil"/>
              <w:tr2bl w:val="nil"/>
            </w:tcBorders>
            <w:noWrap w:val="0"/>
            <w:vAlign w:val="center"/>
          </w:tcPr>
          <w:p>
            <w:pPr>
              <w:pStyle w:val="28"/>
              <w:suppressLineNumbers w:val="0"/>
              <w:bidi w:val="0"/>
              <w:spacing w:before="0" w:after="0"/>
              <w:ind w:left="0" w:right="0"/>
            </w:pPr>
            <w:r>
              <w:t>环境功能区</w:t>
            </w:r>
          </w:p>
        </w:tc>
        <w:tc>
          <w:tcPr>
            <w:tcW w:w="795"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相对厂址</w:t>
            </w:r>
            <w:r>
              <w:t>方位</w:t>
            </w:r>
          </w:p>
        </w:tc>
        <w:tc>
          <w:tcPr>
            <w:tcW w:w="1234"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相对</w:t>
            </w:r>
            <w:r>
              <w:t>厂界距离</w:t>
            </w:r>
            <w:r>
              <w:rPr>
                <w:rFonts w:hint="eastAsia"/>
                <w:lang w:val="en-US" w:eastAsia="zh-CN"/>
              </w:rPr>
              <w:t>/</w:t>
            </w:r>
            <w: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203" w:type="dxa"/>
            <w:vMerge w:val="continue"/>
            <w:tcBorders>
              <w:tl2br w:val="nil"/>
              <w:tr2bl w:val="nil"/>
            </w:tcBorders>
            <w:noWrap w:val="0"/>
            <w:tcMar>
              <w:left w:w="28" w:type="dxa"/>
              <w:right w:w="28" w:type="dxa"/>
            </w:tcMar>
            <w:vAlign w:val="center"/>
          </w:tcPr>
          <w:p>
            <w:pPr>
              <w:pStyle w:val="28"/>
              <w:suppressLineNumbers w:val="0"/>
              <w:bidi w:val="0"/>
              <w:spacing w:before="0" w:after="0"/>
              <w:ind w:left="0" w:right="0"/>
              <w:outlineLvl w:val="9"/>
            </w:pPr>
          </w:p>
        </w:tc>
        <w:tc>
          <w:tcPr>
            <w:tcW w:w="842" w:type="dxa"/>
            <w:tcBorders>
              <w:tl2br w:val="nil"/>
              <w:tr2bl w:val="nil"/>
            </w:tcBorders>
            <w:noWrap w:val="0"/>
            <w:vAlign w:val="center"/>
          </w:tcPr>
          <w:p>
            <w:pPr>
              <w:pStyle w:val="28"/>
              <w:suppressLineNumbers w:val="0"/>
              <w:bidi w:val="0"/>
              <w:spacing w:before="0" w:after="0"/>
              <w:ind w:left="0" w:right="0"/>
            </w:pPr>
            <w:r>
              <w:t>X</w:t>
            </w:r>
          </w:p>
        </w:tc>
        <w:tc>
          <w:tcPr>
            <w:tcW w:w="1043" w:type="dxa"/>
            <w:tcBorders>
              <w:tl2br w:val="nil"/>
              <w:tr2bl w:val="nil"/>
            </w:tcBorders>
            <w:noWrap w:val="0"/>
            <w:vAlign w:val="center"/>
          </w:tcPr>
          <w:p>
            <w:pPr>
              <w:pStyle w:val="28"/>
              <w:suppressLineNumbers w:val="0"/>
              <w:bidi w:val="0"/>
              <w:spacing w:before="0" w:after="0"/>
              <w:ind w:left="0" w:right="0"/>
            </w:pPr>
            <w:r>
              <w:t>Y</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pPr>
          </w:p>
        </w:tc>
        <w:tc>
          <w:tcPr>
            <w:tcW w:w="795" w:type="dxa"/>
            <w:vMerge w:val="continue"/>
            <w:tcBorders>
              <w:tl2br w:val="nil"/>
              <w:tr2bl w:val="nil"/>
            </w:tcBorders>
            <w:noWrap w:val="0"/>
            <w:vAlign w:val="center"/>
          </w:tcPr>
          <w:p>
            <w:pPr>
              <w:pStyle w:val="28"/>
              <w:suppressLineNumbers w:val="0"/>
              <w:bidi w:val="0"/>
              <w:spacing w:before="0" w:after="0"/>
              <w:ind w:left="0" w:right="0"/>
              <w:outlineLvl w:val="9"/>
            </w:pPr>
          </w:p>
        </w:tc>
        <w:tc>
          <w:tcPr>
            <w:tcW w:w="1234"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大丁旺村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239</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410</w:t>
            </w:r>
          </w:p>
        </w:tc>
        <w:tc>
          <w:tcPr>
            <w:tcW w:w="75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rPr>
                <w:rFonts w:hint="eastAsia"/>
                <w:lang w:eastAsia="zh-CN"/>
              </w:rPr>
              <w:t>居民区</w:t>
            </w:r>
          </w:p>
        </w:tc>
        <w:tc>
          <w:tcPr>
            <w:tcW w:w="994" w:type="dxa"/>
            <w:vMerge w:val="restart"/>
            <w:tcBorders>
              <w:tl2br w:val="nil"/>
              <w:tr2bl w:val="nil"/>
            </w:tcBorders>
            <w:noWrap w:val="0"/>
            <w:vAlign w:val="center"/>
          </w:tcPr>
          <w:p>
            <w:pPr>
              <w:pStyle w:val="28"/>
              <w:suppressLineNumbers w:val="0"/>
              <w:bidi w:val="0"/>
              <w:spacing w:before="0" w:after="0"/>
              <w:ind w:left="0" w:right="0"/>
              <w:rPr>
                <w:rFonts w:hint="eastAsia"/>
                <w:lang w:eastAsia="zh-CN"/>
              </w:rPr>
            </w:pPr>
            <w:r>
              <w:t>大气环境、环境风险</w:t>
            </w:r>
          </w:p>
        </w:tc>
        <w:tc>
          <w:tcPr>
            <w:tcW w:w="2875" w:type="dxa"/>
            <w:vMerge w:val="restart"/>
            <w:tcBorders>
              <w:tl2br w:val="nil"/>
              <w:tr2bl w:val="nil"/>
            </w:tcBorders>
            <w:noWrap w:val="0"/>
            <w:vAlign w:val="center"/>
          </w:tcPr>
          <w:p>
            <w:pPr>
              <w:pStyle w:val="28"/>
              <w:suppressLineNumbers w:val="0"/>
              <w:bidi w:val="0"/>
              <w:spacing w:before="0" w:after="0"/>
              <w:ind w:left="0" w:right="0"/>
            </w:pPr>
            <w:r>
              <w:t>《环境空气质量标准》（GB3095-2012）二级类区</w:t>
            </w: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西丁旺小学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772</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312</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eastAsia="宋体"/>
                <w:lang w:eastAsia="zh-CN"/>
              </w:rPr>
            </w:pPr>
            <w:r>
              <w:rPr>
                <w:rFonts w:hint="eastAsia"/>
                <w:lang w:eastAsia="zh-CN"/>
              </w:rPr>
              <w:t>西丁旺村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365</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691</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丁后庄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鲁埠墩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西埠村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徐埠墩</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3840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2310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时湖村</w:t>
            </w:r>
          </w:p>
        </w:tc>
        <w:tc>
          <w:tcPr>
            <w:tcW w:w="842"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c>
          <w:tcPr>
            <w:tcW w:w="1043"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710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东旺村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尚庄村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1580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-650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张村</w:t>
            </w:r>
          </w:p>
        </w:tc>
        <w:tc>
          <w:tcPr>
            <w:tcW w:w="842"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3860</w:t>
            </w:r>
          </w:p>
        </w:tc>
        <w:tc>
          <w:tcPr>
            <w:tcW w:w="1043"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-640</w:t>
            </w:r>
          </w:p>
        </w:tc>
        <w:tc>
          <w:tcPr>
            <w:tcW w:w="75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94"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2875" w:type="dxa"/>
            <w:vMerge w:val="continue"/>
            <w:tcBorders>
              <w:tl2br w:val="nil"/>
              <w:tr2bl w:val="nil"/>
            </w:tcBorders>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795"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小屯村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上河套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4130</w:t>
            </w:r>
          </w:p>
        </w:tc>
        <w:tc>
          <w:tcPr>
            <w:tcW w:w="1043"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-1680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北辰</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-1900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张顶</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上林村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640</w:t>
            </w:r>
          </w:p>
        </w:tc>
        <w:tc>
          <w:tcPr>
            <w:tcW w:w="1043" w:type="dxa"/>
            <w:tcBorders>
              <w:tl2br w:val="nil"/>
              <w:tr2bl w:val="nil"/>
            </w:tcBorders>
            <w:noWrap w:val="0"/>
            <w:vAlign w:val="center"/>
          </w:tcPr>
          <w:p>
            <w:pPr>
              <w:pStyle w:val="28"/>
              <w:suppressLineNumbers w:val="0"/>
              <w:bidi w:val="0"/>
              <w:spacing w:before="0" w:after="0"/>
              <w:ind w:left="0" w:right="0"/>
              <w:rPr>
                <w:b/>
                <w:bCs/>
              </w:rPr>
            </w:pPr>
            <w:r>
              <w:rPr>
                <w:rFonts w:hint="eastAsia"/>
                <w:lang w:val="en-US" w:eastAsia="zh-CN"/>
              </w:rPr>
              <w:t>-5230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花荡村  </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西丰墩</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-2340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大房庄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-2210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-4660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河口村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东五河村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-3240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-1370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西五河村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-3670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河北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青湖镇</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-560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打磨塘</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-4000</w:t>
            </w:r>
          </w:p>
        </w:tc>
        <w:tc>
          <w:tcPr>
            <w:tcW w:w="1043"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新庄</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青湖中学</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-1700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-1330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青北村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-1830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优圩子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-1760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朱咀雁</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-3000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张小店</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-910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北圩子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-1520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-3620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NW</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齐庄村</w:t>
            </w:r>
          </w:p>
        </w:tc>
        <w:tc>
          <w:tcPr>
            <w:tcW w:w="842"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3100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N</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default"/>
                <w:lang w:val="en-US" w:eastAsia="zh-CN"/>
              </w:rPr>
            </w:pPr>
            <w:r>
              <w:rPr>
                <w:rFonts w:hint="eastAsia"/>
                <w:lang w:val="en-US" w:eastAsia="zh-CN"/>
              </w:rPr>
              <w:t>东岭村</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1180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3140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03" w:type="dxa"/>
            <w:tcBorders>
              <w:tl2br w:val="nil"/>
              <w:tr2bl w:val="nil"/>
            </w:tcBorders>
            <w:noWrap w:val="0"/>
            <w:tcMar>
              <w:left w:w="28" w:type="dxa"/>
              <w:right w:w="28" w:type="dxa"/>
            </w:tcMar>
            <w:vAlign w:val="center"/>
          </w:tcPr>
          <w:p>
            <w:pPr>
              <w:pStyle w:val="28"/>
              <w:suppressLineNumbers w:val="0"/>
              <w:bidi w:val="0"/>
              <w:spacing w:before="0" w:after="0"/>
              <w:ind w:left="0" w:right="0"/>
              <w:rPr>
                <w:rFonts w:hint="eastAsia"/>
                <w:lang w:eastAsia="zh-CN"/>
              </w:rPr>
            </w:pPr>
            <w:r>
              <w:rPr>
                <w:rFonts w:hint="eastAsia"/>
                <w:lang w:eastAsia="zh-CN"/>
              </w:rPr>
              <w:t>范围子</w:t>
            </w:r>
          </w:p>
        </w:tc>
        <w:tc>
          <w:tcPr>
            <w:tcW w:w="842"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2640</w:t>
            </w:r>
          </w:p>
        </w:tc>
        <w:tc>
          <w:tcPr>
            <w:tcW w:w="1043" w:type="dxa"/>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3490</w:t>
            </w:r>
          </w:p>
        </w:tc>
        <w:tc>
          <w:tcPr>
            <w:tcW w:w="75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994"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2875" w:type="dxa"/>
            <w:vMerge w:val="continue"/>
            <w:tcBorders>
              <w:tl2br w:val="nil"/>
              <w:tr2bl w:val="nil"/>
            </w:tcBorders>
            <w:noWrap w:val="0"/>
            <w:vAlign w:val="center"/>
          </w:tcPr>
          <w:p>
            <w:pPr>
              <w:pStyle w:val="28"/>
              <w:suppressLineNumbers w:val="0"/>
              <w:bidi w:val="0"/>
              <w:spacing w:before="0" w:after="0"/>
              <w:ind w:left="0" w:right="0"/>
              <w:outlineLvl w:val="9"/>
              <w:rPr>
                <w:rFonts w:hint="eastAsia"/>
              </w:rPr>
            </w:pPr>
          </w:p>
        </w:tc>
        <w:tc>
          <w:tcPr>
            <w:tcW w:w="795"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NE</w:t>
            </w:r>
          </w:p>
        </w:tc>
        <w:tc>
          <w:tcPr>
            <w:tcW w:w="1234" w:type="dxa"/>
            <w:tcBorders>
              <w:tl2br w:val="nil"/>
              <w:tr2bl w:val="nil"/>
            </w:tcBorders>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4400</w:t>
            </w:r>
          </w:p>
        </w:tc>
      </w:tr>
    </w:tbl>
    <w:p>
      <w:pPr>
        <w:rPr>
          <w:rFonts w:ascii="Times New Roman" w:hAnsi="Times New Roman" w:eastAsia="宋体"/>
          <w:sz w:val="18"/>
          <w:szCs w:val="18"/>
        </w:rPr>
      </w:pPr>
      <w:r>
        <w:rPr>
          <w:rFonts w:ascii="Times New Roman" w:hAnsi="Times New Roman" w:eastAsia="宋体"/>
          <w:sz w:val="18"/>
          <w:szCs w:val="18"/>
        </w:rPr>
        <w:t>注：本次评价以</w:t>
      </w:r>
      <w:r>
        <w:rPr>
          <w:rFonts w:hint="eastAsia" w:ascii="Times New Roman" w:hAnsi="Times New Roman" w:eastAsia="宋体"/>
          <w:sz w:val="18"/>
          <w:szCs w:val="18"/>
        </w:rPr>
        <w:t>项目</w:t>
      </w:r>
      <w:r>
        <w:rPr>
          <w:rFonts w:hint="eastAsia"/>
          <w:sz w:val="18"/>
          <w:szCs w:val="18"/>
          <w:lang w:eastAsia="zh-CN"/>
        </w:rPr>
        <w:t>厂界东北角</w:t>
      </w:r>
      <w:r>
        <w:rPr>
          <w:rFonts w:ascii="Times New Roman" w:hAnsi="Times New Roman" w:eastAsia="宋体"/>
          <w:sz w:val="18"/>
          <w:szCs w:val="18"/>
        </w:rPr>
        <w:t>为原点，坐标（0,0），东西方向为X轴、南北方向为Y轴，保护目标坐标为相对坐标。</w:t>
      </w:r>
    </w:p>
    <w:p>
      <w:pPr>
        <w:rPr>
          <w:rFonts w:hint="eastAsia" w:ascii="Times New Roman" w:hAnsi="Times New Roman" w:eastAsia="宋体"/>
          <w:sz w:val="18"/>
          <w:szCs w:val="18"/>
          <w:lang w:val="en-US" w:eastAsia="zh-CN"/>
        </w:rPr>
      </w:pPr>
    </w:p>
    <w:p>
      <w:pPr>
        <w:pStyle w:val="5"/>
        <w:bidi w:val="0"/>
        <w:rPr>
          <w:rFonts w:hint="eastAsia"/>
          <w:lang w:val="en-US" w:eastAsia="zh-CN"/>
        </w:rPr>
      </w:pPr>
      <w:r>
        <w:rPr>
          <w:rFonts w:hint="eastAsia"/>
          <w:lang w:val="en-US" w:eastAsia="zh-CN"/>
        </w:rPr>
        <w:t>5.5.3 环境风险识别</w:t>
      </w:r>
    </w:p>
    <w:p>
      <w:pPr>
        <w:bidi w:val="0"/>
      </w:pPr>
      <w:r>
        <w:t>本项目潜在事故主要是</w:t>
      </w:r>
      <w:r>
        <w:rPr>
          <w:rFonts w:hint="eastAsia"/>
          <w:lang w:eastAsia="zh-CN"/>
        </w:rPr>
        <w:t>中毒、可燃物质燃烧、爆炸引起的次生伴生污染</w:t>
      </w:r>
      <w:r>
        <w:t>。</w:t>
      </w:r>
    </w:p>
    <w:p>
      <w:pPr>
        <w:bidi w:val="0"/>
      </w:pPr>
      <w:r>
        <w:t>1、点火物引起物料燃料</w:t>
      </w:r>
    </w:p>
    <w:p>
      <w:pPr>
        <w:bidi w:val="0"/>
      </w:pPr>
      <w:r>
        <w:t>由于项目所使用的原材料为可燃物质，因此可能出现小疏忽导致煅后焦燃烧引起火灾。</w:t>
      </w:r>
    </w:p>
    <w:p>
      <w:pPr>
        <w:bidi w:val="0"/>
      </w:pPr>
      <w:r>
        <w:t>2、车间内SO</w:t>
      </w:r>
      <w:r>
        <w:rPr>
          <w:vertAlign w:val="subscript"/>
        </w:rPr>
        <w:t>2</w:t>
      </w:r>
      <w:r>
        <w:t>泄露可能引起工人中毒。</w:t>
      </w:r>
    </w:p>
    <w:p>
      <w:pPr>
        <w:bidi w:val="0"/>
      </w:pPr>
      <w:r>
        <w:t>3、原料及产品装卸、输送、包装等区域为做好通风，可能引起可燃性粉尘爆炸。</w:t>
      </w:r>
    </w:p>
    <w:p>
      <w:pPr>
        <w:bidi w:val="0"/>
      </w:pPr>
      <w:r>
        <w:t>4、脱硫、除尘等环保设施发生故障，会引起大量SO</w:t>
      </w:r>
      <w:r>
        <w:rPr>
          <w:vertAlign w:val="subscript"/>
        </w:rPr>
        <w:t>2</w:t>
      </w:r>
      <w:r>
        <w:t>、粉尘排放，污染环境。</w:t>
      </w:r>
    </w:p>
    <w:p>
      <w:pPr>
        <w:bidi w:val="0"/>
      </w:pPr>
      <w:r>
        <w:t>5、脱硫石灰浆发生泄漏，可能污染环境。</w:t>
      </w:r>
    </w:p>
    <w:p>
      <w:pPr>
        <w:pStyle w:val="27"/>
        <w:bidi w:val="0"/>
        <w:rPr>
          <w:rFonts w:hint="default"/>
          <w:lang w:val="en-US" w:eastAsia="zh-CN"/>
        </w:rPr>
      </w:pPr>
      <w:r>
        <w:rPr>
          <w:rFonts w:hint="eastAsia"/>
          <w:lang w:eastAsia="zh-CN"/>
        </w:rPr>
        <w:t>表</w:t>
      </w:r>
      <w:r>
        <w:rPr>
          <w:rFonts w:hint="eastAsia"/>
          <w:lang w:val="en-US" w:eastAsia="zh-CN"/>
        </w:rPr>
        <w:t>5.5.3-1 建设项目环境风险简单分析内容表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458"/>
        <w:gridCol w:w="2085"/>
        <w:gridCol w:w="1458"/>
        <w:gridCol w:w="1458"/>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Pr>
          <w:p>
            <w:pPr>
              <w:pStyle w:val="28"/>
              <w:suppressLineNumbers w:val="0"/>
              <w:bidi w:val="0"/>
              <w:spacing w:before="0" w:after="0"/>
              <w:ind w:left="0" w:right="0"/>
              <w:rPr>
                <w:rFonts w:hint="eastAsia"/>
                <w:lang w:eastAsia="zh-CN"/>
              </w:rPr>
            </w:pPr>
            <w:r>
              <w:rPr>
                <w:rFonts w:hint="eastAsia"/>
                <w:lang w:eastAsia="zh-CN"/>
              </w:rPr>
              <w:t>建设项目名称</w:t>
            </w:r>
          </w:p>
        </w:tc>
        <w:tc>
          <w:tcPr>
            <w:tcW w:w="0" w:type="auto"/>
            <w:gridSpan w:val="5"/>
          </w:tcPr>
          <w:p>
            <w:pPr>
              <w:pStyle w:val="28"/>
              <w:suppressLineNumbers w:val="0"/>
              <w:bidi w:val="0"/>
              <w:spacing w:before="0" w:after="0"/>
              <w:ind w:left="0" w:right="0"/>
            </w:pPr>
            <w:r>
              <w:rPr>
                <w:rFonts w:hint="eastAsia"/>
                <w:lang w:val="en-US" w:eastAsia="zh-CN"/>
              </w:rPr>
              <w:t>江苏恒贵信新材料有限公司</w:t>
            </w:r>
            <w:r>
              <w:rPr>
                <w:rFonts w:hint="eastAsia"/>
                <w:lang w:eastAsia="zh-CN"/>
              </w:rPr>
              <w:t>年产</w:t>
            </w:r>
            <w:r>
              <w:rPr>
                <w:rFonts w:hint="eastAsia"/>
                <w:lang w:val="en-US" w:eastAsia="zh-CN"/>
              </w:rPr>
              <w:t>10万吨新型增碳剂项目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Pr>
          <w:p>
            <w:pPr>
              <w:pStyle w:val="28"/>
              <w:suppressLineNumbers w:val="0"/>
              <w:bidi w:val="0"/>
              <w:spacing w:before="0" w:after="0"/>
              <w:ind w:left="0" w:right="0"/>
              <w:rPr>
                <w:rFonts w:hint="eastAsia"/>
                <w:lang w:eastAsia="zh-CN"/>
              </w:rPr>
            </w:pPr>
            <w:r>
              <w:rPr>
                <w:rFonts w:hint="eastAsia"/>
                <w:lang w:eastAsia="zh-CN"/>
              </w:rPr>
              <w:t>建设地点</w:t>
            </w:r>
          </w:p>
        </w:tc>
        <w:tc>
          <w:tcPr>
            <w:tcW w:w="0" w:type="auto"/>
          </w:tcPr>
          <w:p>
            <w:pPr>
              <w:pStyle w:val="28"/>
              <w:suppressLineNumbers w:val="0"/>
              <w:bidi w:val="0"/>
              <w:spacing w:before="0" w:after="0"/>
              <w:ind w:left="0" w:right="0"/>
              <w:rPr>
                <w:rFonts w:hint="eastAsia"/>
                <w:lang w:eastAsia="zh-CN"/>
              </w:rPr>
            </w:pPr>
            <w:r>
              <w:rPr>
                <w:rFonts w:hint="eastAsia"/>
                <w:lang w:eastAsia="zh-CN"/>
              </w:rPr>
              <w:t>（江苏）省</w:t>
            </w:r>
          </w:p>
        </w:tc>
        <w:tc>
          <w:tcPr>
            <w:tcW w:w="0" w:type="auto"/>
          </w:tcPr>
          <w:p>
            <w:pPr>
              <w:pStyle w:val="28"/>
              <w:suppressLineNumbers w:val="0"/>
              <w:bidi w:val="0"/>
              <w:spacing w:before="0" w:after="0"/>
              <w:ind w:left="0" w:right="0"/>
              <w:rPr>
                <w:rFonts w:hint="eastAsia"/>
                <w:lang w:eastAsia="zh-CN"/>
              </w:rPr>
            </w:pPr>
            <w:r>
              <w:rPr>
                <w:rFonts w:hint="eastAsia"/>
                <w:lang w:eastAsia="zh-CN"/>
              </w:rPr>
              <w:t>（连云港）市</w:t>
            </w:r>
          </w:p>
        </w:tc>
        <w:tc>
          <w:tcPr>
            <w:tcW w:w="0" w:type="auto"/>
          </w:tcPr>
          <w:p>
            <w:pPr>
              <w:pStyle w:val="28"/>
              <w:suppressLineNumbers w:val="0"/>
              <w:bidi w:val="0"/>
              <w:spacing w:before="0" w:after="0"/>
              <w:ind w:left="0" w:right="0"/>
              <w:rPr>
                <w:rFonts w:hint="eastAsia"/>
                <w:lang w:eastAsia="zh-CN"/>
              </w:rPr>
            </w:pPr>
            <w:r>
              <w:rPr>
                <w:rFonts w:hint="eastAsia"/>
                <w:lang w:eastAsia="zh-CN"/>
              </w:rPr>
              <w:t>（海州）区</w:t>
            </w:r>
          </w:p>
        </w:tc>
        <w:tc>
          <w:tcPr>
            <w:tcW w:w="0" w:type="auto"/>
          </w:tcPr>
          <w:p>
            <w:pPr>
              <w:pStyle w:val="28"/>
              <w:suppressLineNumbers w:val="0"/>
              <w:bidi w:val="0"/>
              <w:spacing w:before="0" w:after="0"/>
              <w:ind w:left="0" w:right="0"/>
              <w:rPr>
                <w:rFonts w:hint="eastAsia"/>
                <w:lang w:val="en-US" w:eastAsia="zh-CN"/>
              </w:rPr>
            </w:pPr>
            <w:r>
              <w:rPr>
                <w:rFonts w:hint="eastAsia"/>
                <w:lang w:val="en-US" w:eastAsia="zh-CN"/>
              </w:rPr>
              <w:t>（东海）县</w:t>
            </w:r>
          </w:p>
        </w:tc>
        <w:tc>
          <w:tcPr>
            <w:tcW w:w="0" w:type="auto"/>
          </w:tcPr>
          <w:p>
            <w:pPr>
              <w:pStyle w:val="28"/>
              <w:suppressLineNumbers w:val="0"/>
              <w:bidi w:val="0"/>
              <w:spacing w:before="0" w:after="0"/>
              <w:ind w:left="0" w:right="0"/>
              <w:rPr>
                <w:rFonts w:hint="eastAsia"/>
                <w:lang w:eastAsia="zh-CN"/>
              </w:rPr>
            </w:pPr>
            <w:r>
              <w:rPr>
                <w:rFonts w:hint="eastAsia"/>
                <w:lang w:eastAsia="zh-CN"/>
              </w:rPr>
              <w:t>（青湖镇工业）园区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Pr>
          <w:p>
            <w:pPr>
              <w:pStyle w:val="28"/>
              <w:suppressLineNumbers w:val="0"/>
              <w:bidi w:val="0"/>
              <w:spacing w:before="0" w:after="0"/>
              <w:ind w:left="0" w:right="0"/>
              <w:rPr>
                <w:rFonts w:hint="eastAsia" w:eastAsia="宋体"/>
                <w:lang w:eastAsia="zh-CN"/>
              </w:rPr>
            </w:pPr>
            <w:r>
              <w:rPr>
                <w:rFonts w:hint="eastAsia"/>
                <w:lang w:eastAsia="zh-CN"/>
              </w:rPr>
              <w:t>地理坐标</w:t>
            </w:r>
          </w:p>
        </w:tc>
        <w:tc>
          <w:tcPr>
            <w:tcW w:w="0" w:type="auto"/>
          </w:tcPr>
          <w:p>
            <w:pPr>
              <w:pStyle w:val="28"/>
              <w:suppressLineNumbers w:val="0"/>
              <w:bidi w:val="0"/>
              <w:spacing w:before="0" w:after="0"/>
              <w:ind w:left="0" w:right="0"/>
              <w:rPr>
                <w:rFonts w:hint="eastAsia" w:eastAsia="宋体"/>
                <w:lang w:eastAsia="zh-CN"/>
              </w:rPr>
            </w:pPr>
            <w:r>
              <w:rPr>
                <w:rFonts w:hint="eastAsia"/>
                <w:lang w:eastAsia="zh-CN"/>
              </w:rPr>
              <w:t>经度</w:t>
            </w:r>
          </w:p>
        </w:tc>
        <w:tc>
          <w:tcPr>
            <w:tcW w:w="0" w:type="auto"/>
          </w:tcPr>
          <w:p>
            <w:pPr>
              <w:pStyle w:val="28"/>
              <w:suppressLineNumbers w:val="0"/>
              <w:bidi w:val="0"/>
              <w:spacing w:before="0" w:after="0"/>
              <w:ind w:left="0" w:right="0"/>
            </w:pPr>
            <w:r>
              <w:rPr>
                <w:rFonts w:hint="eastAsia"/>
                <w:lang w:val="en-US" w:eastAsia="zh-CN"/>
              </w:rPr>
              <w:t>118.841929</w:t>
            </w:r>
          </w:p>
        </w:tc>
        <w:tc>
          <w:tcPr>
            <w:tcW w:w="0" w:type="auto"/>
          </w:tcPr>
          <w:p>
            <w:pPr>
              <w:pStyle w:val="28"/>
              <w:suppressLineNumbers w:val="0"/>
              <w:bidi w:val="0"/>
              <w:spacing w:before="0" w:after="0"/>
              <w:ind w:left="0" w:right="0"/>
              <w:rPr>
                <w:rFonts w:hint="eastAsia" w:eastAsia="宋体"/>
                <w:lang w:eastAsia="zh-CN"/>
              </w:rPr>
            </w:pPr>
            <w:r>
              <w:rPr>
                <w:rFonts w:hint="eastAsia"/>
                <w:lang w:eastAsia="zh-CN"/>
              </w:rPr>
              <w:t>唯独</w:t>
            </w:r>
          </w:p>
        </w:tc>
        <w:tc>
          <w:tcPr>
            <w:tcW w:w="0" w:type="auto"/>
            <w:gridSpan w:val="2"/>
          </w:tcPr>
          <w:p>
            <w:pPr>
              <w:pStyle w:val="28"/>
              <w:suppressLineNumbers w:val="0"/>
              <w:bidi w:val="0"/>
              <w:spacing w:before="0" w:after="0"/>
              <w:ind w:left="0" w:right="0"/>
            </w:pPr>
            <w:r>
              <w:rPr>
                <w:rFonts w:hint="eastAsia"/>
                <w:lang w:val="en-US" w:eastAsia="zh-CN"/>
              </w:rPr>
              <w:t>34.658374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tcPr>
          <w:p>
            <w:pPr>
              <w:pStyle w:val="28"/>
              <w:suppressLineNumbers w:val="0"/>
              <w:bidi w:val="0"/>
              <w:spacing w:before="0" w:after="0"/>
              <w:ind w:left="0" w:right="0"/>
              <w:rPr>
                <w:rFonts w:hint="eastAsia" w:eastAsia="宋体"/>
                <w:lang w:eastAsia="zh-CN"/>
              </w:rPr>
            </w:pPr>
            <w:r>
              <w:rPr>
                <w:rFonts w:hint="eastAsia"/>
                <w:lang w:eastAsia="zh-CN"/>
              </w:rPr>
              <w:t>主要危险物质及分布</w:t>
            </w:r>
          </w:p>
        </w:tc>
        <w:tc>
          <w:tcPr>
            <w:tcW w:w="0" w:type="auto"/>
            <w:gridSpan w:val="5"/>
          </w:tcPr>
          <w:p>
            <w:pPr>
              <w:pStyle w:val="28"/>
              <w:suppressLineNumbers w:val="0"/>
              <w:bidi w:val="0"/>
              <w:spacing w:before="0" w:after="0"/>
              <w:ind w:left="0" w:right="0"/>
              <w:rPr>
                <w:rFonts w:hint="default" w:eastAsia="宋体"/>
                <w:lang w:val="en-US" w:eastAsia="zh-CN"/>
              </w:rPr>
            </w:pPr>
            <w:r>
              <w:rPr>
                <w:rFonts w:hint="eastAsia"/>
                <w:lang w:val="en-US" w:eastAsia="zh-CN"/>
              </w:rPr>
              <w:t>SO</w:t>
            </w:r>
            <w:r>
              <w:rPr>
                <w:rFonts w:hint="eastAsia"/>
                <w:vertAlign w:val="subscript"/>
                <w:lang w:val="en-US" w:eastAsia="zh-CN"/>
              </w:rPr>
              <w:t>2</w:t>
            </w:r>
            <w:r>
              <w:rPr>
                <w:rFonts w:hint="eastAsia"/>
                <w:lang w:val="en-US" w:eastAsia="zh-CN"/>
              </w:rPr>
              <w:t xml:space="preserve"> 埋弧电煅炉、废气处理装置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eastAsia"/>
                <w:lang w:eastAsia="zh-CN"/>
              </w:rPr>
            </w:pPr>
            <w:r>
              <w:rPr>
                <w:rFonts w:hint="eastAsia"/>
                <w:lang w:eastAsia="zh-CN"/>
              </w:rPr>
              <w:t>环境影响途径及危害后果（大气、地表水、地下水等）</w:t>
            </w:r>
          </w:p>
        </w:tc>
        <w:tc>
          <w:tcPr>
            <w:tcW w:w="0" w:type="auto"/>
            <w:gridSpan w:val="5"/>
            <w:vAlign w:val="center"/>
          </w:tcPr>
          <w:p>
            <w:pPr>
              <w:pStyle w:val="28"/>
              <w:suppressLineNumbers w:val="0"/>
              <w:bidi w:val="0"/>
              <w:spacing w:before="0" w:after="0"/>
              <w:ind w:left="0" w:right="0"/>
              <w:jc w:val="left"/>
            </w:pPr>
            <w:r>
              <w:t>1、点火物引起物料燃料</w:t>
            </w:r>
          </w:p>
          <w:p>
            <w:pPr>
              <w:pStyle w:val="28"/>
              <w:suppressLineNumbers w:val="0"/>
              <w:bidi w:val="0"/>
              <w:spacing w:before="0" w:after="0"/>
              <w:ind w:left="0" w:right="0"/>
              <w:jc w:val="left"/>
            </w:pPr>
            <w:r>
              <w:t>由于项目所使用的原材料为可燃物质，因此可能出现小疏忽导致煅后焦、碳素粉燃烧引起火灾。</w:t>
            </w:r>
          </w:p>
          <w:p>
            <w:pPr>
              <w:pStyle w:val="28"/>
              <w:suppressLineNumbers w:val="0"/>
              <w:bidi w:val="0"/>
              <w:spacing w:before="0" w:after="0"/>
              <w:ind w:left="0" w:right="0"/>
              <w:jc w:val="left"/>
            </w:pPr>
            <w:r>
              <w:t>2、车间内SO</w:t>
            </w:r>
            <w:r>
              <w:rPr>
                <w:vertAlign w:val="subscript"/>
              </w:rPr>
              <w:t>2</w:t>
            </w:r>
            <w:r>
              <w:t>泄露可能引起工人中毒。</w:t>
            </w:r>
          </w:p>
          <w:p>
            <w:pPr>
              <w:pStyle w:val="28"/>
              <w:suppressLineNumbers w:val="0"/>
              <w:bidi w:val="0"/>
              <w:spacing w:before="0" w:after="0"/>
              <w:ind w:left="0" w:right="0"/>
              <w:jc w:val="left"/>
            </w:pPr>
            <w:r>
              <w:t>3、原料及产品装卸、输送、包装等区域为做好通风，可能引起可燃性粉尘爆炸。</w:t>
            </w:r>
          </w:p>
          <w:p>
            <w:pPr>
              <w:pStyle w:val="28"/>
              <w:suppressLineNumbers w:val="0"/>
              <w:bidi w:val="0"/>
              <w:spacing w:before="0" w:after="0"/>
              <w:ind w:left="0" w:right="0"/>
              <w:jc w:val="left"/>
            </w:pPr>
            <w:r>
              <w:t>4、脱硫、除尘等环保设施发生故障，会引起大量SO</w:t>
            </w:r>
            <w:r>
              <w:rPr>
                <w:vertAlign w:val="subscript"/>
              </w:rPr>
              <w:t>2</w:t>
            </w:r>
            <w:r>
              <w:t>、粉尘排放，污染环境。</w:t>
            </w:r>
          </w:p>
          <w:p>
            <w:pPr>
              <w:pStyle w:val="28"/>
              <w:suppressLineNumbers w:val="0"/>
              <w:bidi w:val="0"/>
              <w:spacing w:before="0" w:after="0"/>
              <w:ind w:left="0" w:right="0"/>
              <w:jc w:val="left"/>
            </w:pPr>
            <w:r>
              <w:t>5、脱硫石灰浆发生泄漏，可能污染环境。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Align w:val="center"/>
          </w:tcPr>
          <w:p>
            <w:pPr>
              <w:pStyle w:val="28"/>
              <w:suppressLineNumbers w:val="0"/>
              <w:bidi w:val="0"/>
              <w:spacing w:before="0" w:after="0"/>
              <w:ind w:left="0" w:right="0"/>
              <w:jc w:val="center"/>
              <w:rPr>
                <w:rFonts w:hint="eastAsia"/>
                <w:lang w:eastAsia="zh-CN"/>
              </w:rPr>
            </w:pPr>
            <w:r>
              <w:rPr>
                <w:rFonts w:hint="eastAsia"/>
                <w:lang w:eastAsia="zh-CN"/>
              </w:rPr>
              <w:t>风险防范措施要求</w:t>
            </w:r>
          </w:p>
        </w:tc>
        <w:tc>
          <w:tcPr>
            <w:tcW w:w="0" w:type="auto"/>
            <w:gridSpan w:val="5"/>
            <w:vAlign w:val="center"/>
          </w:tcPr>
          <w:p>
            <w:pPr>
              <w:pStyle w:val="28"/>
              <w:suppressLineNumbers w:val="0"/>
              <w:bidi w:val="0"/>
              <w:spacing w:before="0" w:after="0"/>
              <w:ind w:left="0" w:right="0"/>
              <w:jc w:val="both"/>
            </w:pPr>
            <w:r>
              <w:rPr>
                <w:rFonts w:hint="eastAsia"/>
                <w:lang w:val="en-US" w:eastAsia="zh-CN"/>
              </w:rPr>
              <w:t>1、</w:t>
            </w:r>
            <w:r>
              <w:t>火灾爆炸</w:t>
            </w:r>
            <w:r>
              <w:rPr>
                <w:rFonts w:hint="eastAsia"/>
                <w:lang w:eastAsia="zh-CN"/>
              </w:rPr>
              <w:t>防范</w:t>
            </w:r>
            <w:r>
              <w:t>措施要求</w:t>
            </w:r>
          </w:p>
          <w:p>
            <w:pPr>
              <w:pStyle w:val="28"/>
              <w:suppressLineNumbers w:val="0"/>
              <w:bidi w:val="0"/>
              <w:spacing w:before="0" w:after="0"/>
              <w:ind w:left="0" w:right="0"/>
              <w:jc w:val="left"/>
            </w:pPr>
            <w:r>
              <w:rPr>
                <w:rFonts w:hint="eastAsia"/>
                <w:lang w:eastAsia="zh-CN"/>
              </w:rPr>
              <w:t>（</w:t>
            </w:r>
            <w:r>
              <w:rPr>
                <w:rFonts w:hint="eastAsia"/>
                <w:lang w:val="en-US" w:eastAsia="zh-CN"/>
              </w:rPr>
              <w:t>1</w:t>
            </w:r>
            <w:r>
              <w:rPr>
                <w:rFonts w:hint="eastAsia"/>
                <w:lang w:eastAsia="zh-CN"/>
              </w:rPr>
              <w:t>）</w:t>
            </w:r>
            <w:r>
              <w:t xml:space="preserve"> 控制与消除火源，应按照厂区防火相关规定进行。</w:t>
            </w:r>
          </w:p>
          <w:p>
            <w:pPr>
              <w:pStyle w:val="28"/>
              <w:suppressLineNumbers w:val="0"/>
              <w:bidi w:val="0"/>
              <w:spacing w:before="0" w:after="0"/>
              <w:ind w:left="0" w:right="0"/>
              <w:jc w:val="left"/>
            </w:pPr>
            <w:r>
              <w:rPr>
                <w:rFonts w:hint="eastAsia"/>
                <w:lang w:eastAsia="zh-CN"/>
              </w:rPr>
              <w:t>（</w:t>
            </w:r>
            <w:r>
              <w:rPr>
                <w:rFonts w:hint="eastAsia"/>
                <w:lang w:val="en-US" w:eastAsia="zh-CN"/>
              </w:rPr>
              <w:t>2</w:t>
            </w:r>
            <w:r>
              <w:rPr>
                <w:rFonts w:hint="eastAsia"/>
                <w:lang w:eastAsia="zh-CN"/>
              </w:rPr>
              <w:t>）</w:t>
            </w:r>
            <w:r>
              <w:t>生产设备，通风管道，采取防静电措施；使用防爆电气设备；有泄爆，阻爆，隔爆装置。</w:t>
            </w:r>
          </w:p>
          <w:p>
            <w:pPr>
              <w:pStyle w:val="28"/>
              <w:suppressLineNumbers w:val="0"/>
              <w:bidi w:val="0"/>
              <w:spacing w:before="0" w:after="0"/>
              <w:ind w:left="0" w:right="0"/>
              <w:jc w:val="left"/>
            </w:pPr>
            <w:r>
              <w:rPr>
                <w:rFonts w:hint="eastAsia"/>
                <w:lang w:eastAsia="zh-CN"/>
              </w:rPr>
              <w:t>（</w:t>
            </w:r>
            <w:r>
              <w:rPr>
                <w:rFonts w:hint="eastAsia"/>
                <w:lang w:val="en-US" w:eastAsia="zh-CN"/>
              </w:rPr>
              <w:t>3</w:t>
            </w:r>
            <w:r>
              <w:rPr>
                <w:rFonts w:hint="eastAsia"/>
                <w:lang w:eastAsia="zh-CN"/>
              </w:rPr>
              <w:t>）</w:t>
            </w:r>
            <w:r>
              <w:t xml:space="preserve"> 加强管理、严格工艺纪律。粉尘作业人员进行培训专项考核，能够识别并正确应对粉尘爆炸危险。</w:t>
            </w:r>
          </w:p>
          <w:p>
            <w:pPr>
              <w:pStyle w:val="28"/>
              <w:suppressLineNumbers w:val="0"/>
              <w:bidi w:val="0"/>
              <w:spacing w:before="0" w:after="0"/>
              <w:ind w:left="0" w:right="0"/>
              <w:jc w:val="left"/>
            </w:pPr>
            <w:r>
              <w:rPr>
                <w:rFonts w:hint="eastAsia"/>
                <w:lang w:eastAsia="zh-CN"/>
              </w:rPr>
              <w:t>（</w:t>
            </w:r>
            <w:r>
              <w:rPr>
                <w:rFonts w:hint="eastAsia"/>
                <w:lang w:val="en-US" w:eastAsia="zh-CN"/>
              </w:rPr>
              <w:t>4</w:t>
            </w:r>
            <w:r>
              <w:rPr>
                <w:rFonts w:hint="eastAsia"/>
                <w:lang w:eastAsia="zh-CN"/>
              </w:rPr>
              <w:t>）</w:t>
            </w:r>
            <w:r>
              <w:t xml:space="preserve"> 完善安全措施，制定粉尘火灾防爆管理制度和动火作业管理制度。</w:t>
            </w:r>
          </w:p>
          <w:p>
            <w:pPr>
              <w:pStyle w:val="28"/>
              <w:suppressLineNumbers w:val="0"/>
              <w:bidi w:val="0"/>
              <w:spacing w:before="0" w:after="0"/>
              <w:ind w:left="0" w:right="0"/>
              <w:jc w:val="left"/>
            </w:pPr>
            <w:r>
              <w:rPr>
                <w:rFonts w:hint="eastAsia"/>
                <w:lang w:eastAsia="zh-CN"/>
              </w:rPr>
              <w:t>（</w:t>
            </w:r>
            <w:r>
              <w:rPr>
                <w:rFonts w:hint="eastAsia"/>
                <w:lang w:val="en-US" w:eastAsia="zh-CN"/>
              </w:rPr>
              <w:t>5</w:t>
            </w:r>
            <w:r>
              <w:rPr>
                <w:rFonts w:hint="eastAsia"/>
                <w:lang w:eastAsia="zh-CN"/>
              </w:rPr>
              <w:t>）</w:t>
            </w:r>
            <w:r>
              <w:t xml:space="preserve"> 粉尘作业场所与其他建筑物保持安全距离。</w:t>
            </w:r>
          </w:p>
          <w:p>
            <w:pPr>
              <w:pStyle w:val="28"/>
              <w:suppressLineNumbers w:val="0"/>
              <w:bidi w:val="0"/>
              <w:spacing w:before="0" w:after="0"/>
              <w:ind w:left="0" w:right="0"/>
              <w:jc w:val="left"/>
            </w:pPr>
            <w:r>
              <w:rPr>
                <w:rFonts w:hint="eastAsia"/>
                <w:lang w:eastAsia="zh-CN"/>
              </w:rPr>
              <w:t>（</w:t>
            </w:r>
            <w:r>
              <w:rPr>
                <w:rFonts w:hint="eastAsia"/>
                <w:lang w:val="en-US" w:eastAsia="zh-CN"/>
              </w:rPr>
              <w:t>6</w:t>
            </w:r>
            <w:r>
              <w:rPr>
                <w:rFonts w:hint="eastAsia"/>
                <w:lang w:eastAsia="zh-CN"/>
              </w:rPr>
              <w:t>）</w:t>
            </w:r>
            <w:r>
              <w:t xml:space="preserve"> 所有产尘点均应装设吸尘罩。所有可能积累粉尘的生产车间和库区的设备、地面定期清理，不应使用压缩空气进行吹扫。</w:t>
            </w:r>
          </w:p>
          <w:p>
            <w:pPr>
              <w:pStyle w:val="28"/>
              <w:suppressLineNumbers w:val="0"/>
              <w:bidi w:val="0"/>
              <w:spacing w:before="0" w:after="0"/>
              <w:ind w:left="0" w:right="0"/>
              <w:jc w:val="left"/>
            </w:pPr>
            <w:r>
              <w:rPr>
                <w:rFonts w:hint="eastAsia"/>
                <w:lang w:eastAsia="zh-CN"/>
              </w:rPr>
              <w:t>（</w:t>
            </w:r>
            <w:r>
              <w:rPr>
                <w:rFonts w:hint="eastAsia"/>
                <w:lang w:val="en-US" w:eastAsia="zh-CN"/>
              </w:rPr>
              <w:t>7</w:t>
            </w:r>
            <w:r>
              <w:rPr>
                <w:rFonts w:hint="eastAsia"/>
                <w:lang w:eastAsia="zh-CN"/>
              </w:rPr>
              <w:t>）</w:t>
            </w:r>
            <w:r>
              <w:t xml:space="preserve"> 每月至少一次对通风系统进行除尘清理。</w:t>
            </w:r>
          </w:p>
          <w:p>
            <w:pPr>
              <w:pStyle w:val="28"/>
              <w:suppressLineNumbers w:val="0"/>
              <w:bidi w:val="0"/>
              <w:spacing w:before="0" w:after="0"/>
              <w:ind w:left="0" w:right="0"/>
              <w:jc w:val="left"/>
            </w:pPr>
            <w:r>
              <w:rPr>
                <w:rFonts w:hint="eastAsia"/>
                <w:lang w:eastAsia="zh-CN"/>
              </w:rPr>
              <w:t>（</w:t>
            </w:r>
            <w:r>
              <w:rPr>
                <w:rFonts w:hint="eastAsia"/>
                <w:lang w:val="en-US" w:eastAsia="zh-CN"/>
              </w:rPr>
              <w:t>8</w:t>
            </w:r>
            <w:r>
              <w:rPr>
                <w:rFonts w:hint="eastAsia"/>
                <w:lang w:eastAsia="zh-CN"/>
              </w:rPr>
              <w:t>）</w:t>
            </w:r>
            <w:r>
              <w:t xml:space="preserve"> 每年至少组织一次应急救援演练。</w:t>
            </w:r>
          </w:p>
          <w:p>
            <w:pPr>
              <w:pStyle w:val="28"/>
              <w:suppressLineNumbers w:val="0"/>
              <w:bidi w:val="0"/>
              <w:spacing w:before="0" w:after="0"/>
              <w:ind w:left="0" w:right="0"/>
              <w:jc w:val="left"/>
            </w:pPr>
            <w:r>
              <w:rPr>
                <w:rFonts w:hint="eastAsia"/>
                <w:lang w:val="en-US" w:eastAsia="zh-CN"/>
              </w:rPr>
              <w:t>2</w:t>
            </w:r>
            <w:r>
              <w:t>工艺安全措施</w:t>
            </w:r>
          </w:p>
          <w:p>
            <w:pPr>
              <w:pStyle w:val="28"/>
              <w:suppressLineNumbers w:val="0"/>
              <w:bidi w:val="0"/>
              <w:spacing w:before="0" w:after="0"/>
              <w:ind w:left="0" w:right="0"/>
              <w:jc w:val="left"/>
            </w:pPr>
            <w:r>
              <w:t>大型运转设备的传动部分均加安全罩，转动设备均设有安全网，传送带设皮带廊，操作平台设护栏。各车间内的沟、坑、井等，在设计上都考虑了盖板。所有贮槽顶部下料口、人孔设护栏、护盖板和必要的照明，以保证安全操作、防止人员跌落。对裸露的传动设备，如开启式的齿轮、皮带轮等均设有安全网。加料平台、检修平台和行人楼梯等均设有扶梯和防护栏杆。</w:t>
            </w:r>
          </w:p>
          <w:p>
            <w:pPr>
              <w:pStyle w:val="28"/>
              <w:suppressLineNumbers w:val="0"/>
              <w:bidi w:val="0"/>
              <w:spacing w:before="0" w:after="0"/>
              <w:ind w:left="0" w:right="0"/>
              <w:jc w:val="left"/>
            </w:pPr>
            <w:r>
              <w:t>车间内部设备之间，设备与建筑物之间设置足够的安全通道和操作距离。</w:t>
            </w:r>
          </w:p>
          <w:p>
            <w:pPr>
              <w:pStyle w:val="28"/>
              <w:suppressLineNumbers w:val="0"/>
              <w:bidi w:val="0"/>
              <w:spacing w:before="0" w:after="0"/>
              <w:ind w:left="0" w:right="0"/>
              <w:jc w:val="left"/>
            </w:pPr>
            <w:r>
              <w:rPr>
                <w:rFonts w:hint="eastAsia"/>
                <w:lang w:val="en-US" w:eastAsia="zh-CN"/>
              </w:rPr>
              <w:t>3</w:t>
            </w:r>
            <w:r>
              <w:t xml:space="preserve"> 防止事故污染物向环境转移的防范措施</w:t>
            </w:r>
          </w:p>
          <w:p>
            <w:pPr>
              <w:pStyle w:val="28"/>
              <w:suppressLineNumbers w:val="0"/>
              <w:bidi w:val="0"/>
              <w:spacing w:before="0" w:after="0"/>
              <w:ind w:left="0" w:right="0"/>
              <w:jc w:val="left"/>
            </w:pPr>
            <w:r>
              <w:fldChar w:fldCharType="begin"/>
            </w:r>
            <w:r>
              <w:instrText xml:space="preserve"> = 1 \* GB2 </w:instrText>
            </w:r>
            <w:r>
              <w:fldChar w:fldCharType="separate"/>
            </w:r>
            <w:r>
              <w:rPr>
                <w:rFonts w:hint="eastAsia"/>
              </w:rPr>
              <w:t>⑴</w:t>
            </w:r>
            <w:r>
              <w:fldChar w:fldCharType="end"/>
            </w:r>
            <w:r>
              <w:t>防止气态污染物向环境转移的防范措施</w:t>
            </w:r>
          </w:p>
          <w:p>
            <w:pPr>
              <w:pStyle w:val="28"/>
              <w:suppressLineNumbers w:val="0"/>
              <w:bidi w:val="0"/>
              <w:spacing w:before="0" w:after="0"/>
              <w:ind w:left="0" w:right="0"/>
              <w:jc w:val="left"/>
            </w:pPr>
            <w:r>
              <w:t>对于因泄漏事故已经进入空气的气态污染物，采取架设应急引风管线，用风机将泄漏处附近高浓度气态污染物送附近的废气处理系统处置。</w:t>
            </w:r>
          </w:p>
          <w:p>
            <w:pPr>
              <w:pStyle w:val="28"/>
              <w:suppressLineNumbers w:val="0"/>
              <w:bidi w:val="0"/>
              <w:spacing w:before="0" w:after="0"/>
              <w:ind w:left="0" w:right="0"/>
              <w:jc w:val="left"/>
            </w:pPr>
            <w:r>
              <w:t>首先切断污染物料泄漏，通知下风向生产装置采取有效措施，防止事故进一步恶化；通知下风向人员，按污染情况及时疏散人口，防止人身事故发生。</w:t>
            </w:r>
          </w:p>
          <w:p>
            <w:pPr>
              <w:pStyle w:val="28"/>
              <w:suppressLineNumbers w:val="0"/>
              <w:bidi w:val="0"/>
              <w:spacing w:before="0" w:after="0"/>
              <w:ind w:left="0" w:right="0"/>
              <w:jc w:val="left"/>
            </w:pPr>
            <w:r>
              <w:t>启动污染源监测设施，快速测定受污染范围，确定污染物质。</w:t>
            </w:r>
          </w:p>
          <w:p>
            <w:pPr>
              <w:pStyle w:val="28"/>
              <w:suppressLineNumbers w:val="0"/>
              <w:bidi w:val="0"/>
              <w:spacing w:before="0" w:after="0"/>
              <w:ind w:left="0" w:right="0"/>
              <w:jc w:val="left"/>
            </w:pPr>
            <w:r>
              <w:fldChar w:fldCharType="begin"/>
            </w:r>
            <w:r>
              <w:instrText xml:space="preserve"> = 2 \* GB2 </w:instrText>
            </w:r>
            <w:r>
              <w:fldChar w:fldCharType="separate"/>
            </w:r>
            <w:r>
              <w:rPr>
                <w:rFonts w:hint="eastAsia"/>
              </w:rPr>
              <w:t>⑵</w:t>
            </w:r>
            <w:r>
              <w:fldChar w:fldCharType="end"/>
            </w:r>
            <w:r>
              <w:t>防止液态污染物向环境转移的防范措施</w:t>
            </w:r>
          </w:p>
          <w:p>
            <w:pPr>
              <w:pStyle w:val="28"/>
              <w:suppressLineNumbers w:val="0"/>
              <w:bidi w:val="0"/>
              <w:spacing w:before="0" w:after="0"/>
              <w:ind w:left="0" w:right="0"/>
              <w:jc w:val="left"/>
            </w:pPr>
            <w:r>
              <w:t>为了防止引发火灾爆炸和环境空气污染事故，采用消防水对泄漏区进行喷淋洗涤，部分物料转移至消防水，若消防水不予处理或经有效控制即外排可能导致周围水环境污染事件的发生，故应采取相应的措施进行治理。</w:t>
            </w:r>
          </w:p>
          <w:p>
            <w:pPr>
              <w:pStyle w:val="28"/>
              <w:suppressLineNumbers w:val="0"/>
              <w:bidi w:val="0"/>
              <w:spacing w:before="0" w:after="0"/>
              <w:ind w:left="0" w:right="0"/>
              <w:jc w:val="left"/>
            </w:pPr>
            <w:r>
              <w:t>对于已进入消防水的液态污染物，本项目在建设过程中应配置完整的消防水排水收集系统。各装置区均设消防水收集池，再经雨水管网排入本项目消防尾水池，事故结束后，在厂区内自行处置，处理达标后接管园区污水处理厂。</w:t>
            </w:r>
          </w:p>
          <w:p>
            <w:pPr>
              <w:pStyle w:val="28"/>
              <w:suppressLineNumbers w:val="0"/>
              <w:bidi w:val="0"/>
              <w:spacing w:before="0" w:after="0"/>
              <w:ind w:left="0" w:right="0"/>
              <w:jc w:val="left"/>
            </w:pPr>
            <w:r>
              <w:t>当发生火灾爆炸时水收集措施：首先应迅速封堵雨水收集口，确认关闭装置区的雨水排放阀，打开各装置的污染水排放阀；其次将发生事故的装置消防水引入该装置消防水收集池，然后再排入公司消防水排放系统。</w:t>
            </w:r>
          </w:p>
          <w:p>
            <w:pPr>
              <w:pStyle w:val="28"/>
              <w:suppressLineNumbers w:val="0"/>
              <w:bidi w:val="0"/>
              <w:spacing w:before="0" w:after="0"/>
              <w:ind w:left="0" w:right="0"/>
              <w:jc w:val="left"/>
            </w:pPr>
            <w:r>
              <w:fldChar w:fldCharType="begin"/>
            </w:r>
            <w:r>
              <w:instrText xml:space="preserve"> = 3 \* GB2 </w:instrText>
            </w:r>
            <w:r>
              <w:fldChar w:fldCharType="separate"/>
            </w:r>
            <w:r>
              <w:rPr>
                <w:rFonts w:hint="eastAsia"/>
              </w:rPr>
              <w:t>⑶</w:t>
            </w:r>
            <w:r>
              <w:fldChar w:fldCharType="end"/>
            </w:r>
            <w:r>
              <w:t>消防水排放防范应急措施</w:t>
            </w:r>
          </w:p>
          <w:p>
            <w:pPr>
              <w:pStyle w:val="28"/>
              <w:suppressLineNumbers w:val="0"/>
              <w:bidi w:val="0"/>
              <w:spacing w:before="0" w:after="0"/>
              <w:ind w:left="0" w:right="0"/>
              <w:jc w:val="left"/>
            </w:pPr>
            <w:r>
              <w:fldChar w:fldCharType="begin"/>
            </w:r>
            <w:r>
              <w:instrText xml:space="preserve"> = 1 \* GB3 </w:instrText>
            </w:r>
            <w:r>
              <w:fldChar w:fldCharType="separate"/>
            </w:r>
            <w:r>
              <w:rPr>
                <w:rFonts w:hint="eastAsia"/>
              </w:rPr>
              <w:t>①</w:t>
            </w:r>
            <w:r>
              <w:fldChar w:fldCharType="end"/>
            </w:r>
            <w:r>
              <w:t>厂区所有清下水管道的进口均设置封闭阀，能够及时阻断被污染的消防水或其它废水进入清下水道。</w:t>
            </w:r>
          </w:p>
          <w:p>
            <w:pPr>
              <w:pStyle w:val="28"/>
              <w:suppressLineNumbers w:val="0"/>
              <w:bidi w:val="0"/>
              <w:spacing w:before="0" w:after="0"/>
              <w:ind w:left="0" w:right="0"/>
              <w:jc w:val="left"/>
            </w:pPr>
            <w:r>
              <w:rPr>
                <w:rFonts w:hint="eastAsia"/>
              </w:rPr>
              <w:t>②</w:t>
            </w:r>
            <w:r>
              <w:t>厂区实行严格的“清污分流”。</w:t>
            </w:r>
          </w:p>
          <w:p>
            <w:pPr>
              <w:pStyle w:val="28"/>
              <w:suppressLineNumbers w:val="0"/>
              <w:bidi w:val="0"/>
              <w:spacing w:before="0" w:after="0"/>
              <w:ind w:left="0" w:right="0"/>
              <w:jc w:val="left"/>
              <w:rPr>
                <w:rFonts w:hint="eastAsia"/>
                <w:lang w:val="en-US" w:eastAsia="zh-CN"/>
              </w:rPr>
            </w:pPr>
            <w:r>
              <w:rPr>
                <w:rFonts w:hint="eastAsia"/>
              </w:rPr>
              <w:t>③</w:t>
            </w:r>
            <w:r>
              <w:t>厂区项目区应设置消防水收集</w:t>
            </w:r>
            <w:r>
              <w:rPr>
                <w:rFonts w:hint="eastAsia"/>
                <w:lang w:eastAsia="zh-CN"/>
              </w:rPr>
              <w:t>渠道，</w:t>
            </w:r>
            <w:r>
              <w:t>设置消防水</w:t>
            </w:r>
            <w:r>
              <w:rPr>
                <w:rFonts w:hint="eastAsia"/>
                <w:lang w:eastAsia="zh-CN"/>
              </w:rPr>
              <w:t>尾水</w:t>
            </w:r>
            <w:r>
              <w:t>收集池，其有效容积为</w:t>
            </w:r>
            <w:r>
              <w:rPr>
                <w:rFonts w:hint="eastAsia"/>
                <w:lang w:val="en-US" w:eastAsia="zh-CN"/>
              </w:rPr>
              <w:t>242</w:t>
            </w:r>
            <w:r>
              <w:t>m</w:t>
            </w:r>
            <w:r>
              <w:rPr>
                <w:vertAlign w:val="superscript"/>
              </w:rPr>
              <w:t>3</w:t>
            </w:r>
            <w:r>
              <w:t>，满足该公司一次火灾的消防尾水收集和储存的要求。一旦事故发生后，立即切断雨水排口，打开</w:t>
            </w:r>
            <w:r>
              <w:rPr>
                <w:rFonts w:hint="eastAsia"/>
                <w:lang w:eastAsia="zh-CN"/>
              </w:rPr>
              <w:t>消防尾水收集池</w:t>
            </w:r>
            <w:r>
              <w:t>阀门，使厂区内所有事故废水，包括消防水，全部汇入消防尾水池。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gridSpan w:val="6"/>
          </w:tcPr>
          <w:p>
            <w:pPr>
              <w:pStyle w:val="28"/>
              <w:suppressLineNumbers w:val="0"/>
              <w:bidi w:val="0"/>
              <w:spacing w:before="0" w:after="0"/>
              <w:ind w:left="0" w:right="0"/>
              <w:jc w:val="both"/>
              <w:rPr>
                <w:rFonts w:hint="eastAsia" w:eastAsia="宋体"/>
                <w:lang w:val="en-US" w:eastAsia="zh-CN"/>
              </w:rPr>
            </w:pPr>
            <w:r>
              <w:rPr>
                <w:rFonts w:hint="eastAsia"/>
              </w:rPr>
              <w:t>填表说明（列出项目相关信息及评价说明）：</w:t>
            </w:r>
            <w:r>
              <w:rPr>
                <w:rFonts w:hint="eastAsia"/>
                <w:lang w:val="en-US" w:eastAsia="zh-CN"/>
              </w:rPr>
              <w:t>/</w:t>
            </w:r>
          </w:p>
        </w:tc>
      </w:tr>
    </w:tbl>
    <w:p>
      <w:pPr>
        <w:pStyle w:val="4"/>
        <w:bidi w:val="0"/>
        <w:rPr>
          <w:rFonts w:hint="default"/>
          <w:lang w:val="en-US" w:eastAsia="zh-CN"/>
        </w:rPr>
      </w:pPr>
      <w:bookmarkStart w:id="101" w:name="_Toc11945"/>
      <w:r>
        <w:rPr>
          <w:rFonts w:hint="eastAsia"/>
          <w:lang w:val="en-US" w:eastAsia="zh-CN"/>
        </w:rPr>
        <w:t>5.6 固体废物影响预测与评价</w:t>
      </w:r>
      <w:bookmarkEnd w:id="101"/>
    </w:p>
    <w:p>
      <w:pPr>
        <w:bidi w:val="0"/>
        <w:rPr>
          <w:rFonts w:hint="default"/>
          <w:lang w:val="en-US" w:eastAsia="zh-CN"/>
        </w:rPr>
      </w:pPr>
      <w:r>
        <w:rPr>
          <w:rFonts w:hint="eastAsia"/>
          <w:lang w:eastAsia="zh-CN"/>
        </w:rPr>
        <w:t>本项目固体废物产生及处置情况见表</w:t>
      </w:r>
      <w:r>
        <w:rPr>
          <w:rFonts w:hint="eastAsia"/>
          <w:lang w:val="en-US" w:eastAsia="zh-CN"/>
        </w:rPr>
        <w:t>3.3.3-7。</w:t>
      </w:r>
    </w:p>
    <w:p>
      <w:pPr>
        <w:pStyle w:val="5"/>
        <w:bidi w:val="0"/>
        <w:rPr>
          <w:rFonts w:hint="eastAsia" w:eastAsia="宋体"/>
          <w:lang w:eastAsia="zh-CN"/>
        </w:rPr>
      </w:pPr>
      <w:r>
        <w:rPr>
          <w:rFonts w:hint="eastAsia"/>
          <w:lang w:val="en-US" w:eastAsia="zh-CN"/>
        </w:rPr>
        <w:t>5.6</w:t>
      </w:r>
      <w:r>
        <w:rPr>
          <w:rFonts w:hint="eastAsia"/>
        </w:rPr>
        <w:t>.1 固体废物</w:t>
      </w:r>
      <w:r>
        <w:rPr>
          <w:rFonts w:hint="eastAsia"/>
          <w:lang w:eastAsia="zh-CN"/>
        </w:rPr>
        <w:t>暂存设施</w:t>
      </w:r>
    </w:p>
    <w:p>
      <w:pPr>
        <w:bidi w:val="0"/>
        <w:rPr>
          <w:rFonts w:hint="eastAsia" w:eastAsia="宋体"/>
          <w:vertAlign w:val="baseline"/>
          <w:lang w:val="en-US" w:eastAsia="zh-CN"/>
        </w:rPr>
      </w:pPr>
      <w:r>
        <w:rPr>
          <w:rFonts w:hint="eastAsia"/>
        </w:rPr>
        <w:t>根据固废性质</w:t>
      </w:r>
      <w:r>
        <w:rPr>
          <w:rFonts w:hint="eastAsia"/>
          <w:lang w:eastAsia="zh-CN"/>
        </w:rPr>
        <w:t>，本项目的固体废物分为一般工业固体废物和危险废物，在厂区北侧设置一般固废暂存间和危险废物暂存间</w:t>
      </w:r>
      <w:r>
        <w:rPr>
          <w:rFonts w:hint="eastAsia"/>
        </w:rPr>
        <w:t>，</w:t>
      </w:r>
      <w:r>
        <w:rPr>
          <w:rFonts w:hint="eastAsia"/>
          <w:lang w:eastAsia="zh-CN"/>
        </w:rPr>
        <w:t>面积分别为</w:t>
      </w:r>
      <w:r>
        <w:rPr>
          <w:rFonts w:hint="eastAsia"/>
          <w:lang w:val="en-US" w:eastAsia="zh-CN"/>
        </w:rPr>
        <w:t>100</w:t>
      </w:r>
      <w:r>
        <w:rPr>
          <w:rFonts w:hint="eastAsia"/>
        </w:rPr>
        <w:t>m</w:t>
      </w:r>
      <w:r>
        <w:rPr>
          <w:rFonts w:hint="eastAsia"/>
          <w:vertAlign w:val="superscript"/>
        </w:rPr>
        <w:t>2</w:t>
      </w:r>
      <w:r>
        <w:rPr>
          <w:rFonts w:hint="eastAsia"/>
          <w:lang w:eastAsia="zh-CN"/>
        </w:rPr>
        <w:t>、</w:t>
      </w:r>
      <w:r>
        <w:rPr>
          <w:rFonts w:hint="eastAsia"/>
          <w:lang w:val="en-US" w:eastAsia="zh-CN"/>
        </w:rPr>
        <w:t>80</w:t>
      </w:r>
      <w:r>
        <w:rPr>
          <w:rFonts w:hint="eastAsia"/>
        </w:rPr>
        <w:t>m</w:t>
      </w:r>
      <w:r>
        <w:rPr>
          <w:rFonts w:hint="eastAsia"/>
          <w:vertAlign w:val="superscript"/>
        </w:rPr>
        <w:t>2</w:t>
      </w:r>
      <w:r>
        <w:rPr>
          <w:rFonts w:hint="eastAsia"/>
          <w:lang w:eastAsia="zh-CN"/>
        </w:rPr>
        <w:t>，垃圾转运站</w:t>
      </w:r>
      <w:r>
        <w:rPr>
          <w:rFonts w:hint="eastAsia"/>
          <w:lang w:val="en-US" w:eastAsia="zh-CN"/>
        </w:rPr>
        <w:t>56</w:t>
      </w:r>
      <w:r>
        <w:rPr>
          <w:rFonts w:hint="eastAsia"/>
        </w:rPr>
        <w:t>m</w:t>
      </w:r>
      <w:r>
        <w:rPr>
          <w:rFonts w:hint="eastAsia"/>
          <w:vertAlign w:val="superscript"/>
        </w:rPr>
        <w:t>2</w:t>
      </w:r>
      <w:r>
        <w:rPr>
          <w:rFonts w:hint="eastAsia"/>
          <w:vertAlign w:val="baseline"/>
          <w:lang w:eastAsia="zh-CN"/>
        </w:rPr>
        <w:t>。</w:t>
      </w:r>
    </w:p>
    <w:p>
      <w:pPr>
        <w:pStyle w:val="5"/>
        <w:bidi w:val="0"/>
        <w:rPr>
          <w:rFonts w:hint="eastAsia" w:eastAsia="宋体"/>
          <w:lang w:eastAsia="zh-CN"/>
        </w:rPr>
      </w:pPr>
      <w:r>
        <w:rPr>
          <w:rFonts w:hint="eastAsia"/>
          <w:lang w:val="en-US" w:eastAsia="zh-CN"/>
        </w:rPr>
        <w:t>5.6</w:t>
      </w:r>
      <w:r>
        <w:rPr>
          <w:rFonts w:hint="eastAsia"/>
        </w:rPr>
        <w:t xml:space="preserve">.2 </w:t>
      </w:r>
      <w:r>
        <w:rPr>
          <w:rFonts w:hint="eastAsia"/>
          <w:lang w:eastAsia="zh-CN"/>
        </w:rPr>
        <w:t>一般固废环境影响分析</w:t>
      </w:r>
    </w:p>
    <w:p>
      <w:pPr>
        <w:bidi w:val="0"/>
        <w:rPr>
          <w:rFonts w:hint="default"/>
        </w:rPr>
      </w:pPr>
      <w:r>
        <w:rPr>
          <w:rFonts w:hint="eastAsia"/>
          <w:lang w:val="en-US" w:eastAsia="zh-CN"/>
        </w:rPr>
        <w:t>本项目的一般固废</w:t>
      </w:r>
      <w:r>
        <w:rPr>
          <w:rFonts w:hint="eastAsia"/>
          <w:lang w:eastAsia="zh-CN"/>
        </w:rPr>
        <w:t>电煅炉布袋除尘器除尘下灰、废原料包装袋、脱硫石膏、</w:t>
      </w:r>
      <w:r>
        <w:rPr>
          <w:rFonts w:hint="eastAsia"/>
        </w:rPr>
        <w:t>隔油池废油</w:t>
      </w:r>
      <w:r>
        <w:rPr>
          <w:rFonts w:hint="eastAsia"/>
          <w:lang w:eastAsia="zh-CN"/>
        </w:rPr>
        <w:t>、</w:t>
      </w:r>
      <w:r>
        <w:rPr>
          <w:rFonts w:hint="eastAsia"/>
        </w:rPr>
        <w:t>生活垃圾</w:t>
      </w:r>
      <w:r>
        <w:rPr>
          <w:rFonts w:hint="eastAsia"/>
          <w:lang w:eastAsia="zh-CN"/>
        </w:rPr>
        <w:t>、</w:t>
      </w:r>
      <w:r>
        <w:rPr>
          <w:rFonts w:hint="eastAsia"/>
        </w:rPr>
        <w:t>餐厨垃圾</w:t>
      </w:r>
      <w:r>
        <w:rPr>
          <w:rFonts w:hint="eastAsia"/>
          <w:lang w:eastAsia="zh-CN"/>
        </w:rPr>
        <w:t>。其中电煅炉布袋除尘器除尘下灰、脱硫石膏外售作建材，废原料包装袋外售综合利用，</w:t>
      </w:r>
      <w:r>
        <w:rPr>
          <w:rFonts w:hint="eastAsia"/>
        </w:rPr>
        <w:t>隔油池废油</w:t>
      </w:r>
      <w:r>
        <w:rPr>
          <w:rFonts w:hint="eastAsia"/>
          <w:lang w:eastAsia="zh-CN"/>
        </w:rPr>
        <w:t>委托处理，</w:t>
      </w:r>
      <w:r>
        <w:rPr>
          <w:rFonts w:hint="eastAsia"/>
        </w:rPr>
        <w:t>生活垃圾</w:t>
      </w:r>
      <w:r>
        <w:rPr>
          <w:rFonts w:hint="eastAsia"/>
          <w:lang w:eastAsia="zh-CN"/>
        </w:rPr>
        <w:t>由环卫托运处理，</w:t>
      </w:r>
      <w:r>
        <w:rPr>
          <w:rFonts w:hint="eastAsia"/>
        </w:rPr>
        <w:t>餐厨垃圾由专门公司进行收集处理</w:t>
      </w:r>
      <w:r>
        <w:rPr>
          <w:rFonts w:hint="eastAsia"/>
          <w:lang w:eastAsia="zh-CN"/>
        </w:rPr>
        <w:t>，</w:t>
      </w:r>
      <w:r>
        <w:rPr>
          <w:rFonts w:hint="default"/>
        </w:rPr>
        <w:t>因此本项目一般固废对环境影响较小。</w:t>
      </w:r>
    </w:p>
    <w:p>
      <w:pPr>
        <w:pStyle w:val="5"/>
        <w:bidi w:val="0"/>
        <w:rPr>
          <w:rFonts w:hint="eastAsia"/>
          <w:lang w:eastAsia="zh-CN"/>
        </w:rPr>
      </w:pPr>
      <w:r>
        <w:rPr>
          <w:rFonts w:hint="eastAsia"/>
          <w:lang w:val="en-US" w:eastAsia="zh-CN"/>
        </w:rPr>
        <w:t>5.6.3</w:t>
      </w:r>
      <w:r>
        <w:rPr>
          <w:rFonts w:hint="eastAsia"/>
        </w:rPr>
        <w:t xml:space="preserve"> </w:t>
      </w:r>
      <w:r>
        <w:rPr>
          <w:rFonts w:hint="eastAsia"/>
          <w:lang w:eastAsia="zh-CN"/>
        </w:rPr>
        <w:t>危险废物贮存场所（设施）环境影响分析</w:t>
      </w:r>
    </w:p>
    <w:p>
      <w:pPr>
        <w:rPr>
          <w:rFonts w:hint="eastAsia"/>
          <w:lang w:eastAsia="zh-CN"/>
        </w:rPr>
      </w:pPr>
      <w:r>
        <w:rPr>
          <w:rFonts w:hint="eastAsia"/>
          <w:lang w:eastAsia="zh-CN"/>
        </w:rPr>
        <w:t>本项目产生的危险废物主要为废树脂、化验室废液和废试剂瓶。经厂区暂存后委托资质单位处理。</w:t>
      </w:r>
    </w:p>
    <w:p>
      <w:pPr>
        <w:pStyle w:val="6"/>
        <w:bidi w:val="0"/>
        <w:rPr>
          <w:rFonts w:hint="default"/>
        </w:rPr>
      </w:pPr>
      <w:r>
        <w:rPr>
          <w:rFonts w:hint="eastAsia"/>
          <w:lang w:val="en-US" w:eastAsia="zh-CN"/>
        </w:rPr>
        <w:t>5.6</w:t>
      </w:r>
      <w:r>
        <w:rPr>
          <w:rFonts w:hint="default"/>
        </w:rPr>
        <w:t>.</w:t>
      </w:r>
      <w:r>
        <w:rPr>
          <w:rFonts w:hint="eastAsia"/>
          <w:lang w:val="en-US" w:eastAsia="zh-CN"/>
        </w:rPr>
        <w:t>3</w:t>
      </w:r>
      <w:r>
        <w:rPr>
          <w:rFonts w:hint="default"/>
        </w:rPr>
        <w:t>.1危险废物贮存场所选址可行性分析</w:t>
      </w:r>
    </w:p>
    <w:p>
      <w:pPr>
        <w:spacing w:beforeLines="0" w:afterLines="0"/>
        <w:jc w:val="left"/>
        <w:rPr>
          <w:rFonts w:hint="default" w:ascii="宋体" w:hAnsi="宋体" w:eastAsia="宋体"/>
          <w:color w:val="000000"/>
          <w:sz w:val="28"/>
        </w:rPr>
      </w:pPr>
      <w:r>
        <w:rPr>
          <w:rFonts w:hint="default" w:ascii="宋体" w:hAnsi="宋体" w:eastAsia="宋体"/>
          <w:color w:val="000000"/>
          <w:sz w:val="28"/>
        </w:rPr>
        <w:t>本项目危险废物暂存</w:t>
      </w:r>
      <w:r>
        <w:rPr>
          <w:rFonts w:hint="eastAsia" w:ascii="宋体" w:hAnsi="宋体"/>
          <w:color w:val="000000"/>
          <w:sz w:val="28"/>
          <w:lang w:eastAsia="zh-CN"/>
        </w:rPr>
        <w:t>间</w:t>
      </w:r>
      <w:r>
        <w:rPr>
          <w:rFonts w:hint="default" w:ascii="宋体" w:hAnsi="宋体" w:eastAsia="宋体"/>
          <w:color w:val="000000"/>
          <w:sz w:val="28"/>
        </w:rPr>
        <w:t>面积</w:t>
      </w:r>
      <w:r>
        <w:rPr>
          <w:rFonts w:hint="eastAsia" w:ascii="Times New Roman" w:hAnsi="Times New Roman"/>
          <w:color w:val="000000"/>
          <w:sz w:val="28"/>
          <w:lang w:val="en-US" w:eastAsia="zh-CN"/>
        </w:rPr>
        <w:t>8</w:t>
      </w:r>
      <w:r>
        <w:rPr>
          <w:rFonts w:hint="default" w:ascii="Times New Roman" w:hAnsi="Times New Roman" w:eastAsia="Times New Roman"/>
          <w:color w:val="000000"/>
          <w:sz w:val="28"/>
        </w:rPr>
        <w:t>0m</w:t>
      </w:r>
      <w:r>
        <w:rPr>
          <w:rFonts w:hint="eastAsia" w:ascii="Times New Roman" w:hAnsi="Times New Roman"/>
          <w:color w:val="000000"/>
          <w:sz w:val="28"/>
          <w:vertAlign w:val="superscript"/>
          <w:lang w:val="en-US" w:eastAsia="zh-CN"/>
        </w:rPr>
        <w:t>2</w:t>
      </w:r>
      <w:r>
        <w:rPr>
          <w:rFonts w:hint="default" w:ascii="宋体" w:hAnsi="宋体" w:eastAsia="宋体"/>
          <w:color w:val="000000"/>
          <w:sz w:val="28"/>
        </w:rPr>
        <w:t>。</w:t>
      </w:r>
    </w:p>
    <w:p>
      <w:pPr>
        <w:bidi w:val="0"/>
        <w:rPr>
          <w:rFonts w:hint="default"/>
        </w:rPr>
      </w:pPr>
      <w:r>
        <w:rPr>
          <w:rFonts w:hint="default"/>
        </w:rPr>
        <w:t>公司所在地为</w:t>
      </w:r>
      <w:r>
        <w:rPr>
          <w:rFonts w:hint="eastAsia"/>
          <w:lang w:eastAsia="zh-CN"/>
        </w:rPr>
        <w:t>青湖镇工业集中区</w:t>
      </w:r>
      <w:r>
        <w:rPr>
          <w:rFonts w:hint="default"/>
        </w:rPr>
        <w:t>，为工业企业集中区，不在溶洞区和易遭受洪水等自然灾害影响的地区，不在高压输电线路防护区域内。项目所在区域地质结构稳定，地震烈度小于7；</w:t>
      </w:r>
      <w:r>
        <w:rPr>
          <w:rFonts w:hint="eastAsia"/>
          <w:lang w:eastAsia="zh-CN"/>
        </w:rPr>
        <w:t>危废暂存间</w:t>
      </w:r>
      <w:r>
        <w:rPr>
          <w:rFonts w:hint="default"/>
        </w:rPr>
        <w:t>高于地下水最高水位；区域地下水水位较低，厂界离周边最近的</w:t>
      </w:r>
      <w:r>
        <w:rPr>
          <w:rFonts w:hint="eastAsia"/>
          <w:lang w:eastAsia="zh-CN"/>
        </w:rPr>
        <w:t>地表水域距离为</w:t>
      </w:r>
      <w:r>
        <w:rPr>
          <w:rFonts w:hint="eastAsia"/>
          <w:lang w:val="en-US" w:eastAsia="zh-CN"/>
        </w:rPr>
        <w:t>800</w:t>
      </w:r>
      <w:r>
        <w:rPr>
          <w:rFonts w:hint="default"/>
        </w:rPr>
        <w:t>米。因此本项目在</w:t>
      </w:r>
      <w:r>
        <w:rPr>
          <w:rFonts w:hint="eastAsia"/>
          <w:lang w:eastAsia="zh-CN"/>
        </w:rPr>
        <w:t>厂区北部设置危废暂存间</w:t>
      </w:r>
      <w:r>
        <w:rPr>
          <w:rFonts w:hint="default"/>
        </w:rPr>
        <w:t>符合《危险废物贮存污染控制标准》及其修改单中选址的相关要求。</w:t>
      </w:r>
    </w:p>
    <w:p>
      <w:pPr>
        <w:pStyle w:val="6"/>
        <w:bidi w:val="0"/>
        <w:rPr>
          <w:rFonts w:hint="default"/>
        </w:rPr>
      </w:pPr>
      <w:r>
        <w:rPr>
          <w:rFonts w:hint="eastAsia"/>
          <w:lang w:val="en-US" w:eastAsia="zh-CN"/>
        </w:rPr>
        <w:t>5.6</w:t>
      </w:r>
      <w:r>
        <w:rPr>
          <w:rFonts w:hint="default"/>
        </w:rPr>
        <w:t>.</w:t>
      </w:r>
      <w:r>
        <w:rPr>
          <w:rFonts w:hint="eastAsia"/>
          <w:lang w:val="en-US" w:eastAsia="zh-CN"/>
        </w:rPr>
        <w:t>3</w:t>
      </w:r>
      <w:r>
        <w:rPr>
          <w:rFonts w:hint="default"/>
        </w:rPr>
        <w:t>.2危险废物贮存场所贮存能力分析</w:t>
      </w:r>
    </w:p>
    <w:p>
      <w:pPr>
        <w:bidi w:val="0"/>
        <w:rPr>
          <w:rFonts w:hint="default"/>
        </w:rPr>
      </w:pPr>
      <w:r>
        <w:rPr>
          <w:rFonts w:hint="default"/>
        </w:rPr>
        <w:t>正常生产情况下，</w:t>
      </w:r>
      <w:r>
        <w:rPr>
          <w:rFonts w:hint="eastAsia"/>
          <w:lang w:eastAsia="zh-CN"/>
        </w:rPr>
        <w:t>危险废物</w:t>
      </w:r>
      <w:r>
        <w:rPr>
          <w:rFonts w:hint="default"/>
        </w:rPr>
        <w:t>产生量</w:t>
      </w:r>
      <w:r>
        <w:rPr>
          <w:rFonts w:hint="eastAsia"/>
          <w:lang w:eastAsia="zh-CN"/>
        </w:rPr>
        <w:t>较小</w:t>
      </w:r>
      <w:r>
        <w:rPr>
          <w:rFonts w:hint="default"/>
        </w:rPr>
        <w:t>，一般不会出现大的波动，</w:t>
      </w:r>
      <w:r>
        <w:rPr>
          <w:rFonts w:hint="eastAsia"/>
          <w:lang w:eastAsia="zh-CN"/>
        </w:rPr>
        <w:t>正常情况下厂区危废产生量为</w:t>
      </w:r>
      <w:r>
        <w:rPr>
          <w:rFonts w:hint="eastAsia"/>
          <w:lang w:val="en-US" w:eastAsia="zh-CN"/>
        </w:rPr>
        <w:t>5.8t/a</w:t>
      </w:r>
      <w:r>
        <w:rPr>
          <w:rFonts w:hint="default"/>
        </w:rPr>
        <w:t>。</w:t>
      </w:r>
      <w:r>
        <w:rPr>
          <w:rFonts w:hint="eastAsia"/>
          <w:lang w:eastAsia="zh-CN"/>
        </w:rPr>
        <w:t>厂区危废暂存间为</w:t>
      </w:r>
      <w:r>
        <w:rPr>
          <w:rFonts w:hint="eastAsia"/>
          <w:lang w:val="en-US" w:eastAsia="zh-CN"/>
        </w:rPr>
        <w:t>80m</w:t>
      </w:r>
      <w:r>
        <w:rPr>
          <w:rFonts w:hint="eastAsia"/>
          <w:vertAlign w:val="superscript"/>
          <w:lang w:val="en-US" w:eastAsia="zh-CN"/>
        </w:rPr>
        <w:t>2</w:t>
      </w:r>
      <w:r>
        <w:rPr>
          <w:rFonts w:hint="eastAsia"/>
          <w:lang w:val="en-US" w:eastAsia="zh-CN"/>
        </w:rPr>
        <w:t>米。贮存能力不小于100t,因此</w:t>
      </w:r>
      <w:r>
        <w:rPr>
          <w:rFonts w:hint="default"/>
        </w:rPr>
        <w:t>能够满足项目贮存要求。</w:t>
      </w:r>
    </w:p>
    <w:p>
      <w:pPr>
        <w:pStyle w:val="6"/>
        <w:bidi w:val="0"/>
        <w:rPr>
          <w:rFonts w:hint="default"/>
        </w:rPr>
      </w:pPr>
      <w:r>
        <w:rPr>
          <w:rFonts w:hint="eastAsia"/>
          <w:lang w:val="en-US" w:eastAsia="zh-CN"/>
        </w:rPr>
        <w:t>5.6</w:t>
      </w:r>
      <w:r>
        <w:rPr>
          <w:rFonts w:hint="default"/>
        </w:rPr>
        <w:t>.</w:t>
      </w:r>
      <w:r>
        <w:rPr>
          <w:rFonts w:hint="eastAsia"/>
          <w:lang w:val="en-US" w:eastAsia="zh-CN"/>
        </w:rPr>
        <w:t>3</w:t>
      </w:r>
      <w:r>
        <w:rPr>
          <w:rFonts w:hint="default"/>
        </w:rPr>
        <w:t>.3贮存设施产生的环境影响</w:t>
      </w:r>
    </w:p>
    <w:p>
      <w:pPr>
        <w:bidi w:val="0"/>
        <w:rPr>
          <w:rFonts w:hint="default"/>
        </w:rPr>
      </w:pPr>
      <w:r>
        <w:rPr>
          <w:rFonts w:hint="eastAsia"/>
          <w:lang w:eastAsia="zh-CN"/>
        </w:rPr>
        <w:t>废树脂、废试剂瓶和化验室废液密闭包装，</w:t>
      </w:r>
      <w:r>
        <w:rPr>
          <w:rFonts w:hint="default"/>
        </w:rPr>
        <w:t>贮存过程中</w:t>
      </w:r>
      <w:r>
        <w:rPr>
          <w:rFonts w:hint="eastAsia"/>
          <w:lang w:eastAsia="zh-CN"/>
        </w:rPr>
        <w:t>基本无</w:t>
      </w:r>
      <w:r>
        <w:rPr>
          <w:rFonts w:hint="default"/>
        </w:rPr>
        <w:t>挥发的气体产生，</w:t>
      </w:r>
      <w:r>
        <w:rPr>
          <w:rFonts w:hint="eastAsia"/>
          <w:lang w:eastAsia="zh-CN"/>
        </w:rPr>
        <w:t>但实验室废液在</w:t>
      </w:r>
      <w:r>
        <w:rPr>
          <w:rFonts w:hint="default"/>
        </w:rPr>
        <w:t>危险废物贮存过程中出现</w:t>
      </w:r>
      <w:r>
        <w:rPr>
          <w:rFonts w:hint="eastAsia"/>
          <w:lang w:eastAsia="zh-CN"/>
        </w:rPr>
        <w:t>泄漏</w:t>
      </w:r>
      <w:r>
        <w:rPr>
          <w:rFonts w:hint="default"/>
        </w:rPr>
        <w:t>，可能污染土壤和地下水。</w:t>
      </w:r>
    </w:p>
    <w:p>
      <w:pPr>
        <w:bidi w:val="0"/>
        <w:rPr>
          <w:rFonts w:hint="default"/>
        </w:rPr>
      </w:pPr>
      <w:r>
        <w:rPr>
          <w:rFonts w:hint="eastAsia"/>
          <w:lang w:eastAsia="zh-CN"/>
        </w:rPr>
        <w:t>危险废物暂存间应</w:t>
      </w:r>
      <w:r>
        <w:rPr>
          <w:rFonts w:hint="default"/>
        </w:rPr>
        <w:t>严格按照《危险废物贮存污染控制标准》（GB18597-2001）要求，采取防扬散、防流失、要防漏、防渗、防风、防洪水冲刷等防止污染环境的措施。贮存场有水泥基底，设置环氧树脂地坪，防止污染土壤和地下水。按《环境保护图形标志－固体废物贮存（处置）场》（GB 15562.2-1995）要求设置环保图形标志。</w:t>
      </w:r>
    </w:p>
    <w:p>
      <w:pPr>
        <w:bidi w:val="0"/>
        <w:rPr>
          <w:rFonts w:hint="default"/>
        </w:rPr>
      </w:pPr>
      <w:r>
        <w:rPr>
          <w:rFonts w:hint="default"/>
        </w:rPr>
        <w:t>采取上述措施后，危险废物贮存时对大气、水、土壤的影响很小。</w:t>
      </w:r>
    </w:p>
    <w:p>
      <w:pPr>
        <w:pStyle w:val="5"/>
        <w:bidi w:val="0"/>
        <w:rPr>
          <w:rFonts w:hint="default"/>
        </w:rPr>
      </w:pPr>
      <w:r>
        <w:rPr>
          <w:rFonts w:hint="eastAsia"/>
          <w:lang w:val="en-US" w:eastAsia="zh-CN"/>
        </w:rPr>
        <w:t>5.6.4</w:t>
      </w:r>
      <w:r>
        <w:rPr>
          <w:rFonts w:hint="default"/>
        </w:rPr>
        <w:t xml:space="preserve"> 运输过程的环境影响分析</w:t>
      </w:r>
    </w:p>
    <w:p>
      <w:pPr>
        <w:bidi w:val="0"/>
        <w:rPr>
          <w:rFonts w:hint="default"/>
        </w:rPr>
      </w:pPr>
      <w:r>
        <w:rPr>
          <w:rFonts w:hint="default"/>
        </w:rPr>
        <w:t>危险废物运输包括厂内运输和</w:t>
      </w:r>
      <w:r>
        <w:rPr>
          <w:rFonts w:hint="eastAsia"/>
          <w:lang w:eastAsia="zh-CN"/>
        </w:rPr>
        <w:t>厂外运输</w:t>
      </w:r>
      <w:r>
        <w:rPr>
          <w:rFonts w:hint="default"/>
        </w:rPr>
        <w:t>。</w:t>
      </w:r>
    </w:p>
    <w:p>
      <w:pPr>
        <w:bidi w:val="0"/>
        <w:rPr>
          <w:rFonts w:hint="default"/>
        </w:rPr>
      </w:pPr>
      <w:r>
        <w:rPr>
          <w:rFonts w:hint="default"/>
        </w:rPr>
        <w:t>厂内运输包括</w:t>
      </w:r>
      <w:r>
        <w:rPr>
          <w:rFonts w:hint="eastAsia"/>
          <w:lang w:eastAsia="zh-CN"/>
        </w:rPr>
        <w:t>在危废产生点危险废物经密闭包装后通过叉车运送至危废暂存间暂存，因危险废物采取密闭包装方式</w:t>
      </w:r>
      <w:r>
        <w:rPr>
          <w:rFonts w:hint="default"/>
        </w:rPr>
        <w:t>，</w:t>
      </w:r>
      <w:r>
        <w:rPr>
          <w:rFonts w:hint="eastAsia"/>
          <w:lang w:eastAsia="zh-CN"/>
        </w:rPr>
        <w:t>因此</w:t>
      </w:r>
      <w:r>
        <w:rPr>
          <w:rFonts w:hint="default"/>
        </w:rPr>
        <w:t>环境影响较小。</w:t>
      </w:r>
    </w:p>
    <w:p>
      <w:pPr>
        <w:bidi w:val="0"/>
        <w:rPr>
          <w:rFonts w:hint="default"/>
        </w:rPr>
      </w:pPr>
      <w:r>
        <w:rPr>
          <w:rFonts w:hint="eastAsia"/>
          <w:lang w:eastAsia="zh-CN"/>
        </w:rPr>
        <w:t>厂外运输</w:t>
      </w:r>
      <w:r>
        <w:rPr>
          <w:rFonts w:hint="default"/>
        </w:rPr>
        <w:t>指</w:t>
      </w:r>
      <w:r>
        <w:rPr>
          <w:rFonts w:hint="eastAsia"/>
          <w:lang w:eastAsia="zh-CN"/>
        </w:rPr>
        <w:t>危险废物</w:t>
      </w:r>
      <w:r>
        <w:rPr>
          <w:rFonts w:hint="default"/>
        </w:rPr>
        <w:t>从</w:t>
      </w:r>
      <w:r>
        <w:rPr>
          <w:rFonts w:hint="eastAsia"/>
          <w:lang w:eastAsia="zh-CN"/>
        </w:rPr>
        <w:t>危废暂存间运输至危险废物处置单位</w:t>
      </w:r>
      <w:r>
        <w:rPr>
          <w:rFonts w:hint="default"/>
        </w:rPr>
        <w:t>，</w:t>
      </w:r>
      <w:r>
        <w:rPr>
          <w:rFonts w:hint="eastAsia"/>
          <w:lang w:eastAsia="zh-CN"/>
        </w:rPr>
        <w:t>厂外运输委托专门的具有危险废物运输资质的单位进行运输，不在本次评价范围内</w:t>
      </w:r>
      <w:r>
        <w:rPr>
          <w:rFonts w:hint="default"/>
        </w:rPr>
        <w:t>。</w:t>
      </w:r>
    </w:p>
    <w:p>
      <w:pPr>
        <w:bidi w:val="0"/>
        <w:rPr>
          <w:rFonts w:hint="default"/>
        </w:rPr>
      </w:pPr>
      <w:r>
        <w:rPr>
          <w:rFonts w:hint="eastAsia"/>
          <w:lang w:eastAsia="zh-CN"/>
        </w:rPr>
        <w:t>因此，在</w:t>
      </w:r>
      <w:r>
        <w:rPr>
          <w:rFonts w:hint="default"/>
        </w:rPr>
        <w:t>采取上述措施后，危险废物运输过程中对水、土壤的影响很小。</w:t>
      </w:r>
    </w:p>
    <w:p>
      <w:pPr>
        <w:pStyle w:val="5"/>
        <w:bidi w:val="0"/>
        <w:rPr>
          <w:rFonts w:hint="default"/>
        </w:rPr>
      </w:pPr>
      <w:r>
        <w:rPr>
          <w:rFonts w:hint="eastAsia"/>
          <w:lang w:val="en-US" w:eastAsia="zh-CN"/>
        </w:rPr>
        <w:t>5.6.4</w:t>
      </w:r>
      <w:r>
        <w:rPr>
          <w:rFonts w:hint="default"/>
        </w:rPr>
        <w:t xml:space="preserve"> 处置的环境影响分析</w:t>
      </w:r>
    </w:p>
    <w:p>
      <w:pPr>
        <w:bidi w:val="0"/>
        <w:rPr>
          <w:rFonts w:hint="default"/>
        </w:rPr>
      </w:pPr>
      <w:r>
        <w:rPr>
          <w:rFonts w:hint="default"/>
        </w:rPr>
        <w:t>项目危废产生量较少，</w:t>
      </w:r>
      <w:r>
        <w:rPr>
          <w:rFonts w:hint="eastAsia"/>
          <w:lang w:eastAsia="zh-CN"/>
        </w:rPr>
        <w:t>经委托</w:t>
      </w:r>
      <w:r>
        <w:rPr>
          <w:rFonts w:hint="default"/>
        </w:rPr>
        <w:t>有资质单位处置危险废物</w:t>
      </w:r>
      <w:r>
        <w:rPr>
          <w:rFonts w:hint="eastAsia"/>
          <w:lang w:eastAsia="zh-CN"/>
        </w:rPr>
        <w:t>后</w:t>
      </w:r>
      <w:r>
        <w:rPr>
          <w:rFonts w:hint="default"/>
        </w:rPr>
        <w:t>，可以有效消除危险特性，对环境影响较小。</w:t>
      </w:r>
    </w:p>
    <w:p>
      <w:pPr>
        <w:pStyle w:val="4"/>
        <w:bidi w:val="0"/>
        <w:rPr>
          <w:rFonts w:hint="eastAsia"/>
          <w:lang w:val="en-US" w:eastAsia="zh-CN"/>
        </w:rPr>
      </w:pPr>
      <w:bookmarkStart w:id="102" w:name="_Toc25862"/>
      <w:r>
        <w:rPr>
          <w:rFonts w:hint="eastAsia"/>
          <w:lang w:val="en-US" w:eastAsia="zh-CN"/>
        </w:rPr>
        <w:t>5.7 施工期环境影响分析</w:t>
      </w:r>
      <w:bookmarkEnd w:id="102"/>
    </w:p>
    <w:p>
      <w:pPr>
        <w:pStyle w:val="5"/>
        <w:bidi w:val="0"/>
        <w:rPr>
          <w:rFonts w:hint="eastAsia" w:eastAsia="宋体"/>
          <w:lang w:val="en-US" w:eastAsia="zh-CN"/>
        </w:rPr>
      </w:pPr>
      <w:r>
        <w:rPr>
          <w:rFonts w:hint="eastAsia"/>
          <w:lang w:val="en-US" w:eastAsia="zh-CN"/>
        </w:rPr>
        <w:t>5.7.1</w:t>
      </w:r>
      <w:r>
        <w:t>施工期工艺流程</w:t>
      </w:r>
      <w:r>
        <w:rPr>
          <w:rFonts w:hint="eastAsia"/>
          <w:lang w:eastAsia="zh-CN"/>
        </w:rPr>
        <w:t>及产污环节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snapToGrid w:val="0"/>
          <w:kern w:val="0"/>
          <w:sz w:val="24"/>
          <w:lang w:eastAsia="zh-CN"/>
        </w:rPr>
      </w:pPr>
      <w:r>
        <w:rPr>
          <w:rFonts w:hint="eastAsia" w:ascii="Times New Roman" w:hAnsi="Times New Roman" w:eastAsia="宋体"/>
          <w:snapToGrid w:val="0"/>
          <w:kern w:val="0"/>
          <w:sz w:val="24"/>
          <w:lang w:eastAsia="zh-CN"/>
        </w:rPr>
        <w:drawing>
          <wp:inline distT="0" distB="0" distL="114300" distR="114300">
            <wp:extent cx="5730875" cy="1883410"/>
            <wp:effectExtent l="0" t="0" r="3175" b="2540"/>
            <wp:docPr id="97" name="图片 97" descr="1586059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586059744(1)"/>
                    <pic:cNvPicPr>
                      <a:picLocks noChangeAspect="1"/>
                    </pic:cNvPicPr>
                  </pic:nvPicPr>
                  <pic:blipFill>
                    <a:blip r:embed="rId42"/>
                    <a:stretch>
                      <a:fillRect/>
                    </a:stretch>
                  </pic:blipFill>
                  <pic:spPr>
                    <a:xfrm>
                      <a:off x="0" y="0"/>
                      <a:ext cx="5730875" cy="18834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snapToGrid w:val="0"/>
          <w:kern w:val="0"/>
          <w:sz w:val="24"/>
          <w:lang w:eastAsia="zh-CN"/>
        </w:rPr>
      </w:pPr>
      <w:r>
        <w:rPr>
          <w:b/>
          <w:bCs/>
          <w:sz w:val="24"/>
        </w:rPr>
        <w:t>图</w:t>
      </w:r>
      <w:r>
        <w:rPr>
          <w:rFonts w:hint="eastAsia"/>
          <w:b/>
          <w:bCs/>
          <w:sz w:val="24"/>
          <w:lang w:val="en-US" w:eastAsia="zh-CN"/>
        </w:rPr>
        <w:t>5.7.1-1</w:t>
      </w:r>
      <w:r>
        <w:rPr>
          <w:b/>
          <w:bCs/>
          <w:sz w:val="24"/>
        </w:rPr>
        <w:t xml:space="preserve"> 施工期工艺流程及产污环节图</w:t>
      </w:r>
      <w:r>
        <w:rPr>
          <w:rFonts w:hint="eastAsia"/>
          <w:b/>
          <w:bCs/>
          <w:sz w:val="24"/>
        </w:rPr>
        <w:t xml:space="preserve"> </w:t>
      </w:r>
    </w:p>
    <w:p>
      <w:pPr>
        <w:pStyle w:val="6"/>
        <w:bidi w:val="0"/>
      </w:pPr>
      <w:r>
        <w:rPr>
          <w:rFonts w:hint="eastAsia"/>
          <w:lang w:val="en-US" w:eastAsia="zh-CN"/>
        </w:rPr>
        <w:t>5.7.1.1</w:t>
      </w:r>
      <w:r>
        <w:t>施工期工艺流程说明</w:t>
      </w:r>
    </w:p>
    <w:p>
      <w:pPr>
        <w:bidi w:val="0"/>
      </w:pPr>
      <w:r>
        <w:rPr>
          <w:rFonts w:hint="eastAsia"/>
        </w:rPr>
        <w:t>⑴</w:t>
      </w:r>
      <w:r>
        <w:t>基础工程</w:t>
      </w:r>
    </w:p>
    <w:p>
      <w:pPr>
        <w:bidi w:val="0"/>
      </w:pPr>
      <w:r>
        <w:t>建设项目基础工程主要为场地的填土和夯实。建筑工人利用压路机分片压碾，并浇水湿润填土以利于密实。然后利用起重机械吊起特制的重锤来冲击基土表面，使地基受到压密，一般夯打8-12遍。该工段主要污染物为打桩机、挖土机、云图卡车等运行时产生的噪音以及施工过程中产生的施工弃土和扬尘。</w:t>
      </w:r>
    </w:p>
    <w:p>
      <w:pPr>
        <w:bidi w:val="0"/>
      </w:pPr>
      <w:r>
        <w:rPr>
          <w:rFonts w:hint="eastAsia"/>
        </w:rPr>
        <w:t>⑵</w:t>
      </w:r>
      <w:r>
        <w:t xml:space="preserve">主体工程 </w:t>
      </w:r>
    </w:p>
    <w:p>
      <w:pPr>
        <w:bidi w:val="0"/>
      </w:pPr>
      <w:r>
        <w:t>建设项目主体工程包括放线，搭设外架，柱钢筋安装，柱模安装，柱砼浇筑，梁、楼板模板安装，梁、楼板钢筋安装，梁、楼板砼浇筑。建设项目在砖墙砌筑时，首先进行水泥砂浆的调配，然后再挂线砌筑。该工段工期较长，主要污染物为混凝土输送泵、卷扬机运行产生的噪声，原材料废弃物以及施工扬尘和施工废水。</w:t>
      </w:r>
    </w:p>
    <w:p>
      <w:pPr>
        <w:bidi w:val="0"/>
      </w:pPr>
      <w:r>
        <w:rPr>
          <w:rFonts w:hint="eastAsia"/>
        </w:rPr>
        <w:t>⑶</w:t>
      </w:r>
      <w:r>
        <w:t>装饰工程</w:t>
      </w:r>
    </w:p>
    <w:p>
      <w:pPr>
        <w:bidi w:val="0"/>
      </w:pPr>
      <w:r>
        <w:t>对已经建好的建构筑物进行装修（如表面粉刷、喷涂、裱糊、镶贴装饰等），该工段主要污染物为钻机、电锤、切割机等产生噪声；喷涂、建筑及装饰材料等产生废弃物，极少量的洗涤污水。</w:t>
      </w:r>
    </w:p>
    <w:p>
      <w:pPr>
        <w:bidi w:val="0"/>
      </w:pPr>
      <w:r>
        <w:rPr>
          <w:rFonts w:hint="eastAsia"/>
        </w:rPr>
        <w:t>⑷</w:t>
      </w:r>
      <w:r>
        <w:t>设备安装</w:t>
      </w:r>
    </w:p>
    <w:p>
      <w:pPr>
        <w:bidi w:val="0"/>
      </w:pPr>
      <w:r>
        <w:t>项目安装设备及工具会产生噪声及原料废弃物，极少量的安装设备人员产生生活垃圾及生活废水。从上述工序说明可知，施工期环境污染问题主要是：建筑废弃物、施工期工人生活污水和混凝土搅拌废水、施工期噪声、施工弃土、施工期生活垃圾。这些污染几乎发生于整个施工过程，但不同污染因子在不同施工阶段的污染强度不同。</w:t>
      </w:r>
    </w:p>
    <w:p>
      <w:pPr>
        <w:pStyle w:val="6"/>
        <w:bidi w:val="0"/>
      </w:pPr>
      <w:r>
        <w:rPr>
          <w:rFonts w:hint="eastAsia"/>
          <w:lang w:val="en-US" w:eastAsia="zh-CN"/>
        </w:rPr>
        <w:t>5.7.1.2</w:t>
      </w:r>
      <w:r>
        <w:t>主要污染工序及源强</w:t>
      </w:r>
    </w:p>
    <w:p>
      <w:pPr>
        <w:bidi w:val="0"/>
      </w:pPr>
      <w:r>
        <w:rPr>
          <w:rFonts w:hint="eastAsia"/>
        </w:rPr>
        <w:t>⑴</w:t>
      </w:r>
      <w:r>
        <w:t>施工废水</w:t>
      </w:r>
    </w:p>
    <w:p>
      <w:pPr>
        <w:bidi w:val="0"/>
      </w:pPr>
      <w:r>
        <w:t>施工期产生的废水包括施工人员生活污水和施工作业废水。</w:t>
      </w:r>
    </w:p>
    <w:p>
      <w:pPr>
        <w:bidi w:val="0"/>
      </w:pPr>
      <w:r>
        <w:rPr>
          <w:rFonts w:hint="eastAsia"/>
        </w:rPr>
        <w:t>①</w:t>
      </w:r>
      <w:r>
        <w:t>生活污水</w:t>
      </w:r>
    </w:p>
    <w:p>
      <w:pPr>
        <w:bidi w:val="0"/>
      </w:pPr>
      <w:r>
        <w:t>本项目在地块内不设置施工营地，不占用项目红线以外的土地。生活污水主要源自施工人员平时的工作生活，主要污染物是COD、SS、氨氮、总磷等。施工场地拟设置临时厕所，生活污水</w:t>
      </w:r>
      <w:r>
        <w:rPr>
          <w:rFonts w:hint="eastAsia"/>
          <w:lang w:eastAsia="zh-CN"/>
        </w:rPr>
        <w:t>由附近村民托运作农肥</w:t>
      </w:r>
      <w:r>
        <w:t>。</w:t>
      </w:r>
      <w:r>
        <w:rPr>
          <w:rFonts w:hint="eastAsia"/>
          <w:lang w:eastAsia="zh-CN"/>
        </w:rPr>
        <w:t>一期</w:t>
      </w:r>
      <w:r>
        <w:t>项目施工期施工人员按</w:t>
      </w:r>
      <w:r>
        <w:rPr>
          <w:rFonts w:hint="eastAsia"/>
          <w:lang w:val="en-US" w:eastAsia="zh-CN"/>
        </w:rPr>
        <w:t>100</w:t>
      </w:r>
      <w:r>
        <w:t>人计，用水定额取100L/人计，污水按用水量的80%计，则生活污水的排放量为</w:t>
      </w:r>
      <w:r>
        <w:rPr>
          <w:rFonts w:hint="eastAsia"/>
          <w:lang w:val="en-US" w:eastAsia="zh-CN"/>
        </w:rPr>
        <w:t>8m</w:t>
      </w:r>
      <w:r>
        <w:rPr>
          <w:rFonts w:hint="eastAsia"/>
          <w:vertAlign w:val="superscript"/>
          <w:lang w:val="en-US" w:eastAsia="zh-CN"/>
        </w:rPr>
        <w:t>3</w:t>
      </w:r>
      <w:r>
        <w:t>/d，总计施工</w:t>
      </w:r>
      <w:r>
        <w:rPr>
          <w:rFonts w:hint="eastAsia"/>
        </w:rPr>
        <w:t>12</w:t>
      </w:r>
      <w:r>
        <w:t>个月共计</w:t>
      </w:r>
      <w:r>
        <w:rPr>
          <w:rFonts w:hint="eastAsia"/>
        </w:rPr>
        <w:t>360</w:t>
      </w:r>
      <w:r>
        <w:t>天，共排放生活污水</w:t>
      </w:r>
      <w:r>
        <w:rPr>
          <w:rFonts w:hint="eastAsia"/>
          <w:lang w:val="en-US" w:eastAsia="zh-CN"/>
        </w:rPr>
        <w:t>288</w:t>
      </w:r>
      <w:r>
        <w:rPr>
          <w:rFonts w:hint="eastAsia"/>
        </w:rPr>
        <w:t>0</w:t>
      </w:r>
      <w:r>
        <w:rPr>
          <w:rFonts w:hint="eastAsia"/>
          <w:lang w:val="en-US" w:eastAsia="zh-CN"/>
        </w:rPr>
        <w:t>m</w:t>
      </w:r>
      <w:r>
        <w:rPr>
          <w:rFonts w:hint="eastAsia"/>
          <w:vertAlign w:val="superscript"/>
          <w:lang w:val="en-US" w:eastAsia="zh-CN"/>
        </w:rPr>
        <w:t>3</w:t>
      </w:r>
      <w:r>
        <w:rPr>
          <w:rFonts w:hint="eastAsia"/>
          <w:lang w:eastAsia="zh-CN"/>
        </w:rPr>
        <w:t>；</w:t>
      </w:r>
      <w:r>
        <w:t>。</w:t>
      </w:r>
      <w:r>
        <w:rPr>
          <w:rFonts w:hint="eastAsia"/>
          <w:lang w:eastAsia="zh-CN"/>
        </w:rPr>
        <w:t>二期</w:t>
      </w:r>
      <w:r>
        <w:t>项目施工期施工人员按</w:t>
      </w:r>
      <w:r>
        <w:rPr>
          <w:rFonts w:hint="eastAsia"/>
          <w:lang w:val="en-US" w:eastAsia="zh-CN"/>
        </w:rPr>
        <w:t>50</w:t>
      </w:r>
      <w:r>
        <w:t>人计，用水定额取100L/人计，污水按用水量的80%计，则生活污水的排放量为</w:t>
      </w:r>
      <w:r>
        <w:rPr>
          <w:rFonts w:hint="eastAsia"/>
          <w:lang w:val="en-US" w:eastAsia="zh-CN"/>
        </w:rPr>
        <w:t>4m</w:t>
      </w:r>
      <w:r>
        <w:rPr>
          <w:rFonts w:hint="eastAsia"/>
          <w:vertAlign w:val="superscript"/>
          <w:lang w:val="en-US" w:eastAsia="zh-CN"/>
        </w:rPr>
        <w:t>3</w:t>
      </w:r>
      <w:r>
        <w:t>/d，总计施工</w:t>
      </w:r>
      <w:r>
        <w:rPr>
          <w:rFonts w:hint="eastAsia"/>
        </w:rPr>
        <w:t>12</w:t>
      </w:r>
      <w:r>
        <w:t>个月共计</w:t>
      </w:r>
      <w:r>
        <w:rPr>
          <w:rFonts w:hint="eastAsia"/>
        </w:rPr>
        <w:t>360</w:t>
      </w:r>
      <w:r>
        <w:t>天，共排放生活污水</w:t>
      </w:r>
      <w:r>
        <w:rPr>
          <w:rFonts w:hint="eastAsia"/>
          <w:lang w:val="en-US" w:eastAsia="zh-CN"/>
        </w:rPr>
        <w:t>1440m</w:t>
      </w:r>
      <w:r>
        <w:rPr>
          <w:rFonts w:hint="eastAsia"/>
          <w:vertAlign w:val="superscript"/>
          <w:lang w:val="en-US" w:eastAsia="zh-CN"/>
        </w:rPr>
        <w:t>3</w:t>
      </w:r>
      <w:r>
        <w:t>，污水中污染物的产生量详见表</w:t>
      </w:r>
      <w:r>
        <w:rPr>
          <w:rFonts w:hint="eastAsia"/>
          <w:lang w:val="en-US" w:eastAsia="zh-CN"/>
        </w:rPr>
        <w:t>5.7.1-1</w:t>
      </w:r>
      <w:r>
        <w:t>。</w:t>
      </w:r>
    </w:p>
    <w:p>
      <w:pPr>
        <w:pStyle w:val="27"/>
        <w:bidi w:val="0"/>
      </w:pPr>
      <w:r>
        <w:t>表</w:t>
      </w:r>
      <w:r>
        <w:rPr>
          <w:rFonts w:hint="eastAsia"/>
          <w:lang w:val="en-US" w:eastAsia="zh-CN"/>
        </w:rPr>
        <w:t>5.7.1-1</w:t>
      </w:r>
      <w:r>
        <w:t>施工期生活污水及污染物产生情况表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3918"/>
        <w:gridCol w:w="1787"/>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vMerge w:val="restar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污染物</w:t>
            </w:r>
          </w:p>
        </w:tc>
        <w:tc>
          <w:tcPr>
            <w:tcW w:w="1967" w:type="pct"/>
            <w:vMerge w:val="restar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浓度（mg/L）</w:t>
            </w:r>
          </w:p>
        </w:tc>
        <w:tc>
          <w:tcPr>
            <w:tcW w:w="1931" w:type="pct"/>
            <w:gridSpan w:val="2"/>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vMerge w:val="continue"/>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pPr>
          </w:p>
        </w:tc>
        <w:tc>
          <w:tcPr>
            <w:tcW w:w="1967" w:type="pct"/>
            <w:vMerge w:val="continue"/>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outlineLvl w:val="9"/>
            </w:pP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eastAsia="宋体"/>
                <w:lang w:eastAsia="zh-CN"/>
              </w:rPr>
            </w:pPr>
            <w:r>
              <w:rPr>
                <w:rFonts w:hint="eastAsia"/>
                <w:lang w:eastAsia="zh-CN"/>
              </w:rPr>
              <w:t>一期</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eastAsia="宋体"/>
                <w:lang w:eastAsia="zh-CN"/>
              </w:rPr>
            </w:pPr>
            <w:r>
              <w:rPr>
                <w:rFonts w:hint="eastAsia"/>
                <w:lang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用水量</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lang w:val="en-US" w:eastAsia="zh-CN"/>
              </w:rPr>
            </w:pPr>
            <w:r>
              <w:rPr>
                <w:rFonts w:hint="eastAsia"/>
                <w:lang w:val="en-US" w:eastAsia="zh-CN"/>
              </w:rPr>
              <w:t>3600</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污水量</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eastAsia="宋体"/>
                <w:lang w:val="en-US" w:eastAsia="zh-CN"/>
              </w:rPr>
            </w:pPr>
            <w:r>
              <w:rPr>
                <w:rFonts w:hint="eastAsia"/>
                <w:lang w:val="en-US" w:eastAsia="zh-CN"/>
              </w:rPr>
              <w:t>2880</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textAlignment w:val="auto"/>
              <w:rPr>
                <w:rFonts w:hint="default" w:ascii="Times New Roman" w:hAnsi="Times New Roman" w:eastAsia="宋体" w:cstheme="minorBidi"/>
                <w:b w:val="0"/>
                <w:kern w:val="2"/>
                <w:sz w:val="21"/>
                <w:szCs w:val="24"/>
                <w:lang w:val="en-US" w:eastAsia="zh-CN" w:bidi="ar-SA"/>
              </w:rPr>
            </w:pPr>
            <w:r>
              <w:rPr>
                <w:rFonts w:hint="eastAsia"/>
                <w:lang w:val="en-US" w:eastAsia="zh-CN"/>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COD</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300</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val="en-US" w:eastAsia="zh-CN"/>
              </w:rPr>
            </w:pPr>
            <w:r>
              <w:rPr>
                <w:rFonts w:hint="eastAsia"/>
                <w:lang w:val="en-US" w:eastAsia="zh-CN"/>
              </w:rPr>
              <w:t xml:space="preserve">0.864 </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SS</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150</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val="en-US" w:eastAsia="zh-CN"/>
              </w:rPr>
            </w:pPr>
            <w:r>
              <w:rPr>
                <w:rFonts w:hint="eastAsia"/>
                <w:lang w:val="en-US" w:eastAsia="zh-CN"/>
              </w:rPr>
              <w:t xml:space="preserve">0.432 </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NH</w:t>
            </w:r>
            <w:r>
              <w:rPr>
                <w:vertAlign w:val="subscript"/>
              </w:rPr>
              <w:t>3</w:t>
            </w:r>
            <w:r>
              <w:t>-N</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30</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val="en-US" w:eastAsia="zh-CN"/>
              </w:rPr>
            </w:pPr>
            <w:r>
              <w:rPr>
                <w:rFonts w:hint="eastAsia"/>
                <w:lang w:val="en-US" w:eastAsia="zh-CN"/>
              </w:rPr>
              <w:t xml:space="preserve">0.086 </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default"/>
                <w:lang w:val="en-US" w:eastAsia="zh-CN"/>
              </w:rPr>
            </w:pPr>
            <w:r>
              <w:rPr>
                <w:rFonts w:hint="eastAsia"/>
                <w:lang w:val="en-US" w:eastAsia="zh-CN"/>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pPr>
            <w:r>
              <w:t>TP</w:t>
            </w:r>
          </w:p>
        </w:tc>
        <w:tc>
          <w:tcPr>
            <w:tcW w:w="196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eastAsia="zh-CN"/>
              </w:rPr>
            </w:pPr>
            <w:r>
              <w:rPr>
                <w:rFonts w:hint="eastAsia"/>
                <w:lang w:val="en-US" w:eastAsia="zh-CN"/>
              </w:rPr>
              <w:t>3</w:t>
            </w:r>
          </w:p>
        </w:tc>
        <w:tc>
          <w:tcPr>
            <w:tcW w:w="897"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val="en-US" w:eastAsia="zh-CN"/>
              </w:rPr>
            </w:pPr>
            <w:r>
              <w:rPr>
                <w:rFonts w:hint="eastAsia"/>
                <w:lang w:val="en-US" w:eastAsia="zh-CN"/>
              </w:rPr>
              <w:t xml:space="preserve">0.009 </w:t>
            </w:r>
          </w:p>
        </w:tc>
        <w:tc>
          <w:tcPr>
            <w:tcW w:w="1034" w:type="pct"/>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hint="eastAsia"/>
                <w:lang w:val="en-US" w:eastAsia="zh-CN"/>
              </w:rPr>
            </w:pPr>
            <w:r>
              <w:rPr>
                <w:rFonts w:hint="eastAsia"/>
                <w:lang w:val="en-US" w:eastAsia="zh-CN"/>
              </w:rPr>
              <w:t xml:space="preserve">0.0045 </w:t>
            </w:r>
          </w:p>
        </w:tc>
      </w:tr>
    </w:tbl>
    <w:p>
      <w:pPr>
        <w:bidi w:val="0"/>
      </w:pPr>
      <w:r>
        <w:rPr>
          <w:rFonts w:hint="eastAsia"/>
        </w:rPr>
        <w:t>②</w:t>
      </w:r>
      <w:r>
        <w:t>施工作业废水</w:t>
      </w:r>
    </w:p>
    <w:p>
      <w:pPr>
        <w:bidi w:val="0"/>
      </w:pPr>
      <w:r>
        <w:t>施工废水主要来自砂石冲洗、混凝土养护、场地和设备冲洗等过程。施工废水中主要含有泥沙和油污。根据《江苏省城市生活与公共用水定额（2016年修订）》中对于商品混凝土，房屋工程建筑的建筑工地用水定额为0.35m</w:t>
      </w:r>
      <w:r>
        <w:rPr>
          <w:rFonts w:hint="eastAsia"/>
          <w:vertAlign w:val="superscript"/>
          <w:lang w:val="en-US" w:eastAsia="zh-CN"/>
        </w:rPr>
        <w:t>3</w:t>
      </w:r>
      <w:r>
        <w:t>/m</w:t>
      </w:r>
      <w:r>
        <w:rPr>
          <w:vertAlign w:val="superscript"/>
        </w:rPr>
        <w:t>2</w:t>
      </w:r>
      <w:r>
        <w:t>，本项目总建筑面积为</w:t>
      </w:r>
      <w:r>
        <w:rPr>
          <w:rFonts w:hint="eastAsia"/>
          <w:lang w:val="en-US" w:eastAsia="zh-CN"/>
        </w:rPr>
        <w:t>28874.39</w:t>
      </w:r>
      <w:r>
        <w:t>m</w:t>
      </w:r>
      <w:r>
        <w:rPr>
          <w:vertAlign w:val="superscript"/>
        </w:rPr>
        <w:t>2</w:t>
      </w:r>
      <w:r>
        <w:t>，则施工</w:t>
      </w:r>
      <w:r>
        <w:rPr>
          <w:rFonts w:hint="eastAsia"/>
          <w:lang w:eastAsia="zh-CN"/>
        </w:rPr>
        <w:t>用水</w:t>
      </w:r>
      <w:r>
        <w:t>总量</w:t>
      </w:r>
      <w:r>
        <w:rPr>
          <w:rFonts w:hint="eastAsia"/>
          <w:lang w:val="en-US" w:eastAsia="zh-CN"/>
        </w:rPr>
        <w:t>10106.04</w:t>
      </w:r>
      <w:r>
        <w:t>m</w:t>
      </w:r>
      <w:r>
        <w:rPr>
          <w:rFonts w:hint="eastAsia"/>
          <w:vertAlign w:val="superscript"/>
          <w:lang w:val="en-US" w:eastAsia="zh-CN"/>
        </w:rPr>
        <w:t>3</w:t>
      </w:r>
      <w:r>
        <w:t>。其中约有80%蒸发或进入物料，则施工期工程废水的产生量约</w:t>
      </w:r>
      <w:r>
        <w:rPr>
          <w:rFonts w:hint="eastAsia"/>
          <w:lang w:val="en-US" w:eastAsia="zh-CN"/>
        </w:rPr>
        <w:t>2021.21</w:t>
      </w:r>
      <w:r>
        <w:t>m</w:t>
      </w:r>
      <w:r>
        <w:rPr>
          <w:vertAlign w:val="superscript"/>
        </w:rPr>
        <w:t>3</w:t>
      </w:r>
      <w:r>
        <w:t>。经类比分析，此类废水中COD浓度一般低于50mg/L，SS浓度一般为1000mg/L，石油类浓度一般为300mg/L，施工废水经隔油、沉淀处理后全部用作场地回用，不外排。</w:t>
      </w:r>
    </w:p>
    <w:p>
      <w:pPr>
        <w:bidi w:val="0"/>
      </w:pPr>
      <w:r>
        <w:rPr>
          <w:rFonts w:hint="eastAsia"/>
        </w:rPr>
        <w:t>⑵</w:t>
      </w:r>
      <w:r>
        <w:t>施工扬尘及废气</w:t>
      </w:r>
    </w:p>
    <w:p>
      <w:pPr>
        <w:bidi w:val="0"/>
      </w:pPr>
      <w:r>
        <w:t>本项目施工期的大气污染物主要是扬尘及有机废气，扬尘一般由土地平整、土方填挖、物料装卸和车辆运输造成的。</w:t>
      </w:r>
    </w:p>
    <w:p>
      <w:pPr>
        <w:bidi w:val="0"/>
      </w:pPr>
      <w:r>
        <w:rPr>
          <w:rFonts w:hint="eastAsia"/>
        </w:rPr>
        <w:t>①</w:t>
      </w:r>
      <w:r>
        <w:t>扬尘</w:t>
      </w:r>
    </w:p>
    <w:p>
      <w:pPr>
        <w:bidi w:val="0"/>
      </w:pPr>
      <w:r>
        <w:t>对整个施工期而言，施工产生的扬尘主要集中在土建施工阶段。按起尘的原因可分为风力起尘和动力起尘，其中风力起尘主要是由于裸露的施工区表层浮尘因天气干燥及大风，产生风尘扬尘；而动力起尘，主要是在建材的装卸过程中，由于外力而产生的尘粒再悬浮而造成，其中施工及装卸车辆造成的扬尘最为严重，据有关文献资料介绍，车辆行驶产生的扬尘占总扬尘的60%以上。</w:t>
      </w:r>
    </w:p>
    <w:p>
      <w:pPr>
        <w:bidi w:val="0"/>
      </w:pPr>
      <w:r>
        <w:t>车辆行驶产生的扬尘，在完全干燥情况下，按下列经验公式计算：</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宋体"/>
          <w:snapToGrid w:val="0"/>
          <w:kern w:val="0"/>
        </w:rPr>
      </w:pPr>
      <w:r>
        <w:rPr>
          <w:rFonts w:ascii="Times New Roman" w:hAnsi="Times New Roman" w:eastAsia="宋体"/>
          <w:snapToGrid w:val="0"/>
          <w:kern w:val="0"/>
        </w:rPr>
        <w:drawing>
          <wp:inline distT="0" distB="0" distL="114300" distR="114300">
            <wp:extent cx="2466975" cy="542925"/>
            <wp:effectExtent l="0" t="0" r="9525" b="9525"/>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pic:cNvPicPr>
                  </pic:nvPicPr>
                  <pic:blipFill>
                    <a:blip r:embed="rId43"/>
                    <a:stretch>
                      <a:fillRect/>
                    </a:stretch>
                  </pic:blipFill>
                  <pic:spPr>
                    <a:xfrm>
                      <a:off x="0" y="0"/>
                      <a:ext cx="2466975" cy="542925"/>
                    </a:xfrm>
                    <a:prstGeom prst="rect">
                      <a:avLst/>
                    </a:prstGeom>
                    <a:noFill/>
                    <a:ln>
                      <a:noFill/>
                    </a:ln>
                  </pic:spPr>
                </pic:pic>
              </a:graphicData>
            </a:graphic>
          </wp:inline>
        </w:drawing>
      </w:r>
    </w:p>
    <w:p>
      <w:pPr>
        <w:bidi w:val="0"/>
      </w:pPr>
      <w:r>
        <w:t>式中：Q——汽车行驶的扬尘，Kg/km·辆；</w:t>
      </w:r>
    </w:p>
    <w:p>
      <w:pPr>
        <w:bidi w:val="0"/>
      </w:pPr>
      <w:r>
        <w:t>V——汽车速度，Km/hr；</w:t>
      </w:r>
    </w:p>
    <w:p>
      <w:pPr>
        <w:bidi w:val="0"/>
      </w:pPr>
      <w:r>
        <w:t>W——汽车载重量，吨；</w:t>
      </w:r>
    </w:p>
    <w:p>
      <w:pPr>
        <w:bidi w:val="0"/>
      </w:pPr>
      <w:r>
        <w:t>P——道路表面粉尘量，kg/m</w:t>
      </w:r>
      <w:r>
        <w:rPr>
          <w:vertAlign w:val="superscript"/>
        </w:rPr>
        <w:t>2</w:t>
      </w:r>
      <w:r>
        <w:t>。</w:t>
      </w:r>
    </w:p>
    <w:p>
      <w:pPr>
        <w:bidi w:val="0"/>
      </w:pPr>
      <w:r>
        <w:t>表</w:t>
      </w:r>
      <w:r>
        <w:rPr>
          <w:rFonts w:hint="eastAsia"/>
          <w:lang w:val="en-US" w:eastAsia="zh-CN"/>
        </w:rPr>
        <w:t>5.7.1</w:t>
      </w:r>
      <w:r>
        <w:t>-2为一辆10吨卡车，通过一段长度为1km的路面时，不同路面清洁程度，不同行驶速度情况下产生的扬尘量。由此可见，在同样路面清洁程度条件下，车速越快，扬尘量越大；而在同样车速情况下，路面越脏，则扬尘量越大。因此限速行驶及保持路面的清洁是减少汽车扬尘的有效手段。</w:t>
      </w:r>
    </w:p>
    <w:p>
      <w:pPr>
        <w:pStyle w:val="27"/>
        <w:bidi w:val="0"/>
      </w:pPr>
      <w:r>
        <w:t>表</w:t>
      </w:r>
      <w:r>
        <w:rPr>
          <w:rFonts w:hint="eastAsia"/>
          <w:lang w:val="en-US" w:eastAsia="zh-CN"/>
        </w:rPr>
        <w:t>5.7.1</w:t>
      </w:r>
      <w:r>
        <w:t>-2  在不同车速和地面清洁程度的汽车扬尘（单位：kg/辆·公里）</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381"/>
        <w:gridCol w:w="1383"/>
        <w:gridCol w:w="1383"/>
        <w:gridCol w:w="1383"/>
        <w:gridCol w:w="1383"/>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7" w:type="dxa"/>
            <w:tcBorders>
              <w:tl2br w:val="nil"/>
              <w:tr2bl w:val="nil"/>
            </w:tcBorders>
            <w:noWrap w:val="0"/>
            <w:vAlign w:val="center"/>
          </w:tcPr>
          <w:p>
            <w:pPr>
              <w:pStyle w:val="28"/>
              <w:suppressLineNumbers w:val="0"/>
              <w:bidi w:val="0"/>
              <w:spacing w:before="0" w:after="0"/>
              <w:ind w:left="0" w:right="0"/>
            </w:pPr>
            <w:r>
              <w:t xml:space="preserve">      P</w:t>
            </w:r>
          </w:p>
          <w:p>
            <w:pPr>
              <w:pStyle w:val="28"/>
              <w:suppressLineNumbers w:val="0"/>
              <w:bidi w:val="0"/>
              <w:spacing w:before="0" w:after="0"/>
              <w:ind w:left="0" w:right="0"/>
            </w:pPr>
            <w:r>
              <w:t>车速</w:t>
            </w:r>
          </w:p>
        </w:tc>
        <w:tc>
          <w:tcPr>
            <w:tcW w:w="1381" w:type="dxa"/>
            <w:tcBorders>
              <w:tl2br w:val="nil"/>
              <w:tr2bl w:val="nil"/>
            </w:tcBorders>
            <w:noWrap w:val="0"/>
            <w:vAlign w:val="center"/>
          </w:tcPr>
          <w:p>
            <w:pPr>
              <w:pStyle w:val="28"/>
              <w:suppressLineNumbers w:val="0"/>
              <w:bidi w:val="0"/>
              <w:spacing w:before="0" w:after="0"/>
              <w:ind w:left="0" w:right="0"/>
            </w:pPr>
            <w:r>
              <w:t>0.1</w:t>
            </w:r>
          </w:p>
          <w:p>
            <w:pPr>
              <w:pStyle w:val="28"/>
              <w:suppressLineNumbers w:val="0"/>
              <w:bidi w:val="0"/>
              <w:spacing w:before="0" w:after="0"/>
              <w:ind w:left="0" w:right="0"/>
            </w:pPr>
            <w:r>
              <w:t>(kg/m2)</w:t>
            </w:r>
          </w:p>
        </w:tc>
        <w:tc>
          <w:tcPr>
            <w:tcW w:w="1383" w:type="dxa"/>
            <w:tcBorders>
              <w:tl2br w:val="nil"/>
              <w:tr2bl w:val="nil"/>
            </w:tcBorders>
            <w:noWrap w:val="0"/>
            <w:vAlign w:val="center"/>
          </w:tcPr>
          <w:p>
            <w:pPr>
              <w:pStyle w:val="28"/>
              <w:suppressLineNumbers w:val="0"/>
              <w:bidi w:val="0"/>
              <w:spacing w:before="0" w:after="0"/>
              <w:ind w:left="0" w:right="0"/>
            </w:pPr>
            <w:r>
              <w:t>0.2</w:t>
            </w:r>
          </w:p>
          <w:p>
            <w:pPr>
              <w:pStyle w:val="28"/>
              <w:suppressLineNumbers w:val="0"/>
              <w:bidi w:val="0"/>
              <w:spacing w:before="0" w:after="0"/>
              <w:ind w:left="0" w:right="0"/>
            </w:pPr>
            <w:r>
              <w:t>(kg/m2)</w:t>
            </w:r>
          </w:p>
        </w:tc>
        <w:tc>
          <w:tcPr>
            <w:tcW w:w="1383" w:type="dxa"/>
            <w:tcBorders>
              <w:tl2br w:val="nil"/>
              <w:tr2bl w:val="nil"/>
            </w:tcBorders>
            <w:noWrap w:val="0"/>
            <w:vAlign w:val="center"/>
          </w:tcPr>
          <w:p>
            <w:pPr>
              <w:pStyle w:val="28"/>
              <w:suppressLineNumbers w:val="0"/>
              <w:bidi w:val="0"/>
              <w:spacing w:before="0" w:after="0"/>
              <w:ind w:left="0" w:right="0"/>
            </w:pPr>
            <w:r>
              <w:t>0.3</w:t>
            </w:r>
          </w:p>
          <w:p>
            <w:pPr>
              <w:pStyle w:val="28"/>
              <w:suppressLineNumbers w:val="0"/>
              <w:bidi w:val="0"/>
              <w:spacing w:before="0" w:after="0"/>
              <w:ind w:left="0" w:right="0"/>
            </w:pPr>
            <w:r>
              <w:t>(kg/m2)</w:t>
            </w:r>
          </w:p>
        </w:tc>
        <w:tc>
          <w:tcPr>
            <w:tcW w:w="1383" w:type="dxa"/>
            <w:tcBorders>
              <w:tl2br w:val="nil"/>
              <w:tr2bl w:val="nil"/>
            </w:tcBorders>
            <w:noWrap w:val="0"/>
            <w:vAlign w:val="center"/>
          </w:tcPr>
          <w:p>
            <w:pPr>
              <w:pStyle w:val="28"/>
              <w:suppressLineNumbers w:val="0"/>
              <w:bidi w:val="0"/>
              <w:spacing w:before="0" w:after="0"/>
              <w:ind w:left="0" w:right="0"/>
            </w:pPr>
            <w:r>
              <w:t>0.4</w:t>
            </w:r>
          </w:p>
          <w:p>
            <w:pPr>
              <w:pStyle w:val="28"/>
              <w:suppressLineNumbers w:val="0"/>
              <w:bidi w:val="0"/>
              <w:spacing w:before="0" w:after="0"/>
              <w:ind w:left="0" w:right="0"/>
            </w:pPr>
            <w:r>
              <w:t>(kg/m2)</w:t>
            </w:r>
          </w:p>
        </w:tc>
        <w:tc>
          <w:tcPr>
            <w:tcW w:w="1383" w:type="dxa"/>
            <w:tcBorders>
              <w:tl2br w:val="nil"/>
              <w:tr2bl w:val="nil"/>
            </w:tcBorders>
            <w:noWrap w:val="0"/>
            <w:vAlign w:val="center"/>
          </w:tcPr>
          <w:p>
            <w:pPr>
              <w:pStyle w:val="28"/>
              <w:suppressLineNumbers w:val="0"/>
              <w:bidi w:val="0"/>
              <w:spacing w:before="0" w:after="0"/>
              <w:ind w:left="0" w:right="0"/>
            </w:pPr>
            <w:r>
              <w:t>0.5</w:t>
            </w:r>
          </w:p>
          <w:p>
            <w:pPr>
              <w:pStyle w:val="28"/>
              <w:suppressLineNumbers w:val="0"/>
              <w:bidi w:val="0"/>
              <w:spacing w:before="0" w:after="0"/>
              <w:ind w:left="0" w:right="0"/>
            </w:pPr>
            <w:r>
              <w:t>(kg/m2)</w:t>
            </w:r>
          </w:p>
        </w:tc>
        <w:tc>
          <w:tcPr>
            <w:tcW w:w="1380" w:type="dxa"/>
            <w:tcBorders>
              <w:tl2br w:val="nil"/>
              <w:tr2bl w:val="nil"/>
            </w:tcBorders>
            <w:noWrap w:val="0"/>
            <w:vAlign w:val="center"/>
          </w:tcPr>
          <w:p>
            <w:pPr>
              <w:pStyle w:val="28"/>
              <w:suppressLineNumbers w:val="0"/>
              <w:bidi w:val="0"/>
              <w:spacing w:before="0" w:after="0"/>
              <w:ind w:left="0" w:right="0"/>
            </w:pPr>
            <w:r>
              <w:t>1</w:t>
            </w:r>
          </w:p>
          <w:p>
            <w:pPr>
              <w:pStyle w:val="28"/>
              <w:suppressLineNumbers w:val="0"/>
              <w:bidi w:val="0"/>
              <w:spacing w:before="0" w:after="0"/>
              <w:ind w:left="0" w:right="0"/>
            </w:pPr>
            <w:r>
              <w:t>(kg/m2)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7" w:type="dxa"/>
            <w:tcBorders>
              <w:tl2br w:val="nil"/>
              <w:tr2bl w:val="nil"/>
            </w:tcBorders>
            <w:noWrap w:val="0"/>
            <w:vAlign w:val="center"/>
          </w:tcPr>
          <w:p>
            <w:pPr>
              <w:pStyle w:val="28"/>
              <w:suppressLineNumbers w:val="0"/>
              <w:bidi w:val="0"/>
              <w:spacing w:before="0" w:after="0"/>
              <w:ind w:left="0" w:right="0"/>
            </w:pPr>
            <w:r>
              <w:t>5(km/hr)</w:t>
            </w:r>
          </w:p>
        </w:tc>
        <w:tc>
          <w:tcPr>
            <w:tcW w:w="1381" w:type="dxa"/>
            <w:tcBorders>
              <w:tl2br w:val="nil"/>
              <w:tr2bl w:val="nil"/>
            </w:tcBorders>
            <w:noWrap w:val="0"/>
            <w:vAlign w:val="center"/>
          </w:tcPr>
          <w:p>
            <w:pPr>
              <w:pStyle w:val="28"/>
              <w:suppressLineNumbers w:val="0"/>
              <w:bidi w:val="0"/>
              <w:spacing w:before="0" w:after="0"/>
              <w:ind w:left="0" w:right="0"/>
            </w:pPr>
            <w:r>
              <w:t>0.051056</w:t>
            </w:r>
          </w:p>
        </w:tc>
        <w:tc>
          <w:tcPr>
            <w:tcW w:w="1383" w:type="dxa"/>
            <w:tcBorders>
              <w:tl2br w:val="nil"/>
              <w:tr2bl w:val="nil"/>
            </w:tcBorders>
            <w:noWrap w:val="0"/>
            <w:vAlign w:val="center"/>
          </w:tcPr>
          <w:p>
            <w:pPr>
              <w:pStyle w:val="28"/>
              <w:suppressLineNumbers w:val="0"/>
              <w:bidi w:val="0"/>
              <w:spacing w:before="0" w:after="0"/>
              <w:ind w:left="0" w:right="0"/>
            </w:pPr>
            <w:r>
              <w:t>0.085865</w:t>
            </w:r>
          </w:p>
        </w:tc>
        <w:tc>
          <w:tcPr>
            <w:tcW w:w="1383" w:type="dxa"/>
            <w:tcBorders>
              <w:tl2br w:val="nil"/>
              <w:tr2bl w:val="nil"/>
            </w:tcBorders>
            <w:noWrap w:val="0"/>
            <w:vAlign w:val="center"/>
          </w:tcPr>
          <w:p>
            <w:pPr>
              <w:pStyle w:val="28"/>
              <w:suppressLineNumbers w:val="0"/>
              <w:bidi w:val="0"/>
              <w:spacing w:before="0" w:after="0"/>
              <w:ind w:left="0" w:right="0"/>
            </w:pPr>
            <w:r>
              <w:t>0.116382</w:t>
            </w:r>
          </w:p>
        </w:tc>
        <w:tc>
          <w:tcPr>
            <w:tcW w:w="1383" w:type="dxa"/>
            <w:tcBorders>
              <w:tl2br w:val="nil"/>
              <w:tr2bl w:val="nil"/>
            </w:tcBorders>
            <w:noWrap w:val="0"/>
            <w:vAlign w:val="center"/>
          </w:tcPr>
          <w:p>
            <w:pPr>
              <w:pStyle w:val="28"/>
              <w:suppressLineNumbers w:val="0"/>
              <w:bidi w:val="0"/>
              <w:spacing w:before="0" w:after="0"/>
              <w:ind w:left="0" w:right="0"/>
            </w:pPr>
            <w:r>
              <w:t>0.144408</w:t>
            </w:r>
          </w:p>
        </w:tc>
        <w:tc>
          <w:tcPr>
            <w:tcW w:w="1383" w:type="dxa"/>
            <w:tcBorders>
              <w:tl2br w:val="nil"/>
              <w:tr2bl w:val="nil"/>
            </w:tcBorders>
            <w:noWrap w:val="0"/>
            <w:vAlign w:val="center"/>
          </w:tcPr>
          <w:p>
            <w:pPr>
              <w:pStyle w:val="28"/>
              <w:suppressLineNumbers w:val="0"/>
              <w:bidi w:val="0"/>
              <w:spacing w:before="0" w:after="0"/>
              <w:ind w:left="0" w:right="0"/>
            </w:pPr>
            <w:r>
              <w:t>0.170715</w:t>
            </w:r>
          </w:p>
        </w:tc>
        <w:tc>
          <w:tcPr>
            <w:tcW w:w="1380" w:type="dxa"/>
            <w:tcBorders>
              <w:tl2br w:val="nil"/>
              <w:tr2bl w:val="nil"/>
            </w:tcBorders>
            <w:noWrap w:val="0"/>
            <w:vAlign w:val="center"/>
          </w:tcPr>
          <w:p>
            <w:pPr>
              <w:pStyle w:val="28"/>
              <w:suppressLineNumbers w:val="0"/>
              <w:bidi w:val="0"/>
              <w:spacing w:before="0" w:after="0"/>
              <w:ind w:left="0" w:right="0"/>
            </w:pPr>
            <w: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7" w:type="dxa"/>
            <w:tcBorders>
              <w:tl2br w:val="nil"/>
              <w:tr2bl w:val="nil"/>
            </w:tcBorders>
            <w:noWrap w:val="0"/>
            <w:vAlign w:val="center"/>
          </w:tcPr>
          <w:p>
            <w:pPr>
              <w:pStyle w:val="28"/>
              <w:suppressLineNumbers w:val="0"/>
              <w:bidi w:val="0"/>
              <w:spacing w:before="0" w:after="0"/>
              <w:ind w:left="0" w:right="0"/>
            </w:pPr>
            <w:r>
              <w:t>10(km/hr)</w:t>
            </w:r>
          </w:p>
        </w:tc>
        <w:tc>
          <w:tcPr>
            <w:tcW w:w="1381" w:type="dxa"/>
            <w:tcBorders>
              <w:tl2br w:val="nil"/>
              <w:tr2bl w:val="nil"/>
            </w:tcBorders>
            <w:noWrap w:val="0"/>
            <w:vAlign w:val="center"/>
          </w:tcPr>
          <w:p>
            <w:pPr>
              <w:pStyle w:val="28"/>
              <w:suppressLineNumbers w:val="0"/>
              <w:bidi w:val="0"/>
              <w:spacing w:before="0" w:after="0"/>
              <w:ind w:left="0" w:right="0"/>
            </w:pPr>
            <w:r>
              <w:t>0.102112</w:t>
            </w:r>
          </w:p>
        </w:tc>
        <w:tc>
          <w:tcPr>
            <w:tcW w:w="1383" w:type="dxa"/>
            <w:tcBorders>
              <w:tl2br w:val="nil"/>
              <w:tr2bl w:val="nil"/>
            </w:tcBorders>
            <w:noWrap w:val="0"/>
            <w:vAlign w:val="center"/>
          </w:tcPr>
          <w:p>
            <w:pPr>
              <w:pStyle w:val="28"/>
              <w:suppressLineNumbers w:val="0"/>
              <w:bidi w:val="0"/>
              <w:spacing w:before="0" w:after="0"/>
              <w:ind w:left="0" w:right="0"/>
            </w:pPr>
            <w:r>
              <w:t>0.171731</w:t>
            </w:r>
          </w:p>
        </w:tc>
        <w:tc>
          <w:tcPr>
            <w:tcW w:w="1383" w:type="dxa"/>
            <w:tcBorders>
              <w:tl2br w:val="nil"/>
              <w:tr2bl w:val="nil"/>
            </w:tcBorders>
            <w:noWrap w:val="0"/>
            <w:vAlign w:val="center"/>
          </w:tcPr>
          <w:p>
            <w:pPr>
              <w:pStyle w:val="28"/>
              <w:suppressLineNumbers w:val="0"/>
              <w:bidi w:val="0"/>
              <w:spacing w:before="0" w:after="0"/>
              <w:ind w:left="0" w:right="0"/>
            </w:pPr>
            <w:r>
              <w:t>0.232764</w:t>
            </w:r>
          </w:p>
        </w:tc>
        <w:tc>
          <w:tcPr>
            <w:tcW w:w="1383" w:type="dxa"/>
            <w:tcBorders>
              <w:tl2br w:val="nil"/>
              <w:tr2bl w:val="nil"/>
            </w:tcBorders>
            <w:noWrap w:val="0"/>
            <w:vAlign w:val="center"/>
          </w:tcPr>
          <w:p>
            <w:pPr>
              <w:pStyle w:val="28"/>
              <w:suppressLineNumbers w:val="0"/>
              <w:bidi w:val="0"/>
              <w:spacing w:before="0" w:after="0"/>
              <w:ind w:left="0" w:right="0"/>
            </w:pPr>
            <w:r>
              <w:t>0.288815</w:t>
            </w:r>
          </w:p>
        </w:tc>
        <w:tc>
          <w:tcPr>
            <w:tcW w:w="1383" w:type="dxa"/>
            <w:tcBorders>
              <w:tl2br w:val="nil"/>
              <w:tr2bl w:val="nil"/>
            </w:tcBorders>
            <w:noWrap w:val="0"/>
            <w:vAlign w:val="center"/>
          </w:tcPr>
          <w:p>
            <w:pPr>
              <w:pStyle w:val="28"/>
              <w:suppressLineNumbers w:val="0"/>
              <w:bidi w:val="0"/>
              <w:spacing w:before="0" w:after="0"/>
              <w:ind w:left="0" w:right="0"/>
            </w:pPr>
            <w:r>
              <w:t>0.341431</w:t>
            </w:r>
          </w:p>
        </w:tc>
        <w:tc>
          <w:tcPr>
            <w:tcW w:w="1380" w:type="dxa"/>
            <w:tcBorders>
              <w:tl2br w:val="nil"/>
              <w:tr2bl w:val="nil"/>
            </w:tcBorders>
            <w:noWrap w:val="0"/>
            <w:vAlign w:val="center"/>
          </w:tcPr>
          <w:p>
            <w:pPr>
              <w:pStyle w:val="28"/>
              <w:suppressLineNumbers w:val="0"/>
              <w:bidi w:val="0"/>
              <w:spacing w:before="0" w:after="0"/>
              <w:ind w:left="0" w:right="0"/>
            </w:pPr>
            <w: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7" w:type="dxa"/>
            <w:tcBorders>
              <w:tl2br w:val="nil"/>
              <w:tr2bl w:val="nil"/>
            </w:tcBorders>
            <w:noWrap w:val="0"/>
            <w:vAlign w:val="center"/>
          </w:tcPr>
          <w:p>
            <w:pPr>
              <w:pStyle w:val="28"/>
              <w:suppressLineNumbers w:val="0"/>
              <w:bidi w:val="0"/>
              <w:spacing w:before="0" w:after="0"/>
              <w:ind w:left="0" w:right="0"/>
            </w:pPr>
            <w:r>
              <w:t>15(km/hr)</w:t>
            </w:r>
          </w:p>
        </w:tc>
        <w:tc>
          <w:tcPr>
            <w:tcW w:w="1381" w:type="dxa"/>
            <w:tcBorders>
              <w:tl2br w:val="nil"/>
              <w:tr2bl w:val="nil"/>
            </w:tcBorders>
            <w:noWrap w:val="0"/>
            <w:vAlign w:val="center"/>
          </w:tcPr>
          <w:p>
            <w:pPr>
              <w:pStyle w:val="28"/>
              <w:suppressLineNumbers w:val="0"/>
              <w:bidi w:val="0"/>
              <w:spacing w:before="0" w:after="0"/>
              <w:ind w:left="0" w:right="0"/>
            </w:pPr>
            <w:r>
              <w:t>0.153167</w:t>
            </w:r>
          </w:p>
        </w:tc>
        <w:tc>
          <w:tcPr>
            <w:tcW w:w="1383" w:type="dxa"/>
            <w:tcBorders>
              <w:tl2br w:val="nil"/>
              <w:tr2bl w:val="nil"/>
            </w:tcBorders>
            <w:noWrap w:val="0"/>
            <w:vAlign w:val="center"/>
          </w:tcPr>
          <w:p>
            <w:pPr>
              <w:pStyle w:val="28"/>
              <w:suppressLineNumbers w:val="0"/>
              <w:bidi w:val="0"/>
              <w:spacing w:before="0" w:after="0"/>
              <w:ind w:left="0" w:right="0"/>
            </w:pPr>
            <w:r>
              <w:t>0.257596</w:t>
            </w:r>
          </w:p>
        </w:tc>
        <w:tc>
          <w:tcPr>
            <w:tcW w:w="1383" w:type="dxa"/>
            <w:tcBorders>
              <w:tl2br w:val="nil"/>
              <w:tr2bl w:val="nil"/>
            </w:tcBorders>
            <w:noWrap w:val="0"/>
            <w:vAlign w:val="center"/>
          </w:tcPr>
          <w:p>
            <w:pPr>
              <w:pStyle w:val="28"/>
              <w:suppressLineNumbers w:val="0"/>
              <w:bidi w:val="0"/>
              <w:spacing w:before="0" w:after="0"/>
              <w:ind w:left="0" w:right="0"/>
            </w:pPr>
            <w:r>
              <w:t>0.349146</w:t>
            </w:r>
          </w:p>
        </w:tc>
        <w:tc>
          <w:tcPr>
            <w:tcW w:w="1383" w:type="dxa"/>
            <w:tcBorders>
              <w:tl2br w:val="nil"/>
              <w:tr2bl w:val="nil"/>
            </w:tcBorders>
            <w:noWrap w:val="0"/>
            <w:vAlign w:val="center"/>
          </w:tcPr>
          <w:p>
            <w:pPr>
              <w:pStyle w:val="28"/>
              <w:suppressLineNumbers w:val="0"/>
              <w:bidi w:val="0"/>
              <w:spacing w:before="0" w:after="0"/>
              <w:ind w:left="0" w:right="0"/>
            </w:pPr>
            <w:r>
              <w:t>0.433223</w:t>
            </w:r>
          </w:p>
        </w:tc>
        <w:tc>
          <w:tcPr>
            <w:tcW w:w="1383" w:type="dxa"/>
            <w:tcBorders>
              <w:tl2br w:val="nil"/>
              <w:tr2bl w:val="nil"/>
            </w:tcBorders>
            <w:noWrap w:val="0"/>
            <w:vAlign w:val="center"/>
          </w:tcPr>
          <w:p>
            <w:pPr>
              <w:pStyle w:val="28"/>
              <w:suppressLineNumbers w:val="0"/>
              <w:bidi w:val="0"/>
              <w:spacing w:before="0" w:after="0"/>
              <w:ind w:left="0" w:right="0"/>
            </w:pPr>
            <w:r>
              <w:t>0.512146</w:t>
            </w:r>
          </w:p>
        </w:tc>
        <w:tc>
          <w:tcPr>
            <w:tcW w:w="1380" w:type="dxa"/>
            <w:tcBorders>
              <w:tl2br w:val="nil"/>
              <w:tr2bl w:val="nil"/>
            </w:tcBorders>
            <w:noWrap w:val="0"/>
            <w:vAlign w:val="center"/>
          </w:tcPr>
          <w:p>
            <w:pPr>
              <w:pStyle w:val="28"/>
              <w:suppressLineNumbers w:val="0"/>
              <w:bidi w:val="0"/>
              <w:spacing w:before="0" w:after="0"/>
              <w:ind w:left="0" w:right="0"/>
            </w:pPr>
            <w: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07" w:type="dxa"/>
            <w:tcBorders>
              <w:tl2br w:val="nil"/>
              <w:tr2bl w:val="nil"/>
            </w:tcBorders>
            <w:noWrap w:val="0"/>
            <w:vAlign w:val="center"/>
          </w:tcPr>
          <w:p>
            <w:pPr>
              <w:pStyle w:val="28"/>
              <w:suppressLineNumbers w:val="0"/>
              <w:bidi w:val="0"/>
              <w:spacing w:before="0" w:after="0"/>
              <w:ind w:left="0" w:right="0"/>
            </w:pPr>
            <w:r>
              <w:t>25(km/hr)</w:t>
            </w:r>
          </w:p>
        </w:tc>
        <w:tc>
          <w:tcPr>
            <w:tcW w:w="1381" w:type="dxa"/>
            <w:tcBorders>
              <w:tl2br w:val="nil"/>
              <w:tr2bl w:val="nil"/>
            </w:tcBorders>
            <w:noWrap w:val="0"/>
            <w:vAlign w:val="center"/>
          </w:tcPr>
          <w:p>
            <w:pPr>
              <w:pStyle w:val="28"/>
              <w:suppressLineNumbers w:val="0"/>
              <w:bidi w:val="0"/>
              <w:spacing w:before="0" w:after="0"/>
              <w:ind w:left="0" w:right="0"/>
            </w:pPr>
            <w:r>
              <w:t>0.255279</w:t>
            </w:r>
          </w:p>
        </w:tc>
        <w:tc>
          <w:tcPr>
            <w:tcW w:w="1383" w:type="dxa"/>
            <w:tcBorders>
              <w:tl2br w:val="nil"/>
              <w:tr2bl w:val="nil"/>
            </w:tcBorders>
            <w:noWrap w:val="0"/>
            <w:vAlign w:val="center"/>
          </w:tcPr>
          <w:p>
            <w:pPr>
              <w:pStyle w:val="28"/>
              <w:suppressLineNumbers w:val="0"/>
              <w:bidi w:val="0"/>
              <w:spacing w:before="0" w:after="0"/>
              <w:ind w:left="0" w:right="0"/>
            </w:pPr>
            <w:r>
              <w:t>0.429326</w:t>
            </w:r>
          </w:p>
        </w:tc>
        <w:tc>
          <w:tcPr>
            <w:tcW w:w="1383" w:type="dxa"/>
            <w:tcBorders>
              <w:tl2br w:val="nil"/>
              <w:tr2bl w:val="nil"/>
            </w:tcBorders>
            <w:noWrap w:val="0"/>
            <w:vAlign w:val="center"/>
          </w:tcPr>
          <w:p>
            <w:pPr>
              <w:pStyle w:val="28"/>
              <w:suppressLineNumbers w:val="0"/>
              <w:bidi w:val="0"/>
              <w:spacing w:before="0" w:after="0"/>
              <w:ind w:left="0" w:right="0"/>
            </w:pPr>
            <w:r>
              <w:t>0.58191</w:t>
            </w:r>
          </w:p>
        </w:tc>
        <w:tc>
          <w:tcPr>
            <w:tcW w:w="1383" w:type="dxa"/>
            <w:tcBorders>
              <w:tl2br w:val="nil"/>
              <w:tr2bl w:val="nil"/>
            </w:tcBorders>
            <w:noWrap w:val="0"/>
            <w:vAlign w:val="center"/>
          </w:tcPr>
          <w:p>
            <w:pPr>
              <w:pStyle w:val="28"/>
              <w:suppressLineNumbers w:val="0"/>
              <w:bidi w:val="0"/>
              <w:spacing w:before="0" w:after="0"/>
              <w:ind w:left="0" w:right="0"/>
            </w:pPr>
            <w:r>
              <w:t>0.722038</w:t>
            </w:r>
          </w:p>
        </w:tc>
        <w:tc>
          <w:tcPr>
            <w:tcW w:w="1383" w:type="dxa"/>
            <w:tcBorders>
              <w:tl2br w:val="nil"/>
              <w:tr2bl w:val="nil"/>
            </w:tcBorders>
            <w:noWrap w:val="0"/>
            <w:vAlign w:val="center"/>
          </w:tcPr>
          <w:p>
            <w:pPr>
              <w:pStyle w:val="28"/>
              <w:suppressLineNumbers w:val="0"/>
              <w:bidi w:val="0"/>
              <w:spacing w:before="0" w:after="0"/>
              <w:ind w:left="0" w:right="0"/>
            </w:pPr>
            <w:r>
              <w:t>0.853577</w:t>
            </w:r>
          </w:p>
        </w:tc>
        <w:tc>
          <w:tcPr>
            <w:tcW w:w="1380" w:type="dxa"/>
            <w:tcBorders>
              <w:tl2br w:val="nil"/>
              <w:tr2bl w:val="nil"/>
            </w:tcBorders>
            <w:noWrap w:val="0"/>
            <w:vAlign w:val="center"/>
          </w:tcPr>
          <w:p>
            <w:pPr>
              <w:pStyle w:val="28"/>
              <w:suppressLineNumbers w:val="0"/>
              <w:bidi w:val="0"/>
              <w:spacing w:before="0" w:after="0"/>
              <w:ind w:left="0" w:right="0"/>
            </w:pPr>
            <w:r>
              <w:t>1.435539</w:t>
            </w:r>
          </w:p>
        </w:tc>
      </w:tr>
    </w:tbl>
    <w:p>
      <w:pPr>
        <w:bidi w:val="0"/>
      </w:pPr>
      <w: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snapToGrid w:val="0"/>
          <w:kern w:val="0"/>
          <w:sz w:val="28"/>
          <w:szCs w:val="28"/>
        </w:rPr>
      </w:pPr>
      <w:r>
        <w:rPr>
          <w:rFonts w:ascii="Times New Roman" w:hAnsi="Times New Roman" w:eastAsia="宋体"/>
          <w:snapToGrid w:val="0"/>
          <w:kern w:val="0"/>
          <w:position w:val="-12"/>
          <w:sz w:val="28"/>
          <w:szCs w:val="28"/>
        </w:rPr>
        <w:drawing>
          <wp:inline distT="0" distB="0" distL="114300" distR="114300">
            <wp:extent cx="1704340" cy="269875"/>
            <wp:effectExtent l="0" t="0" r="10160" b="16510"/>
            <wp:docPr id="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4"/>
                    <pic:cNvPicPr>
                      <a:picLocks noChangeAspect="1"/>
                    </pic:cNvPicPr>
                  </pic:nvPicPr>
                  <pic:blipFill>
                    <a:blip r:embed="rId44"/>
                    <a:stretch>
                      <a:fillRect/>
                    </a:stretch>
                  </pic:blipFill>
                  <pic:spPr>
                    <a:xfrm>
                      <a:off x="0" y="0"/>
                      <a:ext cx="1704340" cy="26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宋体"/>
          <w:snapToGrid w:val="0"/>
          <w:kern w:val="0"/>
          <w:sz w:val="28"/>
        </w:rPr>
      </w:pPr>
      <w:r>
        <w:rPr>
          <w:rFonts w:ascii="Times New Roman" w:hAnsi="Times New Roman" w:eastAsia="宋体"/>
          <w:snapToGrid w:val="0"/>
          <w:kern w:val="0"/>
          <w:sz w:val="28"/>
        </w:rPr>
        <w:t>其中：</w:t>
      </w:r>
      <w:r>
        <w:rPr>
          <w:rFonts w:ascii="Times New Roman" w:hAnsi="Times New Roman" w:eastAsia="宋体"/>
          <w:i/>
          <w:snapToGrid w:val="0"/>
          <w:kern w:val="0"/>
          <w:sz w:val="28"/>
        </w:rPr>
        <w:t>Q</w:t>
      </w:r>
      <w:r>
        <w:rPr>
          <w:rFonts w:ascii="Times New Roman" w:hAnsi="Times New Roman" w:eastAsia="宋体"/>
          <w:snapToGrid w:val="0"/>
          <w:kern w:val="0"/>
          <w:sz w:val="28"/>
        </w:rPr>
        <w:t>——起尘量，kg/吨•年；</w:t>
      </w:r>
    </w:p>
    <w:p>
      <w:pPr>
        <w:keepNext w:val="0"/>
        <w:keepLines w:val="0"/>
        <w:pageBreakBefore w:val="0"/>
        <w:widowControl w:val="0"/>
        <w:kinsoku/>
        <w:wordWrap/>
        <w:overflowPunct/>
        <w:topLinePunct w:val="0"/>
        <w:autoSpaceDE/>
        <w:autoSpaceDN/>
        <w:bidi w:val="0"/>
        <w:adjustRightInd/>
        <w:snapToGrid/>
        <w:spacing w:line="500" w:lineRule="exact"/>
        <w:ind w:firstLine="1400" w:firstLineChars="500"/>
        <w:textAlignment w:val="auto"/>
        <w:rPr>
          <w:rFonts w:ascii="Times New Roman" w:hAnsi="Times New Roman" w:eastAsia="宋体"/>
          <w:snapToGrid w:val="0"/>
          <w:kern w:val="0"/>
          <w:sz w:val="28"/>
        </w:rPr>
      </w:pPr>
      <w:r>
        <w:rPr>
          <w:rFonts w:ascii="Times New Roman" w:hAnsi="Times New Roman" w:eastAsia="宋体"/>
          <w:i/>
          <w:snapToGrid w:val="0"/>
          <w:kern w:val="0"/>
          <w:sz w:val="28"/>
        </w:rPr>
        <w:t>V</w:t>
      </w:r>
      <w:r>
        <w:rPr>
          <w:rFonts w:ascii="Times New Roman" w:hAnsi="Times New Roman" w:eastAsia="宋体"/>
          <w:snapToGrid w:val="0"/>
          <w:kern w:val="0"/>
          <w:sz w:val="28"/>
          <w:vertAlign w:val="subscript"/>
        </w:rPr>
        <w:t>50</w:t>
      </w:r>
      <w:r>
        <w:rPr>
          <w:rFonts w:ascii="Times New Roman" w:hAnsi="Times New Roman" w:eastAsia="宋体"/>
          <w:snapToGrid w:val="0"/>
          <w:kern w:val="0"/>
          <w:sz w:val="28"/>
        </w:rPr>
        <w:t>——距地面50m处风速，m/s；</w:t>
      </w:r>
    </w:p>
    <w:p>
      <w:pPr>
        <w:keepNext w:val="0"/>
        <w:keepLines w:val="0"/>
        <w:pageBreakBefore w:val="0"/>
        <w:widowControl w:val="0"/>
        <w:kinsoku/>
        <w:wordWrap/>
        <w:overflowPunct/>
        <w:topLinePunct w:val="0"/>
        <w:autoSpaceDE/>
        <w:autoSpaceDN/>
        <w:bidi w:val="0"/>
        <w:adjustRightInd/>
        <w:snapToGrid/>
        <w:spacing w:line="500" w:lineRule="exact"/>
        <w:ind w:firstLine="1400" w:firstLineChars="500"/>
        <w:textAlignment w:val="auto"/>
        <w:rPr>
          <w:rFonts w:ascii="Times New Roman" w:hAnsi="Times New Roman" w:eastAsia="宋体"/>
          <w:snapToGrid w:val="0"/>
          <w:kern w:val="0"/>
          <w:sz w:val="28"/>
        </w:rPr>
      </w:pPr>
      <w:r>
        <w:rPr>
          <w:rFonts w:ascii="Times New Roman" w:hAnsi="Times New Roman" w:eastAsia="宋体"/>
          <w:i/>
          <w:snapToGrid w:val="0"/>
          <w:kern w:val="0"/>
          <w:sz w:val="28"/>
        </w:rPr>
        <w:t>V</w:t>
      </w:r>
      <w:r>
        <w:rPr>
          <w:rFonts w:ascii="Times New Roman" w:hAnsi="Times New Roman" w:eastAsia="宋体"/>
          <w:snapToGrid w:val="0"/>
          <w:kern w:val="0"/>
          <w:sz w:val="28"/>
          <w:vertAlign w:val="subscript"/>
        </w:rPr>
        <w:t>0</w:t>
      </w:r>
      <w:r>
        <w:rPr>
          <w:rFonts w:ascii="Times New Roman" w:hAnsi="Times New Roman" w:eastAsia="宋体"/>
          <w:snapToGrid w:val="0"/>
          <w:kern w:val="0"/>
          <w:sz w:val="28"/>
        </w:rPr>
        <w:t>——起尘风速，m/s；</w:t>
      </w:r>
    </w:p>
    <w:p>
      <w:pPr>
        <w:keepNext w:val="0"/>
        <w:keepLines w:val="0"/>
        <w:pageBreakBefore w:val="0"/>
        <w:widowControl w:val="0"/>
        <w:kinsoku/>
        <w:wordWrap/>
        <w:overflowPunct/>
        <w:topLinePunct w:val="0"/>
        <w:autoSpaceDE/>
        <w:autoSpaceDN/>
        <w:bidi w:val="0"/>
        <w:adjustRightInd/>
        <w:snapToGrid/>
        <w:spacing w:line="500" w:lineRule="exact"/>
        <w:ind w:firstLine="1400" w:firstLineChars="500"/>
        <w:textAlignment w:val="auto"/>
        <w:rPr>
          <w:rFonts w:ascii="Times New Roman" w:hAnsi="Times New Roman" w:eastAsia="宋体"/>
          <w:snapToGrid w:val="0"/>
          <w:kern w:val="0"/>
          <w:sz w:val="28"/>
        </w:rPr>
      </w:pPr>
      <w:r>
        <w:rPr>
          <w:rFonts w:ascii="Times New Roman" w:hAnsi="Times New Roman" w:eastAsia="宋体"/>
          <w:i/>
          <w:snapToGrid w:val="0"/>
          <w:kern w:val="0"/>
          <w:sz w:val="28"/>
        </w:rPr>
        <w:t>W</w:t>
      </w:r>
      <w:r>
        <w:rPr>
          <w:rFonts w:ascii="Times New Roman" w:hAnsi="Times New Roman" w:eastAsia="宋体"/>
          <w:snapToGrid w:val="0"/>
          <w:kern w:val="0"/>
          <w:sz w:val="28"/>
        </w:rPr>
        <w:t>——尘粒的含水率，%。</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宋体"/>
          <w:snapToGrid w:val="0"/>
          <w:kern w:val="0"/>
          <w:sz w:val="28"/>
        </w:rPr>
      </w:pPr>
      <w:r>
        <w:rPr>
          <w:rFonts w:ascii="Times New Roman" w:hAnsi="Times New Roman" w:eastAsia="宋体"/>
          <w:i/>
          <w:snapToGrid w:val="0"/>
          <w:kern w:val="0"/>
          <w:sz w:val="28"/>
        </w:rPr>
        <w:t>V</w:t>
      </w:r>
      <w:r>
        <w:rPr>
          <w:rFonts w:ascii="Times New Roman" w:hAnsi="Times New Roman" w:eastAsia="宋体"/>
          <w:snapToGrid w:val="0"/>
          <w:kern w:val="0"/>
          <w:sz w:val="28"/>
          <w:vertAlign w:val="subscript"/>
        </w:rPr>
        <w:t>0</w:t>
      </w:r>
      <w:r>
        <w:rPr>
          <w:rFonts w:ascii="Times New Roman" w:hAnsi="Times New Roman" w:eastAsia="宋体"/>
          <w:snapToGrid w:val="0"/>
          <w:kern w:val="0"/>
          <w:sz w:val="28"/>
        </w:rPr>
        <w:t>与粒径和含水率有关，因此，减少露天堆放和保证一定的含水率及减少裸露地面是减少风力起尘的有效手段。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eastAsia="宋体"/>
          <w:snapToGrid w:val="0"/>
          <w:kern w:val="0"/>
          <w:sz w:val="28"/>
        </w:rPr>
      </w:pPr>
      <w:r>
        <w:rPr>
          <w:rFonts w:ascii="Times New Roman" w:hAnsi="Times New Roman" w:eastAsia="宋体"/>
          <w:snapToGrid w:val="0"/>
          <w:kern w:val="0"/>
          <w:sz w:val="28"/>
        </w:rPr>
        <w:t>尘粒在空气中的传播扩散情况与风速等气象条件有关，也与尘粒本身的沉降速度有关。以煤尘为例，不同粒径的尘粒的沉降速度见表</w:t>
      </w:r>
      <w:r>
        <w:rPr>
          <w:rFonts w:hint="eastAsia"/>
          <w:snapToGrid w:val="0"/>
          <w:kern w:val="0"/>
          <w:sz w:val="28"/>
          <w:lang w:val="en-US" w:eastAsia="zh-CN"/>
        </w:rPr>
        <w:t>5.1.7-3</w:t>
      </w:r>
      <w:r>
        <w:rPr>
          <w:rFonts w:ascii="Times New Roman" w:hAnsi="Times New Roman" w:eastAsia="宋体"/>
          <w:snapToGrid w:val="0"/>
          <w:kern w:val="0"/>
          <w:sz w:val="28"/>
        </w:rPr>
        <w:t>。</w:t>
      </w:r>
    </w:p>
    <w:p>
      <w:pPr>
        <w:pStyle w:val="27"/>
        <w:bidi w:val="0"/>
      </w:pPr>
      <w:r>
        <w:t>表</w:t>
      </w:r>
      <w:r>
        <w:rPr>
          <w:rFonts w:hint="eastAsia"/>
          <w:lang w:val="en-US" w:eastAsia="zh-CN"/>
        </w:rPr>
        <w:t>5.7.1</w:t>
      </w:r>
      <w:r>
        <w:t>-3  不同粒径尘粒的沉降速度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1106"/>
        <w:gridCol w:w="1106"/>
        <w:gridCol w:w="1106"/>
        <w:gridCol w:w="1106"/>
        <w:gridCol w:w="1106"/>
        <w:gridCol w:w="110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粒径，μm</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20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30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40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60</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沉降速度，m/s</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0.003</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0.012</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0.027</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0.048</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0.075</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0.108</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粒径，μm</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80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90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100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200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250</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沉降速度，m/s</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0.158</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0.170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0.182</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0.239</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0.804</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1.005</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粒径，μm</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450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550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650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750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850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950</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沉降速度，m/s</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2.211</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2.614</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3.016</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3.418</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3.820</w:t>
            </w:r>
          </w:p>
        </w:tc>
        <w:tc>
          <w:tcPr>
            <w:tcW w:w="1106"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4.222</w:t>
            </w:r>
          </w:p>
        </w:tc>
        <w:tc>
          <w:tcPr>
            <w:tcW w:w="1102" w:type="dxa"/>
            <w:tcBorders>
              <w:tl2br w:val="nil"/>
              <w:tr2bl w:val="nil"/>
            </w:tcBorders>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textAlignment w:val="auto"/>
              <w:rPr>
                <w:rFonts w:ascii="Times New Roman" w:hAnsi="Times New Roman" w:eastAsia="宋体"/>
                <w:sz w:val="21"/>
              </w:rPr>
            </w:pPr>
            <w:r>
              <w:rPr>
                <w:rFonts w:ascii="Times New Roman" w:hAnsi="Times New Roman" w:eastAsia="宋体"/>
                <w:sz w:val="21"/>
              </w:rPr>
              <w:t>4.624</w:t>
            </w:r>
          </w:p>
        </w:tc>
      </w:tr>
    </w:tbl>
    <w:p>
      <w:pPr>
        <w:bidi w:val="0"/>
      </w:pPr>
      <w:r>
        <w:t>由上表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根据连云港市长期气象资料，主导风向为</w:t>
      </w:r>
      <w:r>
        <w:rPr>
          <w:rFonts w:hint="eastAsia"/>
          <w:lang w:val="en-US" w:eastAsia="zh-CN"/>
        </w:rPr>
        <w:t>N</w:t>
      </w:r>
      <w:r>
        <w:t>E风向，因此施工扬尘主要影响为施工点东北面区域，必须严格控制施工期扬尘的产生。</w:t>
      </w:r>
    </w:p>
    <w:p>
      <w:pPr>
        <w:bidi w:val="0"/>
      </w:pPr>
      <w:r>
        <w:t>另外，根据连云港市气象资料，该地区年平均降水天数为126.8天，以剩余时间的1/2为易产生扬尘的时间计，全年产生扬尘的气象机会有31.9%，特别可能出现在夏、秋二季，雨水偏小的情况下，因此本工程施工期应注意施工扬尘的防治问题，须制定必要的防治措施，以减少施工扬尘对周围居民点的影响。</w:t>
      </w:r>
    </w:p>
    <w:p>
      <w:pPr>
        <w:bidi w:val="0"/>
      </w:pPr>
      <w:r>
        <w:rPr>
          <w:rFonts w:hint="eastAsia"/>
        </w:rPr>
        <w:t>②</w:t>
      </w:r>
      <w:r>
        <w:t>汽车尾气</w:t>
      </w:r>
    </w:p>
    <w:p>
      <w:pPr>
        <w:bidi w:val="0"/>
      </w:pPr>
      <w:r>
        <w:t>项目施工现场机械虽较多，但主要以电力为能源，无废气的产生。只有运输车辆以汽、柴油为燃料，有交通尾气的排放。但它们的使用期短，尾气排放量也较少，再加上周围地形开阔，风力作用，不会引起大气环境污染。</w:t>
      </w:r>
    </w:p>
    <w:p>
      <w:pPr>
        <w:bidi w:val="0"/>
      </w:pPr>
      <w:r>
        <w:rPr>
          <w:rFonts w:hint="eastAsia"/>
        </w:rPr>
        <w:t>⑶</w:t>
      </w:r>
      <w:r>
        <w:t>施工噪声</w:t>
      </w:r>
    </w:p>
    <w:p>
      <w:pPr>
        <w:bidi w:val="0"/>
      </w:pPr>
      <w:r>
        <w:t>建筑施工中，使用挖土机、推土机、锤击桩机、重型运输车辆等大型施工机械设备，这些机械设备在施工作业中产生的噪声，均在90dB(A)以上，影响人们的正常生活。同时，在施工期间，道路来往车辆会增多，从而引起交通噪声值升高。施工期噪声源强见表</w:t>
      </w:r>
      <w:r>
        <w:rPr>
          <w:rFonts w:hint="eastAsia"/>
          <w:lang w:val="en-US" w:eastAsia="zh-CN"/>
        </w:rPr>
        <w:t>5.7.1</w:t>
      </w:r>
      <w:r>
        <w:t>-4。</w:t>
      </w:r>
    </w:p>
    <w:p>
      <w:pPr>
        <w:pStyle w:val="27"/>
        <w:bidi w:val="0"/>
      </w:pPr>
      <w:r>
        <w:rPr>
          <w:rFonts w:hint="eastAsia"/>
        </w:rPr>
        <w:t>表</w:t>
      </w:r>
      <w:r>
        <w:rPr>
          <w:rFonts w:hint="eastAsia"/>
          <w:lang w:val="en-US" w:eastAsia="zh-CN"/>
        </w:rPr>
        <w:t>5.7.1</w:t>
      </w:r>
      <w:r>
        <w:t>-4  建筑施工机械设备噪声值</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8"/>
        <w:gridCol w:w="3269"/>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68" w:type="dxa"/>
            <w:tcBorders>
              <w:tl2br w:val="nil"/>
              <w:tr2bl w:val="nil"/>
            </w:tcBorders>
            <w:noWrap w:val="0"/>
            <w:vAlign w:val="center"/>
          </w:tcPr>
          <w:p>
            <w:pPr>
              <w:pStyle w:val="28"/>
              <w:suppressLineNumbers w:val="0"/>
              <w:bidi w:val="0"/>
              <w:spacing w:before="0" w:after="0"/>
              <w:ind w:left="0" w:right="0"/>
            </w:pPr>
            <w:r>
              <w:t>施工机械名称</w:t>
            </w:r>
          </w:p>
        </w:tc>
        <w:tc>
          <w:tcPr>
            <w:tcW w:w="3269" w:type="dxa"/>
            <w:tcBorders>
              <w:tl2br w:val="nil"/>
              <w:tr2bl w:val="nil"/>
            </w:tcBorders>
            <w:noWrap w:val="0"/>
            <w:vAlign w:val="center"/>
          </w:tcPr>
          <w:p>
            <w:pPr>
              <w:pStyle w:val="28"/>
              <w:suppressLineNumbers w:val="0"/>
              <w:bidi w:val="0"/>
              <w:spacing w:before="0" w:after="0"/>
              <w:ind w:left="0" w:right="0"/>
            </w:pPr>
            <w:r>
              <w:t>噪声源强dB（A）</w:t>
            </w:r>
          </w:p>
        </w:tc>
        <w:tc>
          <w:tcPr>
            <w:tcW w:w="3267" w:type="dxa"/>
            <w:tcBorders>
              <w:tl2br w:val="nil"/>
              <w:tr2bl w:val="nil"/>
            </w:tcBorders>
            <w:noWrap w:val="0"/>
            <w:vAlign w:val="center"/>
          </w:tcPr>
          <w:p>
            <w:pPr>
              <w:pStyle w:val="28"/>
              <w:suppressLineNumbers w:val="0"/>
              <w:bidi w:val="0"/>
              <w:spacing w:before="0" w:after="0"/>
              <w:ind w:left="0" w:right="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挖土机</w:t>
            </w:r>
          </w:p>
        </w:tc>
        <w:tc>
          <w:tcPr>
            <w:tcW w:w="3269" w:type="dxa"/>
            <w:tcBorders>
              <w:tl2br w:val="nil"/>
              <w:tr2bl w:val="nil"/>
            </w:tcBorders>
            <w:noWrap w:val="0"/>
            <w:vAlign w:val="center"/>
          </w:tcPr>
          <w:p>
            <w:pPr>
              <w:pStyle w:val="28"/>
              <w:suppressLineNumbers w:val="0"/>
              <w:bidi w:val="0"/>
              <w:spacing w:before="0" w:after="0"/>
              <w:ind w:left="0" w:right="0"/>
            </w:pPr>
            <w:r>
              <w:t>75</w:t>
            </w:r>
          </w:p>
        </w:tc>
        <w:tc>
          <w:tcPr>
            <w:tcW w:w="3267" w:type="dxa"/>
            <w:vMerge w:val="restart"/>
            <w:tcBorders>
              <w:tl2br w:val="nil"/>
              <w:tr2bl w:val="nil"/>
            </w:tcBorders>
            <w:noWrap w:val="0"/>
            <w:vAlign w:val="center"/>
          </w:tcPr>
          <w:p>
            <w:pPr>
              <w:pStyle w:val="28"/>
              <w:suppressLineNumbers w:val="0"/>
              <w:bidi w:val="0"/>
              <w:spacing w:before="0" w:after="0"/>
              <w:ind w:left="0" w:right="0"/>
            </w:pPr>
            <w:r>
              <w:t>距离声源10m处的源强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推土机</w:t>
            </w:r>
          </w:p>
        </w:tc>
        <w:tc>
          <w:tcPr>
            <w:tcW w:w="3269" w:type="dxa"/>
            <w:tcBorders>
              <w:tl2br w:val="nil"/>
              <w:tr2bl w:val="nil"/>
            </w:tcBorders>
            <w:noWrap w:val="0"/>
            <w:vAlign w:val="center"/>
          </w:tcPr>
          <w:p>
            <w:pPr>
              <w:pStyle w:val="28"/>
              <w:suppressLineNumbers w:val="0"/>
              <w:bidi w:val="0"/>
              <w:spacing w:before="0" w:after="0"/>
              <w:ind w:left="0" w:right="0"/>
            </w:pPr>
            <w:r>
              <w:t>70</w:t>
            </w:r>
          </w:p>
        </w:tc>
        <w:tc>
          <w:tcPr>
            <w:tcW w:w="3267"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打桩机</w:t>
            </w:r>
          </w:p>
        </w:tc>
        <w:tc>
          <w:tcPr>
            <w:tcW w:w="3269" w:type="dxa"/>
            <w:tcBorders>
              <w:tl2br w:val="nil"/>
              <w:tr2bl w:val="nil"/>
            </w:tcBorders>
            <w:noWrap w:val="0"/>
            <w:vAlign w:val="center"/>
          </w:tcPr>
          <w:p>
            <w:pPr>
              <w:pStyle w:val="28"/>
              <w:suppressLineNumbers w:val="0"/>
              <w:bidi w:val="0"/>
              <w:spacing w:before="0" w:after="0"/>
              <w:ind w:left="0" w:right="0"/>
            </w:pPr>
            <w:r>
              <w:t>90</w:t>
            </w:r>
          </w:p>
        </w:tc>
        <w:tc>
          <w:tcPr>
            <w:tcW w:w="3267"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搅拌机</w:t>
            </w:r>
          </w:p>
        </w:tc>
        <w:tc>
          <w:tcPr>
            <w:tcW w:w="3269" w:type="dxa"/>
            <w:tcBorders>
              <w:tl2br w:val="nil"/>
              <w:tr2bl w:val="nil"/>
            </w:tcBorders>
            <w:noWrap w:val="0"/>
            <w:vAlign w:val="center"/>
          </w:tcPr>
          <w:p>
            <w:pPr>
              <w:pStyle w:val="28"/>
              <w:suppressLineNumbers w:val="0"/>
              <w:bidi w:val="0"/>
              <w:spacing w:before="0" w:after="0"/>
              <w:ind w:left="0" w:right="0"/>
            </w:pPr>
            <w:r>
              <w:t>78</w:t>
            </w:r>
          </w:p>
        </w:tc>
        <w:tc>
          <w:tcPr>
            <w:tcW w:w="3267"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振捣棒</w:t>
            </w:r>
          </w:p>
        </w:tc>
        <w:tc>
          <w:tcPr>
            <w:tcW w:w="3269" w:type="dxa"/>
            <w:tcBorders>
              <w:tl2br w:val="nil"/>
              <w:tr2bl w:val="nil"/>
            </w:tcBorders>
            <w:noWrap w:val="0"/>
            <w:vAlign w:val="center"/>
          </w:tcPr>
          <w:p>
            <w:pPr>
              <w:pStyle w:val="28"/>
              <w:suppressLineNumbers w:val="0"/>
              <w:bidi w:val="0"/>
              <w:spacing w:before="0" w:after="0"/>
              <w:ind w:left="0" w:right="0"/>
            </w:pPr>
            <w:r>
              <w:t>80</w:t>
            </w:r>
          </w:p>
        </w:tc>
        <w:tc>
          <w:tcPr>
            <w:tcW w:w="3267"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68" w:type="dxa"/>
            <w:tcBorders>
              <w:tl2br w:val="nil"/>
              <w:tr2bl w:val="nil"/>
            </w:tcBorders>
            <w:noWrap w:val="0"/>
            <w:vAlign w:val="center"/>
          </w:tcPr>
          <w:p>
            <w:pPr>
              <w:pStyle w:val="28"/>
              <w:suppressLineNumbers w:val="0"/>
              <w:bidi w:val="0"/>
              <w:spacing w:before="0" w:after="0"/>
              <w:ind w:left="0" w:right="0"/>
            </w:pPr>
            <w:r>
              <w:t>电锯</w:t>
            </w:r>
          </w:p>
        </w:tc>
        <w:tc>
          <w:tcPr>
            <w:tcW w:w="3269" w:type="dxa"/>
            <w:tcBorders>
              <w:tl2br w:val="nil"/>
              <w:tr2bl w:val="nil"/>
            </w:tcBorders>
            <w:noWrap w:val="0"/>
            <w:vAlign w:val="center"/>
          </w:tcPr>
          <w:p>
            <w:pPr>
              <w:pStyle w:val="28"/>
              <w:suppressLineNumbers w:val="0"/>
              <w:bidi w:val="0"/>
              <w:spacing w:before="0" w:after="0"/>
              <w:ind w:left="0" w:right="0"/>
            </w:pPr>
            <w:r>
              <w:t>85</w:t>
            </w:r>
          </w:p>
        </w:tc>
        <w:tc>
          <w:tcPr>
            <w:tcW w:w="3267" w:type="dxa"/>
            <w:vMerge w:val="continue"/>
            <w:tcBorders>
              <w:tl2br w:val="nil"/>
              <w:tr2bl w:val="nil"/>
            </w:tcBorders>
            <w:noWrap w:val="0"/>
            <w:vAlign w:val="center"/>
          </w:tcPr>
          <w:p>
            <w:pPr>
              <w:pStyle w:val="28"/>
              <w:suppressLineNumbers w:val="0"/>
              <w:bidi w:val="0"/>
              <w:spacing w:before="0" w:after="0"/>
              <w:ind w:left="0" w:right="0"/>
              <w:outlineLvl w:val="9"/>
            </w:pPr>
          </w:p>
        </w:tc>
      </w:tr>
    </w:tbl>
    <w:p>
      <w:pPr>
        <w:bidi w:val="0"/>
      </w:pPr>
      <w:r>
        <w:rPr>
          <w:rFonts w:hint="eastAsia"/>
        </w:rPr>
        <w:t>⑷</w:t>
      </w:r>
      <w:r>
        <w:t>固体废物</w:t>
      </w:r>
    </w:p>
    <w:p>
      <w:pPr>
        <w:bidi w:val="0"/>
        <w:rPr>
          <w:rFonts w:hint="eastAsia"/>
          <w:lang w:val="en-US" w:eastAsia="zh-CN"/>
        </w:rPr>
      </w:pPr>
      <w:r>
        <w:t>施工期的固废主要有施工人员产生的生活垃圾和各种建筑垃圾等。生活垃圾以人均每天产生0.5kg计，施工以</w:t>
      </w:r>
      <w:r>
        <w:rPr>
          <w:rFonts w:hint="eastAsia"/>
        </w:rPr>
        <w:t>360</w:t>
      </w:r>
      <w:r>
        <w:t>d计，则</w:t>
      </w:r>
      <w:r>
        <w:rPr>
          <w:rFonts w:hint="eastAsia"/>
          <w:lang w:eastAsia="zh-CN"/>
        </w:rPr>
        <w:t>一期、二期</w:t>
      </w:r>
      <w:r>
        <w:t>产生的生活垃圾</w:t>
      </w:r>
      <w:r>
        <w:rPr>
          <w:rFonts w:hint="eastAsia"/>
          <w:lang w:eastAsia="zh-CN"/>
        </w:rPr>
        <w:t>量分别约</w:t>
      </w:r>
      <w:r>
        <w:rPr>
          <w:rFonts w:hint="eastAsia"/>
          <w:lang w:val="en-US" w:eastAsia="zh-CN"/>
        </w:rPr>
        <w:t>18t、9t</w:t>
      </w:r>
      <w:r>
        <w:t>。根据同类施工统计资料，施工现场碎砖、过剩混凝土等建筑垃圾产生定额为2kg/m</w:t>
      </w:r>
      <w:r>
        <w:rPr>
          <w:vertAlign w:val="superscript"/>
        </w:rPr>
        <w:t>2</w:t>
      </w:r>
      <w:r>
        <w:t>，项目总建筑面积</w:t>
      </w:r>
      <w:r>
        <w:rPr>
          <w:color w:val="auto"/>
        </w:rPr>
        <w:t>为</w:t>
      </w:r>
      <w:r>
        <w:rPr>
          <w:rFonts w:hint="eastAsia"/>
          <w:color w:val="auto"/>
          <w:lang w:val="en-US" w:eastAsia="zh-CN"/>
        </w:rPr>
        <w:t>28874.39</w:t>
      </w:r>
      <w:r>
        <w:rPr>
          <w:color w:val="auto"/>
        </w:rPr>
        <w:t>m</w:t>
      </w:r>
      <w:r>
        <w:rPr>
          <w:vertAlign w:val="superscript"/>
        </w:rPr>
        <w:t>2</w:t>
      </w:r>
      <w:r>
        <w:t>，故整个施工期建筑垃圾的产生量约为</w:t>
      </w:r>
      <w:r>
        <w:rPr>
          <w:rFonts w:hint="eastAsia"/>
          <w:lang w:val="en-US" w:eastAsia="zh-CN"/>
        </w:rPr>
        <w:t>57.75</w:t>
      </w:r>
      <w:r>
        <w:t>t。建筑垃圾用作回填土、铺路材料等全部回填，不外排</w:t>
      </w:r>
    </w:p>
    <w:p>
      <w:pPr>
        <w:pStyle w:val="5"/>
        <w:bidi w:val="0"/>
      </w:pPr>
      <w:r>
        <w:rPr>
          <w:rFonts w:hint="eastAsia"/>
          <w:lang w:val="en-US" w:eastAsia="zh-CN"/>
        </w:rPr>
        <w:t>5.7.2</w:t>
      </w:r>
      <w:r>
        <w:t>大气环境影响分析</w:t>
      </w:r>
    </w:p>
    <w:p>
      <w:pPr>
        <w:bidi w:val="0"/>
      </w:pPr>
      <w:r>
        <w:t>本项目施工过程中对大气环境有影响的是因施工而产生的地面扬尘，根据类比调查和工程分析，施工现场主要起尘点有：</w:t>
      </w:r>
    </w:p>
    <w:p>
      <w:pPr>
        <w:bidi w:val="0"/>
      </w:pPr>
      <w:r>
        <w:t>（1）砂石料、水泥等建材堆场在空气动力作用下起尘；</w:t>
      </w:r>
    </w:p>
    <w:p>
      <w:pPr>
        <w:bidi w:val="0"/>
      </w:pPr>
      <w:r>
        <w:t>（2）运输车辆在运送砂石料过程中，由于振动和自然风力等因素引起的物料洒落起尘和道路扬尘；</w:t>
      </w:r>
    </w:p>
    <w:p>
      <w:pPr>
        <w:bidi w:val="0"/>
      </w:pPr>
      <w:r>
        <w:t>（3）施工垃圾在其堆放和清运过程中产生扬尘。</w:t>
      </w:r>
    </w:p>
    <w:p>
      <w:pPr>
        <w:bidi w:val="0"/>
      </w:pPr>
      <w:r>
        <w:t>上述起尘环节产生的粉尘皆为无组织排放，北京市环境保护科学研究院曾对7个建筑工程施工工地的扬尘情况进行了测定，测定时风速为2.4m/s，测试结果表明：</w:t>
      </w:r>
    </w:p>
    <w:p>
      <w:pPr>
        <w:bidi w:val="0"/>
      </w:pPr>
      <w:r>
        <w:t>建筑施工扬尘严重，当风速为2.4m/s时，工地内近地面总悬浮颗粒物（TSP）浓度为上风向对照点的1.5～2倍，平均1.88倍，相当于二级空气质量标准的1.4～2.5倍，平均1.98倍。建筑施工扬尘的影响范围在其下风向150米之内，距施工场地20米处TSP增加值为1.603mg/Nm</w:t>
      </w:r>
      <w:r>
        <w:rPr>
          <w:vertAlign w:val="superscript"/>
        </w:rPr>
        <w:t>3</w:t>
      </w:r>
      <w:r>
        <w:t>，距施工场地50米处TSP增加值为0.261mg/Nm</w:t>
      </w:r>
      <w:r>
        <w:rPr>
          <w:vertAlign w:val="superscript"/>
        </w:rPr>
        <w:t>3</w:t>
      </w:r>
      <w:r>
        <w:t>，影响范围内TSP日均浓度平均值可达0.491mg/Nm</w:t>
      </w:r>
      <w:r>
        <w:rPr>
          <w:vertAlign w:val="superscript"/>
        </w:rPr>
        <w:t>3</w:t>
      </w:r>
      <w:r>
        <w:t>（相当于空气质量标准的1.6倍）；当有围墙时，在同等条件下，其影响距离可缩短40%（即缩短60米）；当风速大于2.5m/s时，施工现场及其下风向部分区域空气中TSP日均浓度将超过空气质量标准中的三级标准，而且随风速增大，施工扬尘产生的污染程度和超标范围也将随之增强和扩大。</w:t>
      </w:r>
    </w:p>
    <w:p>
      <w:pPr>
        <w:bidi w:val="0"/>
      </w:pPr>
      <w:r>
        <w:t>因此项目施工过程需采取一定的防护措施以降低影响的程度和范围。</w:t>
      </w:r>
    </w:p>
    <w:p>
      <w:pPr>
        <w:bidi w:val="0"/>
      </w:pPr>
      <w:r>
        <w:t>（1）对运输、装卸、贮存能散发粉尘物质的，须采取密闭措施或其他防护措施，如不能用采取密闭或封盖措施的可用水进行喷洒；</w:t>
      </w:r>
    </w:p>
    <w:p>
      <w:pPr>
        <w:bidi w:val="0"/>
      </w:pPr>
      <w:r>
        <w:t>（2）挖掘地基产生的沙石，施工中废弃原材料等必须及时清运；</w:t>
      </w:r>
    </w:p>
    <w:p>
      <w:pPr>
        <w:bidi w:val="0"/>
      </w:pPr>
      <w:r>
        <w:t>（3）路面的散落渣土必须及时清理，否则气候干燥经汽车碾压，极易产生扬尘，严格控制渣土堆放；</w:t>
      </w:r>
    </w:p>
    <w:p>
      <w:pPr>
        <w:bidi w:val="0"/>
      </w:pPr>
      <w:r>
        <w:t>（4）要求使用商业混凝土，不得现场进行混凝土搅拌。</w:t>
      </w:r>
    </w:p>
    <w:p>
      <w:pPr>
        <w:bidi w:val="0"/>
        <w:rPr>
          <w:rFonts w:ascii="Times New Roman" w:hAnsi="Times New Roman" w:eastAsia="宋体"/>
        </w:rPr>
      </w:pPr>
      <w:r>
        <w:t>经采取上述措施后，可确保项目产生的大气污染物无组织排放源监控点浓度≤1.0mg/m</w:t>
      </w:r>
      <w:r>
        <w:rPr>
          <w:vertAlign w:val="superscript"/>
        </w:rPr>
        <w:t>3</w:t>
      </w:r>
      <w:r>
        <w:t>。同时，项目施工对大气环境的影响是短暂的、局部的，将随施工结束而消失，在适当地消减后是可以接受的，且不会对当地大气环境质量产生明显不利影响</w:t>
      </w:r>
      <w:r>
        <w:rPr>
          <w:rFonts w:ascii="Times New Roman" w:hAnsi="Times New Roman" w:eastAsia="宋体"/>
        </w:rPr>
        <w:t>。</w:t>
      </w:r>
    </w:p>
    <w:p>
      <w:pPr>
        <w:pStyle w:val="5"/>
        <w:bidi w:val="0"/>
      </w:pPr>
      <w:r>
        <w:rPr>
          <w:rFonts w:hint="eastAsia"/>
          <w:lang w:val="en-US" w:eastAsia="zh-CN"/>
        </w:rPr>
        <w:t>5.7.3</w:t>
      </w:r>
      <w:r>
        <w:t>水环境影响分析</w:t>
      </w:r>
    </w:p>
    <w:p>
      <w:pPr>
        <w:bidi w:val="0"/>
      </w:pPr>
      <w:r>
        <w:t>本项目施工期产生的废水主要有</w:t>
      </w:r>
      <w:r>
        <w:rPr>
          <w:rFonts w:hint="eastAsia"/>
        </w:rPr>
        <w:t>施工作业</w:t>
      </w:r>
      <w:r>
        <w:t>废水与生活污水。施工</w:t>
      </w:r>
      <w:r>
        <w:rPr>
          <w:rFonts w:hint="eastAsia"/>
        </w:rPr>
        <w:t>作业</w:t>
      </w:r>
      <w:r>
        <w:t>废水产生量为</w:t>
      </w:r>
      <w:r>
        <w:rPr>
          <w:rFonts w:hint="eastAsia"/>
          <w:lang w:val="en-US" w:eastAsia="zh-CN"/>
        </w:rPr>
        <w:t>2021.21</w:t>
      </w:r>
      <w:r>
        <w:t>m</w:t>
      </w:r>
      <w:r>
        <w:rPr>
          <w:vertAlign w:val="superscript"/>
        </w:rPr>
        <w:t>3</w:t>
      </w:r>
      <w:r>
        <w:t>，污染物浓度分别为COD：50 mg/L，SS：1000mg/L，石油类：300mg/L，施工废水经隔油、沉淀后循环利用；生活污水产生量</w:t>
      </w:r>
      <w:r>
        <w:rPr>
          <w:rFonts w:hint="eastAsia"/>
          <w:lang w:eastAsia="zh-CN"/>
        </w:rPr>
        <w:t>一期、二期分别</w:t>
      </w:r>
      <w:r>
        <w:t>为</w:t>
      </w:r>
      <w:r>
        <w:rPr>
          <w:rFonts w:hint="eastAsia"/>
          <w:lang w:val="en-US" w:eastAsia="zh-CN"/>
        </w:rPr>
        <w:t>2880</w:t>
      </w:r>
      <w:r>
        <w:t>m</w:t>
      </w:r>
      <w:r>
        <w:rPr>
          <w:vertAlign w:val="superscript"/>
        </w:rPr>
        <w:t>3</w:t>
      </w:r>
      <w:r>
        <w:rPr>
          <w:rFonts w:hint="eastAsia"/>
          <w:lang w:eastAsia="zh-CN"/>
        </w:rPr>
        <w:t>、</w:t>
      </w:r>
      <w:r>
        <w:rPr>
          <w:rFonts w:hint="eastAsia"/>
          <w:lang w:val="en-US" w:eastAsia="zh-CN"/>
        </w:rPr>
        <w:t>1440</w:t>
      </w:r>
      <w:r>
        <w:t>m</w:t>
      </w:r>
      <w:r>
        <w:rPr>
          <w:vertAlign w:val="superscript"/>
        </w:rPr>
        <w:t>3</w:t>
      </w:r>
      <w:r>
        <w:t>，污染物浓度分别为COD：400mg/L，SS：300mg/L，氨氮：30mg/L，总磷：5mg/L。</w:t>
      </w:r>
    </w:p>
    <w:p>
      <w:pPr>
        <w:bidi w:val="0"/>
      </w:pPr>
      <w:r>
        <w:t>施工场地拟设置临时厕所，生活污水经化粪池处理后</w:t>
      </w:r>
      <w:r>
        <w:rPr>
          <w:rFonts w:hint="eastAsia"/>
          <w:lang w:eastAsia="zh-CN"/>
        </w:rPr>
        <w:t>由附近村民外运作农肥</w:t>
      </w:r>
      <w:r>
        <w:t>，对环境影响较小。</w:t>
      </w:r>
    </w:p>
    <w:p>
      <w:pPr>
        <w:pStyle w:val="5"/>
        <w:bidi w:val="0"/>
      </w:pPr>
      <w:r>
        <w:rPr>
          <w:rFonts w:hint="eastAsia"/>
          <w:lang w:val="en-US" w:eastAsia="zh-CN"/>
        </w:rPr>
        <w:t>5.7.4</w:t>
      </w:r>
      <w:r>
        <w:t>声环境影响分析</w:t>
      </w:r>
    </w:p>
    <w:p>
      <w:pPr>
        <w:bidi w:val="0"/>
      </w:pPr>
      <w:r>
        <w:t>本项目在施工过程中，由于各种施工机械的运转，不可避免地将产生噪声污染。施工现场主要噪声源有搅拌机、水泥振捣器、塔吊及运输车辆、作业器具碰撞噪声等。施工现场主要噪声源有：挖掘机44～83dB（A），运输车45～84dB（A），作业器具碰撞噪声70～95 dB（A）。</w:t>
      </w:r>
    </w:p>
    <w:p>
      <w:pPr>
        <w:bidi w:val="0"/>
      </w:pPr>
      <w:r>
        <w:t>施工噪声对周围地区声环境的影响，一般采用《建筑施工场界环境噪声排放限值》(GB12523-2011) 进行评价。其噪声限值详见表</w:t>
      </w:r>
      <w:r>
        <w:rPr>
          <w:rFonts w:hint="eastAsia"/>
          <w:lang w:val="en-US" w:eastAsia="zh-CN"/>
        </w:rPr>
        <w:t>5.7.4</w:t>
      </w:r>
      <w:r>
        <w:t>-1。</w:t>
      </w:r>
    </w:p>
    <w:p>
      <w:pPr>
        <w:pStyle w:val="27"/>
        <w:bidi w:val="0"/>
      </w:pPr>
      <w:r>
        <w:t>表</w:t>
      </w:r>
      <w:r>
        <w:rPr>
          <w:rFonts w:hint="eastAsia"/>
          <w:lang w:val="en-US" w:eastAsia="zh-CN"/>
        </w:rPr>
        <w:t>5.7.4-1</w:t>
      </w:r>
      <w:r>
        <w:t xml:space="preserve"> 建筑施工场界环境噪声排放限值</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73" w:type="dxa"/>
            <w:tcBorders>
              <w:tl2br w:val="nil"/>
              <w:tr2bl w:val="nil"/>
            </w:tcBorders>
            <w:noWrap w:val="0"/>
            <w:vAlign w:val="center"/>
          </w:tcPr>
          <w:p>
            <w:pPr>
              <w:pStyle w:val="28"/>
              <w:suppressLineNumbers w:val="0"/>
              <w:bidi w:val="0"/>
              <w:spacing w:before="0" w:after="0"/>
              <w:ind w:left="0" w:right="0"/>
            </w:pPr>
            <w:r>
              <w:t>昼间</w:t>
            </w:r>
          </w:p>
        </w:tc>
        <w:tc>
          <w:tcPr>
            <w:tcW w:w="4873" w:type="dxa"/>
            <w:tcBorders>
              <w:tl2br w:val="nil"/>
              <w:tr2bl w:val="nil"/>
            </w:tcBorders>
            <w:noWrap w:val="0"/>
            <w:vAlign w:val="center"/>
          </w:tcPr>
          <w:p>
            <w:pPr>
              <w:pStyle w:val="28"/>
              <w:suppressLineNumbers w:val="0"/>
              <w:bidi w:val="0"/>
              <w:spacing w:before="0" w:after="0"/>
              <w:ind w:left="0" w:right="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73" w:type="dxa"/>
            <w:tcBorders>
              <w:tl2br w:val="nil"/>
              <w:tr2bl w:val="nil"/>
            </w:tcBorders>
            <w:noWrap w:val="0"/>
            <w:vAlign w:val="center"/>
          </w:tcPr>
          <w:p>
            <w:pPr>
              <w:pStyle w:val="28"/>
              <w:suppressLineNumbers w:val="0"/>
              <w:bidi w:val="0"/>
              <w:spacing w:before="0" w:after="0"/>
              <w:ind w:left="0" w:right="0"/>
            </w:pPr>
            <w:r>
              <w:t>70</w:t>
            </w:r>
          </w:p>
        </w:tc>
        <w:tc>
          <w:tcPr>
            <w:tcW w:w="4873" w:type="dxa"/>
            <w:tcBorders>
              <w:tl2br w:val="nil"/>
              <w:tr2bl w:val="nil"/>
            </w:tcBorders>
            <w:noWrap w:val="0"/>
            <w:vAlign w:val="center"/>
          </w:tcPr>
          <w:p>
            <w:pPr>
              <w:pStyle w:val="28"/>
              <w:suppressLineNumbers w:val="0"/>
              <w:bidi w:val="0"/>
              <w:spacing w:before="0" w:after="0"/>
              <w:ind w:left="0" w:right="0"/>
            </w:pPr>
            <w:r>
              <w:t>55</w:t>
            </w:r>
          </w:p>
        </w:tc>
      </w:tr>
    </w:tbl>
    <w:p>
      <w:pPr>
        <w:bidi w:val="0"/>
      </w:pPr>
      <w:r>
        <w:t>根据噪声扩散衰减模式，可计算出施工设备噪声值随距离衰减的情况，计算结果见表</w:t>
      </w:r>
      <w:r>
        <w:rPr>
          <w:rFonts w:hint="eastAsia"/>
          <w:lang w:val="en-US" w:eastAsia="zh-CN"/>
        </w:rPr>
        <w:t>5.7.4</w:t>
      </w:r>
      <w:r>
        <w:t>-2。</w:t>
      </w:r>
    </w:p>
    <w:p>
      <w:pPr>
        <w:pStyle w:val="27"/>
        <w:bidi w:val="0"/>
      </w:pPr>
      <w:r>
        <w:t>表</w:t>
      </w:r>
      <w:r>
        <w:rPr>
          <w:rFonts w:hint="eastAsia"/>
          <w:lang w:val="en-US" w:eastAsia="zh-CN"/>
        </w:rPr>
        <w:t>5.7.4</w:t>
      </w:r>
      <w:r>
        <w:t>-2  施工设备噪声值随距离衰减情况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647"/>
        <w:gridCol w:w="655"/>
        <w:gridCol w:w="657"/>
        <w:gridCol w:w="715"/>
        <w:gridCol w:w="717"/>
        <w:gridCol w:w="715"/>
        <w:gridCol w:w="717"/>
        <w:gridCol w:w="717"/>
        <w:gridCol w:w="717"/>
        <w:gridCol w:w="717"/>
        <w:gridCol w:w="71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6" w:type="dxa"/>
            <w:tcBorders>
              <w:tl2br w:val="nil"/>
              <w:tr2bl w:val="nil"/>
            </w:tcBorders>
            <w:noWrap w:val="0"/>
            <w:vAlign w:val="center"/>
          </w:tcPr>
          <w:p>
            <w:pPr>
              <w:pStyle w:val="28"/>
              <w:suppressLineNumbers w:val="0"/>
              <w:bidi w:val="0"/>
              <w:spacing w:before="0" w:after="0"/>
              <w:ind w:left="0" w:right="0"/>
            </w:pPr>
            <w:r>
              <w:t>距离(m)</w:t>
            </w:r>
          </w:p>
        </w:tc>
        <w:tc>
          <w:tcPr>
            <w:tcW w:w="647" w:type="dxa"/>
            <w:tcBorders>
              <w:tl2br w:val="nil"/>
              <w:tr2bl w:val="nil"/>
            </w:tcBorders>
            <w:noWrap w:val="0"/>
            <w:vAlign w:val="center"/>
          </w:tcPr>
          <w:p>
            <w:pPr>
              <w:pStyle w:val="28"/>
              <w:suppressLineNumbers w:val="0"/>
              <w:bidi w:val="0"/>
              <w:spacing w:before="0" w:after="0"/>
              <w:ind w:left="0" w:right="0"/>
            </w:pPr>
            <w:r>
              <w:t>1</w:t>
            </w:r>
          </w:p>
        </w:tc>
        <w:tc>
          <w:tcPr>
            <w:tcW w:w="655" w:type="dxa"/>
            <w:tcBorders>
              <w:tl2br w:val="nil"/>
              <w:tr2bl w:val="nil"/>
            </w:tcBorders>
            <w:noWrap w:val="0"/>
            <w:vAlign w:val="center"/>
          </w:tcPr>
          <w:p>
            <w:pPr>
              <w:pStyle w:val="28"/>
              <w:suppressLineNumbers w:val="0"/>
              <w:bidi w:val="0"/>
              <w:spacing w:before="0" w:after="0"/>
              <w:ind w:left="0" w:right="0"/>
            </w:pPr>
            <w:r>
              <w:t>10</w:t>
            </w:r>
          </w:p>
        </w:tc>
        <w:tc>
          <w:tcPr>
            <w:tcW w:w="657" w:type="dxa"/>
            <w:tcBorders>
              <w:tl2br w:val="nil"/>
              <w:tr2bl w:val="nil"/>
            </w:tcBorders>
            <w:noWrap w:val="0"/>
            <w:vAlign w:val="center"/>
          </w:tcPr>
          <w:p>
            <w:pPr>
              <w:pStyle w:val="28"/>
              <w:suppressLineNumbers w:val="0"/>
              <w:bidi w:val="0"/>
              <w:spacing w:before="0" w:after="0"/>
              <w:ind w:left="0" w:right="0"/>
            </w:pPr>
            <w:r>
              <w:t>50</w:t>
            </w:r>
          </w:p>
        </w:tc>
        <w:tc>
          <w:tcPr>
            <w:tcW w:w="715" w:type="dxa"/>
            <w:tcBorders>
              <w:tl2br w:val="nil"/>
              <w:tr2bl w:val="nil"/>
            </w:tcBorders>
            <w:noWrap w:val="0"/>
            <w:vAlign w:val="center"/>
          </w:tcPr>
          <w:p>
            <w:pPr>
              <w:pStyle w:val="28"/>
              <w:suppressLineNumbers w:val="0"/>
              <w:bidi w:val="0"/>
              <w:spacing w:before="0" w:after="0"/>
              <w:ind w:left="0" w:right="0"/>
            </w:pPr>
            <w:r>
              <w:t>100</w:t>
            </w:r>
          </w:p>
        </w:tc>
        <w:tc>
          <w:tcPr>
            <w:tcW w:w="717" w:type="dxa"/>
            <w:tcBorders>
              <w:tl2br w:val="nil"/>
              <w:tr2bl w:val="nil"/>
            </w:tcBorders>
            <w:noWrap w:val="0"/>
            <w:vAlign w:val="center"/>
          </w:tcPr>
          <w:p>
            <w:pPr>
              <w:pStyle w:val="28"/>
              <w:suppressLineNumbers w:val="0"/>
              <w:bidi w:val="0"/>
              <w:spacing w:before="0" w:after="0"/>
              <w:ind w:left="0" w:right="0"/>
            </w:pPr>
            <w:r>
              <w:t>150</w:t>
            </w:r>
          </w:p>
        </w:tc>
        <w:tc>
          <w:tcPr>
            <w:tcW w:w="715" w:type="dxa"/>
            <w:tcBorders>
              <w:tl2br w:val="nil"/>
              <w:tr2bl w:val="nil"/>
            </w:tcBorders>
            <w:noWrap w:val="0"/>
            <w:vAlign w:val="center"/>
          </w:tcPr>
          <w:p>
            <w:pPr>
              <w:pStyle w:val="28"/>
              <w:suppressLineNumbers w:val="0"/>
              <w:bidi w:val="0"/>
              <w:spacing w:before="0" w:after="0"/>
              <w:ind w:left="0" w:right="0"/>
            </w:pPr>
            <w:r>
              <w:t>200</w:t>
            </w:r>
          </w:p>
        </w:tc>
        <w:tc>
          <w:tcPr>
            <w:tcW w:w="717" w:type="dxa"/>
            <w:tcBorders>
              <w:tl2br w:val="nil"/>
              <w:tr2bl w:val="nil"/>
            </w:tcBorders>
            <w:noWrap w:val="0"/>
            <w:vAlign w:val="center"/>
          </w:tcPr>
          <w:p>
            <w:pPr>
              <w:pStyle w:val="28"/>
              <w:suppressLineNumbers w:val="0"/>
              <w:bidi w:val="0"/>
              <w:spacing w:before="0" w:after="0"/>
              <w:ind w:left="0" w:right="0"/>
            </w:pPr>
            <w:r>
              <w:t>250</w:t>
            </w:r>
          </w:p>
        </w:tc>
        <w:tc>
          <w:tcPr>
            <w:tcW w:w="717" w:type="dxa"/>
            <w:tcBorders>
              <w:tl2br w:val="nil"/>
              <w:tr2bl w:val="nil"/>
            </w:tcBorders>
            <w:noWrap w:val="0"/>
            <w:vAlign w:val="center"/>
          </w:tcPr>
          <w:p>
            <w:pPr>
              <w:pStyle w:val="28"/>
              <w:suppressLineNumbers w:val="0"/>
              <w:bidi w:val="0"/>
              <w:spacing w:before="0" w:after="0"/>
              <w:ind w:left="0" w:right="0"/>
            </w:pPr>
            <w:r>
              <w:t>300</w:t>
            </w:r>
          </w:p>
        </w:tc>
        <w:tc>
          <w:tcPr>
            <w:tcW w:w="717" w:type="dxa"/>
            <w:tcBorders>
              <w:tl2br w:val="nil"/>
              <w:tr2bl w:val="nil"/>
            </w:tcBorders>
            <w:noWrap w:val="0"/>
            <w:vAlign w:val="center"/>
          </w:tcPr>
          <w:p>
            <w:pPr>
              <w:pStyle w:val="28"/>
              <w:suppressLineNumbers w:val="0"/>
              <w:bidi w:val="0"/>
              <w:spacing w:before="0" w:after="0"/>
              <w:ind w:left="0" w:right="0"/>
            </w:pPr>
            <w:r>
              <w:t>400</w:t>
            </w:r>
          </w:p>
        </w:tc>
        <w:tc>
          <w:tcPr>
            <w:tcW w:w="717" w:type="dxa"/>
            <w:tcBorders>
              <w:tl2br w:val="nil"/>
              <w:tr2bl w:val="nil"/>
            </w:tcBorders>
            <w:noWrap w:val="0"/>
            <w:vAlign w:val="center"/>
          </w:tcPr>
          <w:p>
            <w:pPr>
              <w:pStyle w:val="28"/>
              <w:suppressLineNumbers w:val="0"/>
              <w:bidi w:val="0"/>
              <w:spacing w:before="0" w:after="0"/>
              <w:ind w:left="0" w:right="0"/>
            </w:pPr>
            <w:r>
              <w:t>500</w:t>
            </w:r>
          </w:p>
        </w:tc>
        <w:tc>
          <w:tcPr>
            <w:tcW w:w="718" w:type="dxa"/>
            <w:tcBorders>
              <w:tl2br w:val="nil"/>
              <w:tr2bl w:val="nil"/>
            </w:tcBorders>
            <w:noWrap w:val="0"/>
            <w:vAlign w:val="center"/>
          </w:tcPr>
          <w:p>
            <w:pPr>
              <w:pStyle w:val="28"/>
              <w:suppressLineNumbers w:val="0"/>
              <w:bidi w:val="0"/>
              <w:spacing w:before="0" w:after="0"/>
              <w:ind w:left="0" w:right="0"/>
            </w:pPr>
            <w:r>
              <w:t>600</w:t>
            </w:r>
          </w:p>
        </w:tc>
        <w:tc>
          <w:tcPr>
            <w:tcW w:w="748" w:type="dxa"/>
            <w:tcBorders>
              <w:tl2br w:val="nil"/>
              <w:tr2bl w:val="nil"/>
            </w:tcBorders>
            <w:noWrap w:val="0"/>
            <w:vAlign w:val="center"/>
          </w:tcPr>
          <w:p>
            <w:pPr>
              <w:pStyle w:val="28"/>
              <w:suppressLineNumbers w:val="0"/>
              <w:bidi w:val="0"/>
              <w:spacing w:before="0" w:after="0"/>
              <w:ind w:left="0" w:right="0"/>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06" w:type="dxa"/>
            <w:tcBorders>
              <w:tl2br w:val="nil"/>
              <w:tr2bl w:val="nil"/>
            </w:tcBorders>
            <w:noWrap w:val="0"/>
            <w:vAlign w:val="center"/>
          </w:tcPr>
          <w:p>
            <w:pPr>
              <w:pStyle w:val="28"/>
              <w:suppressLineNumbers w:val="0"/>
              <w:bidi w:val="0"/>
              <w:spacing w:before="0" w:after="0"/>
              <w:ind w:left="0" w:right="0"/>
            </w:pPr>
            <w:r>
              <w:rPr>
                <w:rFonts w:hint="eastAsia"/>
              </w:rPr>
              <w:t>△</w:t>
            </w:r>
            <w:r>
              <w:t>LdB(A)</w:t>
            </w:r>
          </w:p>
        </w:tc>
        <w:tc>
          <w:tcPr>
            <w:tcW w:w="647" w:type="dxa"/>
            <w:tcBorders>
              <w:tl2br w:val="nil"/>
              <w:tr2bl w:val="nil"/>
            </w:tcBorders>
            <w:noWrap w:val="0"/>
            <w:vAlign w:val="center"/>
          </w:tcPr>
          <w:p>
            <w:pPr>
              <w:pStyle w:val="28"/>
              <w:suppressLineNumbers w:val="0"/>
              <w:bidi w:val="0"/>
              <w:spacing w:before="0" w:after="0"/>
              <w:ind w:left="0" w:right="0"/>
            </w:pPr>
            <w:r>
              <w:t>0</w:t>
            </w:r>
          </w:p>
        </w:tc>
        <w:tc>
          <w:tcPr>
            <w:tcW w:w="655" w:type="dxa"/>
            <w:tcBorders>
              <w:tl2br w:val="nil"/>
              <w:tr2bl w:val="nil"/>
            </w:tcBorders>
            <w:noWrap w:val="0"/>
            <w:vAlign w:val="center"/>
          </w:tcPr>
          <w:p>
            <w:pPr>
              <w:pStyle w:val="28"/>
              <w:suppressLineNumbers w:val="0"/>
              <w:bidi w:val="0"/>
              <w:spacing w:before="0" w:after="0"/>
              <w:ind w:left="0" w:right="0"/>
            </w:pPr>
            <w:r>
              <w:t>20</w:t>
            </w:r>
          </w:p>
        </w:tc>
        <w:tc>
          <w:tcPr>
            <w:tcW w:w="657" w:type="dxa"/>
            <w:tcBorders>
              <w:tl2br w:val="nil"/>
              <w:tr2bl w:val="nil"/>
            </w:tcBorders>
            <w:noWrap w:val="0"/>
            <w:vAlign w:val="center"/>
          </w:tcPr>
          <w:p>
            <w:pPr>
              <w:pStyle w:val="28"/>
              <w:suppressLineNumbers w:val="0"/>
              <w:bidi w:val="0"/>
              <w:spacing w:before="0" w:after="0"/>
              <w:ind w:left="0" w:right="0"/>
            </w:pPr>
            <w:r>
              <w:t>34</w:t>
            </w:r>
          </w:p>
        </w:tc>
        <w:tc>
          <w:tcPr>
            <w:tcW w:w="715" w:type="dxa"/>
            <w:tcBorders>
              <w:tl2br w:val="nil"/>
              <w:tr2bl w:val="nil"/>
            </w:tcBorders>
            <w:noWrap w:val="0"/>
            <w:vAlign w:val="center"/>
          </w:tcPr>
          <w:p>
            <w:pPr>
              <w:pStyle w:val="28"/>
              <w:suppressLineNumbers w:val="0"/>
              <w:bidi w:val="0"/>
              <w:spacing w:before="0" w:after="0"/>
              <w:ind w:left="0" w:right="0"/>
            </w:pPr>
            <w:r>
              <w:t>40</w:t>
            </w:r>
          </w:p>
        </w:tc>
        <w:tc>
          <w:tcPr>
            <w:tcW w:w="717" w:type="dxa"/>
            <w:tcBorders>
              <w:tl2br w:val="nil"/>
              <w:tr2bl w:val="nil"/>
            </w:tcBorders>
            <w:noWrap w:val="0"/>
            <w:vAlign w:val="center"/>
          </w:tcPr>
          <w:p>
            <w:pPr>
              <w:pStyle w:val="28"/>
              <w:suppressLineNumbers w:val="0"/>
              <w:bidi w:val="0"/>
              <w:spacing w:before="0" w:after="0"/>
              <w:ind w:left="0" w:right="0"/>
            </w:pPr>
            <w:r>
              <w:t>43</w:t>
            </w:r>
          </w:p>
        </w:tc>
        <w:tc>
          <w:tcPr>
            <w:tcW w:w="715" w:type="dxa"/>
            <w:tcBorders>
              <w:tl2br w:val="nil"/>
              <w:tr2bl w:val="nil"/>
            </w:tcBorders>
            <w:noWrap w:val="0"/>
            <w:vAlign w:val="center"/>
          </w:tcPr>
          <w:p>
            <w:pPr>
              <w:pStyle w:val="28"/>
              <w:suppressLineNumbers w:val="0"/>
              <w:bidi w:val="0"/>
              <w:spacing w:before="0" w:after="0"/>
              <w:ind w:left="0" w:right="0"/>
            </w:pPr>
            <w:r>
              <w:t>46</w:t>
            </w:r>
          </w:p>
        </w:tc>
        <w:tc>
          <w:tcPr>
            <w:tcW w:w="717" w:type="dxa"/>
            <w:tcBorders>
              <w:tl2br w:val="nil"/>
              <w:tr2bl w:val="nil"/>
            </w:tcBorders>
            <w:noWrap w:val="0"/>
            <w:vAlign w:val="center"/>
          </w:tcPr>
          <w:p>
            <w:pPr>
              <w:pStyle w:val="28"/>
              <w:suppressLineNumbers w:val="0"/>
              <w:bidi w:val="0"/>
              <w:spacing w:before="0" w:after="0"/>
              <w:ind w:left="0" w:right="0"/>
            </w:pPr>
            <w:r>
              <w:t>48</w:t>
            </w:r>
          </w:p>
        </w:tc>
        <w:tc>
          <w:tcPr>
            <w:tcW w:w="717" w:type="dxa"/>
            <w:tcBorders>
              <w:tl2br w:val="nil"/>
              <w:tr2bl w:val="nil"/>
            </w:tcBorders>
            <w:noWrap w:val="0"/>
            <w:vAlign w:val="center"/>
          </w:tcPr>
          <w:p>
            <w:pPr>
              <w:pStyle w:val="28"/>
              <w:suppressLineNumbers w:val="0"/>
              <w:bidi w:val="0"/>
              <w:spacing w:before="0" w:after="0"/>
              <w:ind w:left="0" w:right="0"/>
            </w:pPr>
            <w:r>
              <w:t>50</w:t>
            </w:r>
          </w:p>
        </w:tc>
        <w:tc>
          <w:tcPr>
            <w:tcW w:w="717" w:type="dxa"/>
            <w:tcBorders>
              <w:tl2br w:val="nil"/>
              <w:tr2bl w:val="nil"/>
            </w:tcBorders>
            <w:noWrap w:val="0"/>
            <w:vAlign w:val="center"/>
          </w:tcPr>
          <w:p>
            <w:pPr>
              <w:pStyle w:val="28"/>
              <w:suppressLineNumbers w:val="0"/>
              <w:bidi w:val="0"/>
              <w:spacing w:before="0" w:after="0"/>
              <w:ind w:left="0" w:right="0"/>
            </w:pPr>
            <w:r>
              <w:t>52</w:t>
            </w:r>
          </w:p>
        </w:tc>
        <w:tc>
          <w:tcPr>
            <w:tcW w:w="717" w:type="dxa"/>
            <w:tcBorders>
              <w:tl2br w:val="nil"/>
              <w:tr2bl w:val="nil"/>
            </w:tcBorders>
            <w:noWrap w:val="0"/>
            <w:vAlign w:val="center"/>
          </w:tcPr>
          <w:p>
            <w:pPr>
              <w:pStyle w:val="28"/>
              <w:suppressLineNumbers w:val="0"/>
              <w:bidi w:val="0"/>
              <w:spacing w:before="0" w:after="0"/>
              <w:ind w:left="0" w:right="0"/>
            </w:pPr>
            <w:r>
              <w:t>54</w:t>
            </w:r>
          </w:p>
        </w:tc>
        <w:tc>
          <w:tcPr>
            <w:tcW w:w="718" w:type="dxa"/>
            <w:tcBorders>
              <w:tl2br w:val="nil"/>
              <w:tr2bl w:val="nil"/>
            </w:tcBorders>
            <w:noWrap w:val="0"/>
            <w:vAlign w:val="center"/>
          </w:tcPr>
          <w:p>
            <w:pPr>
              <w:pStyle w:val="28"/>
              <w:suppressLineNumbers w:val="0"/>
              <w:bidi w:val="0"/>
              <w:spacing w:before="0" w:after="0"/>
              <w:ind w:left="0" w:right="0"/>
            </w:pPr>
            <w:r>
              <w:t>56</w:t>
            </w:r>
          </w:p>
        </w:tc>
        <w:tc>
          <w:tcPr>
            <w:tcW w:w="748" w:type="dxa"/>
            <w:tcBorders>
              <w:tl2br w:val="nil"/>
              <w:tr2bl w:val="nil"/>
            </w:tcBorders>
            <w:noWrap w:val="0"/>
            <w:vAlign w:val="center"/>
          </w:tcPr>
          <w:p>
            <w:pPr>
              <w:pStyle w:val="28"/>
              <w:suppressLineNumbers w:val="0"/>
              <w:bidi w:val="0"/>
              <w:spacing w:before="0" w:after="0"/>
              <w:ind w:left="0" w:right="0"/>
            </w:pPr>
            <w:r>
              <w:t>60</w:t>
            </w:r>
          </w:p>
        </w:tc>
      </w:tr>
    </w:tbl>
    <w:p>
      <w:pPr>
        <w:spacing w:line="500" w:lineRule="exact"/>
        <w:ind w:firstLine="480" w:firstLineChars="200"/>
        <w:rPr>
          <w:rFonts w:ascii="Times New Roman" w:hAnsi="Times New Roman" w:eastAsia="宋体"/>
          <w:sz w:val="24"/>
        </w:rPr>
      </w:pPr>
      <w:r>
        <w:rPr>
          <w:rFonts w:ascii="Times New Roman" w:hAnsi="Times New Roman" w:eastAsia="宋体"/>
          <w:sz w:val="24"/>
        </w:rPr>
        <w:t>按上表计算，各施工设备噪声随距离衰减后的情况见表</w:t>
      </w:r>
      <w:r>
        <w:rPr>
          <w:rFonts w:hint="eastAsia"/>
          <w:sz w:val="24"/>
          <w:lang w:val="en-US" w:eastAsia="zh-CN"/>
        </w:rPr>
        <w:t>5.7.4</w:t>
      </w:r>
      <w:r>
        <w:rPr>
          <w:rFonts w:ascii="Times New Roman" w:hAnsi="Times New Roman" w:eastAsia="宋体"/>
          <w:sz w:val="24"/>
        </w:rPr>
        <w:t>-3。</w:t>
      </w:r>
    </w:p>
    <w:p>
      <w:pPr>
        <w:pStyle w:val="27"/>
        <w:bidi w:val="0"/>
      </w:pPr>
      <w:r>
        <w:t>表</w:t>
      </w:r>
      <w:r>
        <w:rPr>
          <w:rFonts w:hint="eastAsia"/>
          <w:lang w:val="en-US" w:eastAsia="zh-CN"/>
        </w:rPr>
        <w:t>5.7.4</w:t>
      </w:r>
      <w:r>
        <w:t>-3  各施工设备噪声随距离衰减后情况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158"/>
        <w:gridCol w:w="669"/>
        <w:gridCol w:w="669"/>
        <w:gridCol w:w="715"/>
        <w:gridCol w:w="717"/>
        <w:gridCol w:w="715"/>
        <w:gridCol w:w="717"/>
        <w:gridCol w:w="715"/>
        <w:gridCol w:w="717"/>
        <w:gridCol w:w="715"/>
        <w:gridCol w:w="718"/>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30" w:type="dxa"/>
            <w:gridSpan w:val="2"/>
            <w:tcBorders>
              <w:tl2br w:val="nil"/>
              <w:tr2bl w:val="nil"/>
            </w:tcBorders>
            <w:noWrap w:val="0"/>
            <w:vAlign w:val="center"/>
          </w:tcPr>
          <w:p>
            <w:pPr>
              <w:pStyle w:val="28"/>
              <w:suppressLineNumbers w:val="0"/>
              <w:bidi w:val="0"/>
              <w:spacing w:before="0" w:after="0"/>
              <w:ind w:left="0" w:right="0"/>
            </w:pPr>
            <w:r>
              <w:t>距离(m)</w:t>
            </w:r>
          </w:p>
        </w:tc>
        <w:tc>
          <w:tcPr>
            <w:tcW w:w="669" w:type="dxa"/>
            <w:tcBorders>
              <w:tl2br w:val="nil"/>
              <w:tr2bl w:val="nil"/>
            </w:tcBorders>
            <w:noWrap w:val="0"/>
            <w:vAlign w:val="center"/>
          </w:tcPr>
          <w:p>
            <w:pPr>
              <w:pStyle w:val="28"/>
              <w:suppressLineNumbers w:val="0"/>
              <w:bidi w:val="0"/>
              <w:spacing w:before="0" w:after="0"/>
              <w:ind w:left="0" w:right="0"/>
            </w:pPr>
            <w:r>
              <w:t>10</w:t>
            </w:r>
          </w:p>
        </w:tc>
        <w:tc>
          <w:tcPr>
            <w:tcW w:w="669" w:type="dxa"/>
            <w:tcBorders>
              <w:tl2br w:val="nil"/>
              <w:tr2bl w:val="nil"/>
            </w:tcBorders>
            <w:noWrap w:val="0"/>
            <w:vAlign w:val="center"/>
          </w:tcPr>
          <w:p>
            <w:pPr>
              <w:pStyle w:val="28"/>
              <w:suppressLineNumbers w:val="0"/>
              <w:bidi w:val="0"/>
              <w:spacing w:before="0" w:after="0"/>
              <w:ind w:left="0" w:right="0"/>
            </w:pPr>
            <w:r>
              <w:t>50</w:t>
            </w:r>
          </w:p>
        </w:tc>
        <w:tc>
          <w:tcPr>
            <w:tcW w:w="715" w:type="dxa"/>
            <w:tcBorders>
              <w:tl2br w:val="nil"/>
              <w:tr2bl w:val="nil"/>
            </w:tcBorders>
            <w:noWrap w:val="0"/>
            <w:vAlign w:val="center"/>
          </w:tcPr>
          <w:p>
            <w:pPr>
              <w:pStyle w:val="28"/>
              <w:suppressLineNumbers w:val="0"/>
              <w:bidi w:val="0"/>
              <w:spacing w:before="0" w:after="0"/>
              <w:ind w:left="0" w:right="0"/>
            </w:pPr>
            <w:r>
              <w:t>100</w:t>
            </w:r>
          </w:p>
        </w:tc>
        <w:tc>
          <w:tcPr>
            <w:tcW w:w="717" w:type="dxa"/>
            <w:tcBorders>
              <w:tl2br w:val="nil"/>
              <w:tr2bl w:val="nil"/>
            </w:tcBorders>
            <w:noWrap w:val="0"/>
            <w:vAlign w:val="center"/>
          </w:tcPr>
          <w:p>
            <w:pPr>
              <w:pStyle w:val="28"/>
              <w:suppressLineNumbers w:val="0"/>
              <w:bidi w:val="0"/>
              <w:spacing w:before="0" w:after="0"/>
              <w:ind w:left="0" w:right="0"/>
            </w:pPr>
            <w:r>
              <w:t>150</w:t>
            </w:r>
          </w:p>
        </w:tc>
        <w:tc>
          <w:tcPr>
            <w:tcW w:w="715" w:type="dxa"/>
            <w:tcBorders>
              <w:tl2br w:val="nil"/>
              <w:tr2bl w:val="nil"/>
            </w:tcBorders>
            <w:noWrap w:val="0"/>
            <w:vAlign w:val="center"/>
          </w:tcPr>
          <w:p>
            <w:pPr>
              <w:pStyle w:val="28"/>
              <w:suppressLineNumbers w:val="0"/>
              <w:bidi w:val="0"/>
              <w:spacing w:before="0" w:after="0"/>
              <w:ind w:left="0" w:right="0"/>
            </w:pPr>
            <w:r>
              <w:t>200</w:t>
            </w:r>
          </w:p>
        </w:tc>
        <w:tc>
          <w:tcPr>
            <w:tcW w:w="717" w:type="dxa"/>
            <w:tcBorders>
              <w:tl2br w:val="nil"/>
              <w:tr2bl w:val="nil"/>
            </w:tcBorders>
            <w:noWrap w:val="0"/>
            <w:vAlign w:val="center"/>
          </w:tcPr>
          <w:p>
            <w:pPr>
              <w:pStyle w:val="28"/>
              <w:suppressLineNumbers w:val="0"/>
              <w:bidi w:val="0"/>
              <w:spacing w:before="0" w:after="0"/>
              <w:ind w:left="0" w:right="0"/>
            </w:pPr>
            <w:r>
              <w:t>250</w:t>
            </w:r>
          </w:p>
        </w:tc>
        <w:tc>
          <w:tcPr>
            <w:tcW w:w="715" w:type="dxa"/>
            <w:tcBorders>
              <w:tl2br w:val="nil"/>
              <w:tr2bl w:val="nil"/>
            </w:tcBorders>
            <w:noWrap w:val="0"/>
            <w:vAlign w:val="center"/>
          </w:tcPr>
          <w:p>
            <w:pPr>
              <w:pStyle w:val="28"/>
              <w:suppressLineNumbers w:val="0"/>
              <w:bidi w:val="0"/>
              <w:spacing w:before="0" w:after="0"/>
              <w:ind w:left="0" w:right="0"/>
            </w:pPr>
            <w:r>
              <w:t>300</w:t>
            </w:r>
          </w:p>
        </w:tc>
        <w:tc>
          <w:tcPr>
            <w:tcW w:w="717" w:type="dxa"/>
            <w:tcBorders>
              <w:tl2br w:val="nil"/>
              <w:tr2bl w:val="nil"/>
            </w:tcBorders>
            <w:noWrap w:val="0"/>
            <w:vAlign w:val="center"/>
          </w:tcPr>
          <w:p>
            <w:pPr>
              <w:pStyle w:val="28"/>
              <w:suppressLineNumbers w:val="0"/>
              <w:bidi w:val="0"/>
              <w:spacing w:before="0" w:after="0"/>
              <w:ind w:left="0" w:right="0"/>
            </w:pPr>
            <w:r>
              <w:t>400</w:t>
            </w:r>
          </w:p>
        </w:tc>
        <w:tc>
          <w:tcPr>
            <w:tcW w:w="715" w:type="dxa"/>
            <w:tcBorders>
              <w:tl2br w:val="nil"/>
              <w:tr2bl w:val="nil"/>
            </w:tcBorders>
            <w:noWrap w:val="0"/>
            <w:vAlign w:val="center"/>
          </w:tcPr>
          <w:p>
            <w:pPr>
              <w:pStyle w:val="28"/>
              <w:suppressLineNumbers w:val="0"/>
              <w:bidi w:val="0"/>
              <w:spacing w:before="0" w:after="0"/>
              <w:ind w:left="0" w:right="0"/>
            </w:pPr>
            <w:r>
              <w:t>500</w:t>
            </w:r>
          </w:p>
        </w:tc>
        <w:tc>
          <w:tcPr>
            <w:tcW w:w="718" w:type="dxa"/>
            <w:tcBorders>
              <w:tl2br w:val="nil"/>
              <w:tr2bl w:val="nil"/>
            </w:tcBorders>
            <w:noWrap w:val="0"/>
            <w:vAlign w:val="center"/>
          </w:tcPr>
          <w:p>
            <w:pPr>
              <w:pStyle w:val="28"/>
              <w:suppressLineNumbers w:val="0"/>
              <w:bidi w:val="0"/>
              <w:spacing w:before="0" w:after="0"/>
              <w:ind w:left="0" w:right="0"/>
            </w:pPr>
            <w:r>
              <w:t>600</w:t>
            </w:r>
          </w:p>
        </w:tc>
        <w:tc>
          <w:tcPr>
            <w:tcW w:w="749" w:type="dxa"/>
            <w:tcBorders>
              <w:tl2br w:val="nil"/>
              <w:tr2bl w:val="nil"/>
            </w:tcBorders>
            <w:noWrap w:val="0"/>
            <w:vAlign w:val="center"/>
          </w:tcPr>
          <w:p>
            <w:pPr>
              <w:pStyle w:val="28"/>
              <w:suppressLineNumbers w:val="0"/>
              <w:bidi w:val="0"/>
              <w:spacing w:before="0" w:after="0"/>
              <w:ind w:left="0" w:right="0"/>
            </w:pP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restart"/>
            <w:tcBorders>
              <w:tl2br w:val="nil"/>
              <w:tr2bl w:val="nil"/>
            </w:tcBorders>
            <w:noWrap w:val="0"/>
            <w:vAlign w:val="center"/>
          </w:tcPr>
          <w:p>
            <w:pPr>
              <w:pStyle w:val="28"/>
              <w:suppressLineNumbers w:val="0"/>
              <w:bidi w:val="0"/>
              <w:spacing w:before="0" w:after="0"/>
              <w:ind w:left="0" w:right="0"/>
            </w:pPr>
            <w:r>
              <w:t>土石方</w:t>
            </w:r>
          </w:p>
        </w:tc>
        <w:tc>
          <w:tcPr>
            <w:tcW w:w="1158" w:type="dxa"/>
            <w:tcBorders>
              <w:tl2br w:val="nil"/>
              <w:tr2bl w:val="nil"/>
            </w:tcBorders>
            <w:noWrap w:val="0"/>
            <w:vAlign w:val="center"/>
          </w:tcPr>
          <w:p>
            <w:pPr>
              <w:pStyle w:val="28"/>
              <w:suppressLineNumbers w:val="0"/>
              <w:bidi w:val="0"/>
              <w:spacing w:before="0" w:after="0"/>
              <w:ind w:left="0" w:right="0"/>
            </w:pPr>
            <w:r>
              <w:t>装载机</w:t>
            </w:r>
          </w:p>
        </w:tc>
        <w:tc>
          <w:tcPr>
            <w:tcW w:w="669" w:type="dxa"/>
            <w:tcBorders>
              <w:tl2br w:val="nil"/>
              <w:tr2bl w:val="nil"/>
            </w:tcBorders>
            <w:noWrap w:val="0"/>
            <w:vAlign w:val="center"/>
          </w:tcPr>
          <w:p>
            <w:pPr>
              <w:pStyle w:val="28"/>
              <w:suppressLineNumbers w:val="0"/>
              <w:bidi w:val="0"/>
              <w:spacing w:before="0" w:after="0"/>
              <w:ind w:left="0" w:right="0"/>
            </w:pPr>
            <w:r>
              <w:t>87</w:t>
            </w:r>
          </w:p>
        </w:tc>
        <w:tc>
          <w:tcPr>
            <w:tcW w:w="669" w:type="dxa"/>
            <w:tcBorders>
              <w:tl2br w:val="nil"/>
              <w:tr2bl w:val="nil"/>
            </w:tcBorders>
            <w:noWrap w:val="0"/>
            <w:vAlign w:val="center"/>
          </w:tcPr>
          <w:p>
            <w:pPr>
              <w:pStyle w:val="28"/>
              <w:suppressLineNumbers w:val="0"/>
              <w:bidi w:val="0"/>
              <w:spacing w:before="0" w:after="0"/>
              <w:ind w:left="0" w:right="0"/>
            </w:pPr>
            <w:r>
              <w:t>73</w:t>
            </w:r>
          </w:p>
        </w:tc>
        <w:tc>
          <w:tcPr>
            <w:tcW w:w="715" w:type="dxa"/>
            <w:tcBorders>
              <w:tl2br w:val="nil"/>
              <w:tr2bl w:val="nil"/>
            </w:tcBorders>
            <w:noWrap w:val="0"/>
            <w:vAlign w:val="center"/>
          </w:tcPr>
          <w:p>
            <w:pPr>
              <w:pStyle w:val="28"/>
              <w:suppressLineNumbers w:val="0"/>
              <w:bidi w:val="0"/>
              <w:spacing w:before="0" w:after="0"/>
              <w:ind w:left="0" w:right="0"/>
            </w:pPr>
            <w:r>
              <w:t>67</w:t>
            </w:r>
          </w:p>
        </w:tc>
        <w:tc>
          <w:tcPr>
            <w:tcW w:w="717" w:type="dxa"/>
            <w:tcBorders>
              <w:tl2br w:val="nil"/>
              <w:tr2bl w:val="nil"/>
            </w:tcBorders>
            <w:noWrap w:val="0"/>
            <w:vAlign w:val="center"/>
          </w:tcPr>
          <w:p>
            <w:pPr>
              <w:pStyle w:val="28"/>
              <w:suppressLineNumbers w:val="0"/>
              <w:bidi w:val="0"/>
              <w:spacing w:before="0" w:after="0"/>
              <w:ind w:left="0" w:right="0"/>
            </w:pPr>
            <w:r>
              <w:t>64</w:t>
            </w:r>
          </w:p>
        </w:tc>
        <w:tc>
          <w:tcPr>
            <w:tcW w:w="715" w:type="dxa"/>
            <w:tcBorders>
              <w:tl2br w:val="nil"/>
              <w:tr2bl w:val="nil"/>
            </w:tcBorders>
            <w:noWrap w:val="0"/>
            <w:vAlign w:val="center"/>
          </w:tcPr>
          <w:p>
            <w:pPr>
              <w:pStyle w:val="28"/>
              <w:suppressLineNumbers w:val="0"/>
              <w:bidi w:val="0"/>
              <w:spacing w:before="0" w:after="0"/>
              <w:ind w:left="0" w:right="0"/>
            </w:pPr>
            <w:r>
              <w:t>61</w:t>
            </w:r>
          </w:p>
        </w:tc>
        <w:tc>
          <w:tcPr>
            <w:tcW w:w="717" w:type="dxa"/>
            <w:tcBorders>
              <w:tl2br w:val="nil"/>
              <w:tr2bl w:val="nil"/>
            </w:tcBorders>
            <w:noWrap w:val="0"/>
            <w:vAlign w:val="center"/>
          </w:tcPr>
          <w:p>
            <w:pPr>
              <w:pStyle w:val="28"/>
              <w:suppressLineNumbers w:val="0"/>
              <w:bidi w:val="0"/>
              <w:spacing w:before="0" w:after="0"/>
              <w:ind w:left="0" w:right="0"/>
            </w:pPr>
            <w:r>
              <w:t>59</w:t>
            </w:r>
          </w:p>
        </w:tc>
        <w:tc>
          <w:tcPr>
            <w:tcW w:w="715" w:type="dxa"/>
            <w:tcBorders>
              <w:tl2br w:val="nil"/>
              <w:tr2bl w:val="nil"/>
            </w:tcBorders>
            <w:noWrap w:val="0"/>
            <w:vAlign w:val="center"/>
          </w:tcPr>
          <w:p>
            <w:pPr>
              <w:pStyle w:val="28"/>
              <w:suppressLineNumbers w:val="0"/>
              <w:bidi w:val="0"/>
              <w:spacing w:before="0" w:after="0"/>
              <w:ind w:left="0" w:right="0"/>
            </w:pPr>
            <w:r>
              <w:t>57</w:t>
            </w:r>
          </w:p>
        </w:tc>
        <w:tc>
          <w:tcPr>
            <w:tcW w:w="717" w:type="dxa"/>
            <w:tcBorders>
              <w:tl2br w:val="nil"/>
              <w:tr2bl w:val="nil"/>
            </w:tcBorders>
            <w:noWrap w:val="0"/>
            <w:vAlign w:val="center"/>
          </w:tcPr>
          <w:p>
            <w:pPr>
              <w:pStyle w:val="28"/>
              <w:suppressLineNumbers w:val="0"/>
              <w:bidi w:val="0"/>
              <w:spacing w:before="0" w:after="0"/>
              <w:ind w:left="0" w:right="0"/>
            </w:pPr>
            <w:r>
              <w:t>55</w:t>
            </w:r>
          </w:p>
        </w:tc>
        <w:tc>
          <w:tcPr>
            <w:tcW w:w="715" w:type="dxa"/>
            <w:tcBorders>
              <w:tl2br w:val="nil"/>
              <w:tr2bl w:val="nil"/>
            </w:tcBorders>
            <w:noWrap w:val="0"/>
            <w:vAlign w:val="center"/>
          </w:tcPr>
          <w:p>
            <w:pPr>
              <w:pStyle w:val="28"/>
              <w:suppressLineNumbers w:val="0"/>
              <w:bidi w:val="0"/>
              <w:spacing w:before="0" w:after="0"/>
              <w:ind w:left="0" w:right="0"/>
            </w:pPr>
            <w:r>
              <w:t>53</w:t>
            </w:r>
          </w:p>
        </w:tc>
        <w:tc>
          <w:tcPr>
            <w:tcW w:w="718" w:type="dxa"/>
            <w:tcBorders>
              <w:tl2br w:val="nil"/>
              <w:tr2bl w:val="nil"/>
            </w:tcBorders>
            <w:noWrap w:val="0"/>
            <w:vAlign w:val="center"/>
          </w:tcPr>
          <w:p>
            <w:pPr>
              <w:pStyle w:val="28"/>
              <w:suppressLineNumbers w:val="0"/>
              <w:bidi w:val="0"/>
              <w:spacing w:before="0" w:after="0"/>
              <w:ind w:left="0" w:right="0"/>
            </w:pPr>
            <w:r>
              <w:t>51</w:t>
            </w:r>
          </w:p>
        </w:tc>
        <w:tc>
          <w:tcPr>
            <w:tcW w:w="749" w:type="dxa"/>
            <w:tcBorders>
              <w:tl2br w:val="nil"/>
              <w:tr2bl w:val="nil"/>
            </w:tcBorders>
            <w:noWrap w:val="0"/>
            <w:vAlign w:val="center"/>
          </w:tcPr>
          <w:p>
            <w:pPr>
              <w:pStyle w:val="28"/>
              <w:suppressLineNumbers w:val="0"/>
              <w:bidi w:val="0"/>
              <w:spacing w:before="0" w:after="0"/>
              <w:ind w:left="0" w:right="0"/>
            </w:pPr>
            <w: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挖掘机</w:t>
            </w:r>
          </w:p>
        </w:tc>
        <w:tc>
          <w:tcPr>
            <w:tcW w:w="669" w:type="dxa"/>
            <w:tcBorders>
              <w:tl2br w:val="nil"/>
              <w:tr2bl w:val="nil"/>
            </w:tcBorders>
            <w:noWrap w:val="0"/>
            <w:vAlign w:val="center"/>
          </w:tcPr>
          <w:p>
            <w:pPr>
              <w:pStyle w:val="28"/>
              <w:suppressLineNumbers w:val="0"/>
              <w:bidi w:val="0"/>
              <w:spacing w:before="0" w:after="0"/>
              <w:ind w:left="0" w:right="0"/>
            </w:pPr>
            <w:r>
              <w:t>83</w:t>
            </w:r>
          </w:p>
        </w:tc>
        <w:tc>
          <w:tcPr>
            <w:tcW w:w="669" w:type="dxa"/>
            <w:tcBorders>
              <w:tl2br w:val="nil"/>
              <w:tr2bl w:val="nil"/>
            </w:tcBorders>
            <w:noWrap w:val="0"/>
            <w:vAlign w:val="center"/>
          </w:tcPr>
          <w:p>
            <w:pPr>
              <w:pStyle w:val="28"/>
              <w:suppressLineNumbers w:val="0"/>
              <w:bidi w:val="0"/>
              <w:spacing w:before="0" w:after="0"/>
              <w:ind w:left="0" w:right="0"/>
            </w:pPr>
            <w:r>
              <w:t>69</w:t>
            </w:r>
          </w:p>
        </w:tc>
        <w:tc>
          <w:tcPr>
            <w:tcW w:w="715" w:type="dxa"/>
            <w:tcBorders>
              <w:tl2br w:val="nil"/>
              <w:tr2bl w:val="nil"/>
            </w:tcBorders>
            <w:noWrap w:val="0"/>
            <w:vAlign w:val="center"/>
          </w:tcPr>
          <w:p>
            <w:pPr>
              <w:pStyle w:val="28"/>
              <w:suppressLineNumbers w:val="0"/>
              <w:bidi w:val="0"/>
              <w:spacing w:before="0" w:after="0"/>
              <w:ind w:left="0" w:right="0"/>
            </w:pPr>
            <w:r>
              <w:t>63</w:t>
            </w:r>
          </w:p>
        </w:tc>
        <w:tc>
          <w:tcPr>
            <w:tcW w:w="717" w:type="dxa"/>
            <w:tcBorders>
              <w:tl2br w:val="nil"/>
              <w:tr2bl w:val="nil"/>
            </w:tcBorders>
            <w:noWrap w:val="0"/>
            <w:vAlign w:val="center"/>
          </w:tcPr>
          <w:p>
            <w:pPr>
              <w:pStyle w:val="28"/>
              <w:suppressLineNumbers w:val="0"/>
              <w:bidi w:val="0"/>
              <w:spacing w:before="0" w:after="0"/>
              <w:ind w:left="0" w:right="0"/>
            </w:pPr>
            <w:r>
              <w:t>60</w:t>
            </w:r>
          </w:p>
        </w:tc>
        <w:tc>
          <w:tcPr>
            <w:tcW w:w="715" w:type="dxa"/>
            <w:tcBorders>
              <w:tl2br w:val="nil"/>
              <w:tr2bl w:val="nil"/>
            </w:tcBorders>
            <w:noWrap w:val="0"/>
            <w:vAlign w:val="center"/>
          </w:tcPr>
          <w:p>
            <w:pPr>
              <w:pStyle w:val="28"/>
              <w:suppressLineNumbers w:val="0"/>
              <w:bidi w:val="0"/>
              <w:spacing w:before="0" w:after="0"/>
              <w:ind w:left="0" w:right="0"/>
            </w:pPr>
            <w:r>
              <w:t>57</w:t>
            </w:r>
          </w:p>
        </w:tc>
        <w:tc>
          <w:tcPr>
            <w:tcW w:w="717" w:type="dxa"/>
            <w:tcBorders>
              <w:tl2br w:val="nil"/>
              <w:tr2bl w:val="nil"/>
            </w:tcBorders>
            <w:noWrap w:val="0"/>
            <w:vAlign w:val="center"/>
          </w:tcPr>
          <w:p>
            <w:pPr>
              <w:pStyle w:val="28"/>
              <w:suppressLineNumbers w:val="0"/>
              <w:bidi w:val="0"/>
              <w:spacing w:before="0" w:after="0"/>
              <w:ind w:left="0" w:right="0"/>
            </w:pPr>
            <w:r>
              <w:t>55</w:t>
            </w:r>
          </w:p>
        </w:tc>
        <w:tc>
          <w:tcPr>
            <w:tcW w:w="715" w:type="dxa"/>
            <w:tcBorders>
              <w:tl2br w:val="nil"/>
              <w:tr2bl w:val="nil"/>
            </w:tcBorders>
            <w:noWrap w:val="0"/>
            <w:vAlign w:val="center"/>
          </w:tcPr>
          <w:p>
            <w:pPr>
              <w:pStyle w:val="28"/>
              <w:suppressLineNumbers w:val="0"/>
              <w:bidi w:val="0"/>
              <w:spacing w:before="0" w:after="0"/>
              <w:ind w:left="0" w:right="0"/>
            </w:pPr>
            <w:r>
              <w:t>53</w:t>
            </w:r>
          </w:p>
        </w:tc>
        <w:tc>
          <w:tcPr>
            <w:tcW w:w="717" w:type="dxa"/>
            <w:tcBorders>
              <w:tl2br w:val="nil"/>
              <w:tr2bl w:val="nil"/>
            </w:tcBorders>
            <w:noWrap w:val="0"/>
            <w:vAlign w:val="center"/>
          </w:tcPr>
          <w:p>
            <w:pPr>
              <w:pStyle w:val="28"/>
              <w:suppressLineNumbers w:val="0"/>
              <w:bidi w:val="0"/>
              <w:spacing w:before="0" w:after="0"/>
              <w:ind w:left="0" w:right="0"/>
            </w:pPr>
            <w:r>
              <w:t>51</w:t>
            </w:r>
          </w:p>
        </w:tc>
        <w:tc>
          <w:tcPr>
            <w:tcW w:w="715" w:type="dxa"/>
            <w:tcBorders>
              <w:tl2br w:val="nil"/>
              <w:tr2bl w:val="nil"/>
            </w:tcBorders>
            <w:noWrap w:val="0"/>
            <w:vAlign w:val="center"/>
          </w:tcPr>
          <w:p>
            <w:pPr>
              <w:pStyle w:val="28"/>
              <w:suppressLineNumbers w:val="0"/>
              <w:bidi w:val="0"/>
              <w:spacing w:before="0" w:after="0"/>
              <w:ind w:left="0" w:right="0"/>
            </w:pPr>
            <w:r>
              <w:t>50</w:t>
            </w:r>
          </w:p>
        </w:tc>
        <w:tc>
          <w:tcPr>
            <w:tcW w:w="718" w:type="dxa"/>
            <w:tcBorders>
              <w:tl2br w:val="nil"/>
              <w:tr2bl w:val="nil"/>
            </w:tcBorders>
            <w:noWrap w:val="0"/>
            <w:vAlign w:val="center"/>
          </w:tcPr>
          <w:p>
            <w:pPr>
              <w:pStyle w:val="28"/>
              <w:suppressLineNumbers w:val="0"/>
              <w:bidi w:val="0"/>
              <w:spacing w:before="0" w:after="0"/>
              <w:ind w:left="0" w:right="0"/>
            </w:pPr>
            <w:r>
              <w:t>48</w:t>
            </w:r>
          </w:p>
        </w:tc>
        <w:tc>
          <w:tcPr>
            <w:tcW w:w="749" w:type="dxa"/>
            <w:tcBorders>
              <w:tl2br w:val="nil"/>
              <w:tr2bl w:val="nil"/>
            </w:tcBorders>
            <w:noWrap w:val="0"/>
            <w:vAlign w:val="center"/>
          </w:tcPr>
          <w:p>
            <w:pPr>
              <w:pStyle w:val="28"/>
              <w:suppressLineNumbers w:val="0"/>
              <w:bidi w:val="0"/>
              <w:spacing w:before="0" w:after="0"/>
              <w:ind w:left="0" w:right="0"/>
            </w:pPr>
            <w: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restart"/>
            <w:tcBorders>
              <w:tl2br w:val="nil"/>
              <w:tr2bl w:val="nil"/>
            </w:tcBorders>
            <w:noWrap w:val="0"/>
            <w:vAlign w:val="center"/>
          </w:tcPr>
          <w:p>
            <w:pPr>
              <w:pStyle w:val="28"/>
              <w:suppressLineNumbers w:val="0"/>
              <w:bidi w:val="0"/>
              <w:spacing w:before="0" w:after="0"/>
              <w:ind w:left="0" w:right="0"/>
            </w:pPr>
            <w:r>
              <w:t>结构</w:t>
            </w:r>
          </w:p>
        </w:tc>
        <w:tc>
          <w:tcPr>
            <w:tcW w:w="1158" w:type="dxa"/>
            <w:tcBorders>
              <w:tl2br w:val="nil"/>
              <w:tr2bl w:val="nil"/>
            </w:tcBorders>
            <w:noWrap w:val="0"/>
            <w:vAlign w:val="center"/>
          </w:tcPr>
          <w:p>
            <w:pPr>
              <w:pStyle w:val="28"/>
              <w:suppressLineNumbers w:val="0"/>
              <w:bidi w:val="0"/>
              <w:spacing w:before="0" w:after="0"/>
              <w:ind w:left="0" w:right="0"/>
            </w:pPr>
            <w:r>
              <w:t>打桩机</w:t>
            </w:r>
          </w:p>
        </w:tc>
        <w:tc>
          <w:tcPr>
            <w:tcW w:w="669" w:type="dxa"/>
            <w:tcBorders>
              <w:tl2br w:val="nil"/>
              <w:tr2bl w:val="nil"/>
            </w:tcBorders>
            <w:noWrap w:val="0"/>
            <w:vAlign w:val="center"/>
          </w:tcPr>
          <w:p>
            <w:pPr>
              <w:pStyle w:val="28"/>
              <w:suppressLineNumbers w:val="0"/>
              <w:bidi w:val="0"/>
              <w:spacing w:before="0" w:after="0"/>
              <w:ind w:left="0" w:right="0"/>
            </w:pPr>
            <w:r>
              <w:t>105</w:t>
            </w:r>
          </w:p>
        </w:tc>
        <w:tc>
          <w:tcPr>
            <w:tcW w:w="669" w:type="dxa"/>
            <w:tcBorders>
              <w:tl2br w:val="nil"/>
              <w:tr2bl w:val="nil"/>
            </w:tcBorders>
            <w:noWrap w:val="0"/>
            <w:vAlign w:val="center"/>
          </w:tcPr>
          <w:p>
            <w:pPr>
              <w:pStyle w:val="28"/>
              <w:suppressLineNumbers w:val="0"/>
              <w:bidi w:val="0"/>
              <w:spacing w:before="0" w:after="0"/>
              <w:ind w:left="0" w:right="0"/>
            </w:pPr>
            <w:r>
              <w:t>91</w:t>
            </w:r>
          </w:p>
        </w:tc>
        <w:tc>
          <w:tcPr>
            <w:tcW w:w="715" w:type="dxa"/>
            <w:tcBorders>
              <w:tl2br w:val="nil"/>
              <w:tr2bl w:val="nil"/>
            </w:tcBorders>
            <w:noWrap w:val="0"/>
            <w:vAlign w:val="center"/>
          </w:tcPr>
          <w:p>
            <w:pPr>
              <w:pStyle w:val="28"/>
              <w:suppressLineNumbers w:val="0"/>
              <w:bidi w:val="0"/>
              <w:spacing w:before="0" w:after="0"/>
              <w:ind w:left="0" w:right="0"/>
            </w:pPr>
            <w:r>
              <w:t>85</w:t>
            </w:r>
          </w:p>
        </w:tc>
        <w:tc>
          <w:tcPr>
            <w:tcW w:w="717" w:type="dxa"/>
            <w:tcBorders>
              <w:tl2br w:val="nil"/>
              <w:tr2bl w:val="nil"/>
            </w:tcBorders>
            <w:noWrap w:val="0"/>
            <w:vAlign w:val="center"/>
          </w:tcPr>
          <w:p>
            <w:pPr>
              <w:pStyle w:val="28"/>
              <w:suppressLineNumbers w:val="0"/>
              <w:bidi w:val="0"/>
              <w:spacing w:before="0" w:after="0"/>
              <w:ind w:left="0" w:right="0"/>
            </w:pPr>
            <w:r>
              <w:t>82</w:t>
            </w:r>
          </w:p>
        </w:tc>
        <w:tc>
          <w:tcPr>
            <w:tcW w:w="715" w:type="dxa"/>
            <w:tcBorders>
              <w:tl2br w:val="nil"/>
              <w:tr2bl w:val="nil"/>
            </w:tcBorders>
            <w:noWrap w:val="0"/>
            <w:vAlign w:val="center"/>
          </w:tcPr>
          <w:p>
            <w:pPr>
              <w:pStyle w:val="28"/>
              <w:suppressLineNumbers w:val="0"/>
              <w:bidi w:val="0"/>
              <w:spacing w:before="0" w:after="0"/>
              <w:ind w:left="0" w:right="0"/>
            </w:pPr>
            <w:r>
              <w:t>79</w:t>
            </w:r>
          </w:p>
        </w:tc>
        <w:tc>
          <w:tcPr>
            <w:tcW w:w="717" w:type="dxa"/>
            <w:tcBorders>
              <w:tl2br w:val="nil"/>
              <w:tr2bl w:val="nil"/>
            </w:tcBorders>
            <w:noWrap w:val="0"/>
            <w:vAlign w:val="center"/>
          </w:tcPr>
          <w:p>
            <w:pPr>
              <w:pStyle w:val="28"/>
              <w:suppressLineNumbers w:val="0"/>
              <w:bidi w:val="0"/>
              <w:spacing w:before="0" w:after="0"/>
              <w:ind w:left="0" w:right="0"/>
            </w:pPr>
            <w:r>
              <w:t>77</w:t>
            </w:r>
          </w:p>
        </w:tc>
        <w:tc>
          <w:tcPr>
            <w:tcW w:w="715" w:type="dxa"/>
            <w:tcBorders>
              <w:tl2br w:val="nil"/>
              <w:tr2bl w:val="nil"/>
            </w:tcBorders>
            <w:noWrap w:val="0"/>
            <w:vAlign w:val="center"/>
          </w:tcPr>
          <w:p>
            <w:pPr>
              <w:pStyle w:val="28"/>
              <w:suppressLineNumbers w:val="0"/>
              <w:bidi w:val="0"/>
              <w:spacing w:before="0" w:after="0"/>
              <w:ind w:left="0" w:right="0"/>
            </w:pPr>
            <w:r>
              <w:t>75</w:t>
            </w:r>
          </w:p>
        </w:tc>
        <w:tc>
          <w:tcPr>
            <w:tcW w:w="717" w:type="dxa"/>
            <w:tcBorders>
              <w:tl2br w:val="nil"/>
              <w:tr2bl w:val="nil"/>
            </w:tcBorders>
            <w:noWrap w:val="0"/>
            <w:vAlign w:val="center"/>
          </w:tcPr>
          <w:p>
            <w:pPr>
              <w:pStyle w:val="28"/>
              <w:suppressLineNumbers w:val="0"/>
              <w:bidi w:val="0"/>
              <w:spacing w:before="0" w:after="0"/>
              <w:ind w:left="0" w:right="0"/>
            </w:pPr>
            <w:r>
              <w:t>73</w:t>
            </w:r>
          </w:p>
        </w:tc>
        <w:tc>
          <w:tcPr>
            <w:tcW w:w="715" w:type="dxa"/>
            <w:tcBorders>
              <w:tl2br w:val="nil"/>
              <w:tr2bl w:val="nil"/>
            </w:tcBorders>
            <w:noWrap w:val="0"/>
            <w:vAlign w:val="center"/>
          </w:tcPr>
          <w:p>
            <w:pPr>
              <w:pStyle w:val="28"/>
              <w:suppressLineNumbers w:val="0"/>
              <w:bidi w:val="0"/>
              <w:spacing w:before="0" w:after="0"/>
              <w:ind w:left="0" w:right="0"/>
            </w:pPr>
            <w:r>
              <w:t>72</w:t>
            </w:r>
          </w:p>
        </w:tc>
        <w:tc>
          <w:tcPr>
            <w:tcW w:w="718" w:type="dxa"/>
            <w:tcBorders>
              <w:tl2br w:val="nil"/>
              <w:tr2bl w:val="nil"/>
            </w:tcBorders>
            <w:noWrap w:val="0"/>
            <w:vAlign w:val="center"/>
          </w:tcPr>
          <w:p>
            <w:pPr>
              <w:pStyle w:val="28"/>
              <w:suppressLineNumbers w:val="0"/>
              <w:bidi w:val="0"/>
              <w:spacing w:before="0" w:after="0"/>
              <w:ind w:left="0" w:right="0"/>
            </w:pPr>
            <w:r>
              <w:t>70</w:t>
            </w:r>
          </w:p>
        </w:tc>
        <w:tc>
          <w:tcPr>
            <w:tcW w:w="749" w:type="dxa"/>
            <w:tcBorders>
              <w:tl2br w:val="nil"/>
              <w:tr2bl w:val="nil"/>
            </w:tcBorders>
            <w:noWrap w:val="0"/>
            <w:vAlign w:val="center"/>
          </w:tcPr>
          <w:p>
            <w:pPr>
              <w:pStyle w:val="28"/>
              <w:suppressLineNumbers w:val="0"/>
              <w:bidi w:val="0"/>
              <w:spacing w:before="0" w:after="0"/>
              <w:ind w:left="0" w:right="0"/>
            </w:pPr>
            <w: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振捣器</w:t>
            </w:r>
          </w:p>
        </w:tc>
        <w:tc>
          <w:tcPr>
            <w:tcW w:w="669" w:type="dxa"/>
            <w:tcBorders>
              <w:tl2br w:val="nil"/>
              <w:tr2bl w:val="nil"/>
            </w:tcBorders>
            <w:noWrap w:val="0"/>
            <w:vAlign w:val="center"/>
          </w:tcPr>
          <w:p>
            <w:pPr>
              <w:pStyle w:val="28"/>
              <w:suppressLineNumbers w:val="0"/>
              <w:bidi w:val="0"/>
              <w:spacing w:before="0" w:after="0"/>
              <w:ind w:left="0" w:right="0"/>
            </w:pPr>
            <w:r>
              <w:t>85</w:t>
            </w:r>
          </w:p>
        </w:tc>
        <w:tc>
          <w:tcPr>
            <w:tcW w:w="669" w:type="dxa"/>
            <w:tcBorders>
              <w:tl2br w:val="nil"/>
              <w:tr2bl w:val="nil"/>
            </w:tcBorders>
            <w:noWrap w:val="0"/>
            <w:vAlign w:val="center"/>
          </w:tcPr>
          <w:p>
            <w:pPr>
              <w:pStyle w:val="28"/>
              <w:suppressLineNumbers w:val="0"/>
              <w:bidi w:val="0"/>
              <w:spacing w:before="0" w:after="0"/>
              <w:ind w:left="0" w:right="0"/>
            </w:pPr>
            <w:r>
              <w:t>71</w:t>
            </w:r>
          </w:p>
        </w:tc>
        <w:tc>
          <w:tcPr>
            <w:tcW w:w="715" w:type="dxa"/>
            <w:tcBorders>
              <w:tl2br w:val="nil"/>
              <w:tr2bl w:val="nil"/>
            </w:tcBorders>
            <w:noWrap w:val="0"/>
            <w:vAlign w:val="center"/>
          </w:tcPr>
          <w:p>
            <w:pPr>
              <w:pStyle w:val="28"/>
              <w:suppressLineNumbers w:val="0"/>
              <w:bidi w:val="0"/>
              <w:spacing w:before="0" w:after="0"/>
              <w:ind w:left="0" w:right="0"/>
            </w:pPr>
            <w:r>
              <w:t>65</w:t>
            </w:r>
          </w:p>
        </w:tc>
        <w:tc>
          <w:tcPr>
            <w:tcW w:w="717" w:type="dxa"/>
            <w:tcBorders>
              <w:tl2br w:val="nil"/>
              <w:tr2bl w:val="nil"/>
            </w:tcBorders>
            <w:noWrap w:val="0"/>
            <w:vAlign w:val="center"/>
          </w:tcPr>
          <w:p>
            <w:pPr>
              <w:pStyle w:val="28"/>
              <w:suppressLineNumbers w:val="0"/>
              <w:bidi w:val="0"/>
              <w:spacing w:before="0" w:after="0"/>
              <w:ind w:left="0" w:right="0"/>
            </w:pPr>
            <w:r>
              <w:t>62</w:t>
            </w:r>
          </w:p>
        </w:tc>
        <w:tc>
          <w:tcPr>
            <w:tcW w:w="715" w:type="dxa"/>
            <w:tcBorders>
              <w:tl2br w:val="nil"/>
              <w:tr2bl w:val="nil"/>
            </w:tcBorders>
            <w:noWrap w:val="0"/>
            <w:vAlign w:val="center"/>
          </w:tcPr>
          <w:p>
            <w:pPr>
              <w:pStyle w:val="28"/>
              <w:suppressLineNumbers w:val="0"/>
              <w:bidi w:val="0"/>
              <w:spacing w:before="0" w:after="0"/>
              <w:ind w:left="0" w:right="0"/>
            </w:pPr>
            <w:r>
              <w:t>59</w:t>
            </w:r>
          </w:p>
        </w:tc>
        <w:tc>
          <w:tcPr>
            <w:tcW w:w="717" w:type="dxa"/>
            <w:tcBorders>
              <w:tl2br w:val="nil"/>
              <w:tr2bl w:val="nil"/>
            </w:tcBorders>
            <w:noWrap w:val="0"/>
            <w:vAlign w:val="center"/>
          </w:tcPr>
          <w:p>
            <w:pPr>
              <w:pStyle w:val="28"/>
              <w:suppressLineNumbers w:val="0"/>
              <w:bidi w:val="0"/>
              <w:spacing w:before="0" w:after="0"/>
              <w:ind w:left="0" w:right="0"/>
            </w:pPr>
            <w:r>
              <w:t>57</w:t>
            </w:r>
          </w:p>
        </w:tc>
        <w:tc>
          <w:tcPr>
            <w:tcW w:w="715" w:type="dxa"/>
            <w:tcBorders>
              <w:tl2br w:val="nil"/>
              <w:tr2bl w:val="nil"/>
            </w:tcBorders>
            <w:noWrap w:val="0"/>
            <w:vAlign w:val="center"/>
          </w:tcPr>
          <w:p>
            <w:pPr>
              <w:pStyle w:val="28"/>
              <w:suppressLineNumbers w:val="0"/>
              <w:bidi w:val="0"/>
              <w:spacing w:before="0" w:after="0"/>
              <w:ind w:left="0" w:right="0"/>
            </w:pPr>
            <w:r>
              <w:t>55</w:t>
            </w:r>
          </w:p>
        </w:tc>
        <w:tc>
          <w:tcPr>
            <w:tcW w:w="717" w:type="dxa"/>
            <w:tcBorders>
              <w:tl2br w:val="nil"/>
              <w:tr2bl w:val="nil"/>
            </w:tcBorders>
            <w:noWrap w:val="0"/>
            <w:vAlign w:val="center"/>
          </w:tcPr>
          <w:p>
            <w:pPr>
              <w:pStyle w:val="28"/>
              <w:suppressLineNumbers w:val="0"/>
              <w:bidi w:val="0"/>
              <w:spacing w:before="0" w:after="0"/>
              <w:ind w:left="0" w:right="0"/>
            </w:pPr>
            <w:r>
              <w:t>53</w:t>
            </w:r>
          </w:p>
        </w:tc>
        <w:tc>
          <w:tcPr>
            <w:tcW w:w="715" w:type="dxa"/>
            <w:tcBorders>
              <w:tl2br w:val="nil"/>
              <w:tr2bl w:val="nil"/>
            </w:tcBorders>
            <w:noWrap w:val="0"/>
            <w:vAlign w:val="center"/>
          </w:tcPr>
          <w:p>
            <w:pPr>
              <w:pStyle w:val="28"/>
              <w:suppressLineNumbers w:val="0"/>
              <w:bidi w:val="0"/>
              <w:spacing w:before="0" w:after="0"/>
              <w:ind w:left="0" w:right="0"/>
            </w:pPr>
            <w:r>
              <w:t>52</w:t>
            </w:r>
          </w:p>
        </w:tc>
        <w:tc>
          <w:tcPr>
            <w:tcW w:w="718" w:type="dxa"/>
            <w:tcBorders>
              <w:tl2br w:val="nil"/>
              <w:tr2bl w:val="nil"/>
            </w:tcBorders>
            <w:noWrap w:val="0"/>
            <w:vAlign w:val="center"/>
          </w:tcPr>
          <w:p>
            <w:pPr>
              <w:pStyle w:val="28"/>
              <w:suppressLineNumbers w:val="0"/>
              <w:bidi w:val="0"/>
              <w:spacing w:before="0" w:after="0"/>
              <w:ind w:left="0" w:right="0"/>
            </w:pPr>
            <w:r>
              <w:t>50</w:t>
            </w:r>
          </w:p>
        </w:tc>
        <w:tc>
          <w:tcPr>
            <w:tcW w:w="749" w:type="dxa"/>
            <w:tcBorders>
              <w:tl2br w:val="nil"/>
              <w:tr2bl w:val="nil"/>
            </w:tcBorders>
            <w:noWrap w:val="0"/>
            <w:vAlign w:val="center"/>
          </w:tcPr>
          <w:p>
            <w:pPr>
              <w:pStyle w:val="28"/>
              <w:suppressLineNumbers w:val="0"/>
              <w:bidi w:val="0"/>
              <w:spacing w:before="0" w:after="0"/>
              <w:ind w:left="0" w:right="0"/>
            </w:pPr>
            <w: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搅拌机</w:t>
            </w:r>
          </w:p>
        </w:tc>
        <w:tc>
          <w:tcPr>
            <w:tcW w:w="669" w:type="dxa"/>
            <w:tcBorders>
              <w:tl2br w:val="nil"/>
              <w:tr2bl w:val="nil"/>
            </w:tcBorders>
            <w:noWrap w:val="0"/>
            <w:vAlign w:val="center"/>
          </w:tcPr>
          <w:p>
            <w:pPr>
              <w:pStyle w:val="28"/>
              <w:suppressLineNumbers w:val="0"/>
              <w:bidi w:val="0"/>
              <w:spacing w:before="0" w:after="0"/>
              <w:ind w:left="0" w:right="0"/>
            </w:pPr>
            <w:r>
              <w:t>84</w:t>
            </w:r>
          </w:p>
        </w:tc>
        <w:tc>
          <w:tcPr>
            <w:tcW w:w="669" w:type="dxa"/>
            <w:tcBorders>
              <w:tl2br w:val="nil"/>
              <w:tr2bl w:val="nil"/>
            </w:tcBorders>
            <w:noWrap w:val="0"/>
            <w:vAlign w:val="center"/>
          </w:tcPr>
          <w:p>
            <w:pPr>
              <w:pStyle w:val="28"/>
              <w:suppressLineNumbers w:val="0"/>
              <w:bidi w:val="0"/>
              <w:spacing w:before="0" w:after="0"/>
              <w:ind w:left="0" w:right="0"/>
            </w:pPr>
            <w:r>
              <w:t>70</w:t>
            </w:r>
          </w:p>
        </w:tc>
        <w:tc>
          <w:tcPr>
            <w:tcW w:w="715" w:type="dxa"/>
            <w:tcBorders>
              <w:tl2br w:val="nil"/>
              <w:tr2bl w:val="nil"/>
            </w:tcBorders>
            <w:noWrap w:val="0"/>
            <w:vAlign w:val="center"/>
          </w:tcPr>
          <w:p>
            <w:pPr>
              <w:pStyle w:val="28"/>
              <w:suppressLineNumbers w:val="0"/>
              <w:bidi w:val="0"/>
              <w:spacing w:before="0" w:after="0"/>
              <w:ind w:left="0" w:right="0"/>
            </w:pPr>
            <w:r>
              <w:t>64</w:t>
            </w:r>
          </w:p>
        </w:tc>
        <w:tc>
          <w:tcPr>
            <w:tcW w:w="717" w:type="dxa"/>
            <w:tcBorders>
              <w:tl2br w:val="nil"/>
              <w:tr2bl w:val="nil"/>
            </w:tcBorders>
            <w:noWrap w:val="0"/>
            <w:vAlign w:val="center"/>
          </w:tcPr>
          <w:p>
            <w:pPr>
              <w:pStyle w:val="28"/>
              <w:suppressLineNumbers w:val="0"/>
              <w:bidi w:val="0"/>
              <w:spacing w:before="0" w:after="0"/>
              <w:ind w:left="0" w:right="0"/>
            </w:pPr>
            <w:r>
              <w:t>61</w:t>
            </w:r>
          </w:p>
        </w:tc>
        <w:tc>
          <w:tcPr>
            <w:tcW w:w="715" w:type="dxa"/>
            <w:tcBorders>
              <w:tl2br w:val="nil"/>
              <w:tr2bl w:val="nil"/>
            </w:tcBorders>
            <w:noWrap w:val="0"/>
            <w:vAlign w:val="center"/>
          </w:tcPr>
          <w:p>
            <w:pPr>
              <w:pStyle w:val="28"/>
              <w:suppressLineNumbers w:val="0"/>
              <w:bidi w:val="0"/>
              <w:spacing w:before="0" w:after="0"/>
              <w:ind w:left="0" w:right="0"/>
            </w:pPr>
            <w:r>
              <w:t>58</w:t>
            </w:r>
          </w:p>
        </w:tc>
        <w:tc>
          <w:tcPr>
            <w:tcW w:w="717" w:type="dxa"/>
            <w:tcBorders>
              <w:tl2br w:val="nil"/>
              <w:tr2bl w:val="nil"/>
            </w:tcBorders>
            <w:noWrap w:val="0"/>
            <w:vAlign w:val="center"/>
          </w:tcPr>
          <w:p>
            <w:pPr>
              <w:pStyle w:val="28"/>
              <w:suppressLineNumbers w:val="0"/>
              <w:bidi w:val="0"/>
              <w:spacing w:before="0" w:after="0"/>
              <w:ind w:left="0" w:right="0"/>
            </w:pPr>
            <w:r>
              <w:t>56</w:t>
            </w:r>
          </w:p>
        </w:tc>
        <w:tc>
          <w:tcPr>
            <w:tcW w:w="715" w:type="dxa"/>
            <w:tcBorders>
              <w:tl2br w:val="nil"/>
              <w:tr2bl w:val="nil"/>
            </w:tcBorders>
            <w:noWrap w:val="0"/>
            <w:vAlign w:val="center"/>
          </w:tcPr>
          <w:p>
            <w:pPr>
              <w:pStyle w:val="28"/>
              <w:suppressLineNumbers w:val="0"/>
              <w:bidi w:val="0"/>
              <w:spacing w:before="0" w:after="0"/>
              <w:ind w:left="0" w:right="0"/>
            </w:pPr>
            <w:r>
              <w:t>54</w:t>
            </w:r>
          </w:p>
        </w:tc>
        <w:tc>
          <w:tcPr>
            <w:tcW w:w="717" w:type="dxa"/>
            <w:tcBorders>
              <w:tl2br w:val="nil"/>
              <w:tr2bl w:val="nil"/>
            </w:tcBorders>
            <w:noWrap w:val="0"/>
            <w:vAlign w:val="center"/>
          </w:tcPr>
          <w:p>
            <w:pPr>
              <w:pStyle w:val="28"/>
              <w:suppressLineNumbers w:val="0"/>
              <w:bidi w:val="0"/>
              <w:spacing w:before="0" w:after="0"/>
              <w:ind w:left="0" w:right="0"/>
            </w:pPr>
            <w:r>
              <w:t>52</w:t>
            </w:r>
          </w:p>
        </w:tc>
        <w:tc>
          <w:tcPr>
            <w:tcW w:w="715" w:type="dxa"/>
            <w:tcBorders>
              <w:tl2br w:val="nil"/>
              <w:tr2bl w:val="nil"/>
            </w:tcBorders>
            <w:noWrap w:val="0"/>
            <w:vAlign w:val="center"/>
          </w:tcPr>
          <w:p>
            <w:pPr>
              <w:pStyle w:val="28"/>
              <w:suppressLineNumbers w:val="0"/>
              <w:bidi w:val="0"/>
              <w:spacing w:before="0" w:after="0"/>
              <w:ind w:left="0" w:right="0"/>
            </w:pPr>
            <w:r>
              <w:t>51</w:t>
            </w:r>
          </w:p>
        </w:tc>
        <w:tc>
          <w:tcPr>
            <w:tcW w:w="718" w:type="dxa"/>
            <w:tcBorders>
              <w:tl2br w:val="nil"/>
              <w:tr2bl w:val="nil"/>
            </w:tcBorders>
            <w:noWrap w:val="0"/>
            <w:vAlign w:val="center"/>
          </w:tcPr>
          <w:p>
            <w:pPr>
              <w:pStyle w:val="28"/>
              <w:suppressLineNumbers w:val="0"/>
              <w:bidi w:val="0"/>
              <w:spacing w:before="0" w:after="0"/>
              <w:ind w:left="0" w:right="0"/>
            </w:pPr>
            <w:r>
              <w:t>49</w:t>
            </w:r>
          </w:p>
        </w:tc>
        <w:tc>
          <w:tcPr>
            <w:tcW w:w="749" w:type="dxa"/>
            <w:tcBorders>
              <w:tl2br w:val="nil"/>
              <w:tr2bl w:val="nil"/>
            </w:tcBorders>
            <w:noWrap w:val="0"/>
            <w:vAlign w:val="center"/>
          </w:tcPr>
          <w:p>
            <w:pPr>
              <w:pStyle w:val="28"/>
              <w:suppressLineNumbers w:val="0"/>
              <w:bidi w:val="0"/>
              <w:spacing w:before="0" w:after="0"/>
              <w:ind w:left="0" w:right="0"/>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运输车辆</w:t>
            </w:r>
          </w:p>
        </w:tc>
        <w:tc>
          <w:tcPr>
            <w:tcW w:w="669" w:type="dxa"/>
            <w:tcBorders>
              <w:tl2br w:val="nil"/>
              <w:tr2bl w:val="nil"/>
            </w:tcBorders>
            <w:noWrap w:val="0"/>
            <w:vAlign w:val="center"/>
          </w:tcPr>
          <w:p>
            <w:pPr>
              <w:pStyle w:val="28"/>
              <w:suppressLineNumbers w:val="0"/>
              <w:bidi w:val="0"/>
              <w:spacing w:before="0" w:after="0"/>
              <w:ind w:left="0" w:right="0"/>
            </w:pPr>
            <w:r>
              <w:t>84</w:t>
            </w:r>
          </w:p>
        </w:tc>
        <w:tc>
          <w:tcPr>
            <w:tcW w:w="669" w:type="dxa"/>
            <w:tcBorders>
              <w:tl2br w:val="nil"/>
              <w:tr2bl w:val="nil"/>
            </w:tcBorders>
            <w:noWrap w:val="0"/>
            <w:vAlign w:val="center"/>
          </w:tcPr>
          <w:p>
            <w:pPr>
              <w:pStyle w:val="28"/>
              <w:suppressLineNumbers w:val="0"/>
              <w:bidi w:val="0"/>
              <w:spacing w:before="0" w:after="0"/>
              <w:ind w:left="0" w:right="0"/>
            </w:pPr>
            <w:r>
              <w:t>70</w:t>
            </w:r>
          </w:p>
        </w:tc>
        <w:tc>
          <w:tcPr>
            <w:tcW w:w="715" w:type="dxa"/>
            <w:tcBorders>
              <w:tl2br w:val="nil"/>
              <w:tr2bl w:val="nil"/>
            </w:tcBorders>
            <w:noWrap w:val="0"/>
            <w:vAlign w:val="center"/>
          </w:tcPr>
          <w:p>
            <w:pPr>
              <w:pStyle w:val="28"/>
              <w:suppressLineNumbers w:val="0"/>
              <w:bidi w:val="0"/>
              <w:spacing w:before="0" w:after="0"/>
              <w:ind w:left="0" w:right="0"/>
            </w:pPr>
            <w:r>
              <w:t>64</w:t>
            </w:r>
          </w:p>
        </w:tc>
        <w:tc>
          <w:tcPr>
            <w:tcW w:w="717" w:type="dxa"/>
            <w:tcBorders>
              <w:tl2br w:val="nil"/>
              <w:tr2bl w:val="nil"/>
            </w:tcBorders>
            <w:noWrap w:val="0"/>
            <w:vAlign w:val="center"/>
          </w:tcPr>
          <w:p>
            <w:pPr>
              <w:pStyle w:val="28"/>
              <w:suppressLineNumbers w:val="0"/>
              <w:bidi w:val="0"/>
              <w:spacing w:before="0" w:after="0"/>
              <w:ind w:left="0" w:right="0"/>
            </w:pPr>
            <w:r>
              <w:t>61</w:t>
            </w:r>
          </w:p>
        </w:tc>
        <w:tc>
          <w:tcPr>
            <w:tcW w:w="715" w:type="dxa"/>
            <w:tcBorders>
              <w:tl2br w:val="nil"/>
              <w:tr2bl w:val="nil"/>
            </w:tcBorders>
            <w:noWrap w:val="0"/>
            <w:vAlign w:val="center"/>
          </w:tcPr>
          <w:p>
            <w:pPr>
              <w:pStyle w:val="28"/>
              <w:suppressLineNumbers w:val="0"/>
              <w:bidi w:val="0"/>
              <w:spacing w:before="0" w:after="0"/>
              <w:ind w:left="0" w:right="0"/>
            </w:pPr>
            <w:r>
              <w:t>58</w:t>
            </w:r>
          </w:p>
        </w:tc>
        <w:tc>
          <w:tcPr>
            <w:tcW w:w="717" w:type="dxa"/>
            <w:tcBorders>
              <w:tl2br w:val="nil"/>
              <w:tr2bl w:val="nil"/>
            </w:tcBorders>
            <w:noWrap w:val="0"/>
            <w:vAlign w:val="center"/>
          </w:tcPr>
          <w:p>
            <w:pPr>
              <w:pStyle w:val="28"/>
              <w:suppressLineNumbers w:val="0"/>
              <w:bidi w:val="0"/>
              <w:spacing w:before="0" w:after="0"/>
              <w:ind w:left="0" w:right="0"/>
            </w:pPr>
            <w:r>
              <w:t>56</w:t>
            </w:r>
          </w:p>
        </w:tc>
        <w:tc>
          <w:tcPr>
            <w:tcW w:w="715" w:type="dxa"/>
            <w:tcBorders>
              <w:tl2br w:val="nil"/>
              <w:tr2bl w:val="nil"/>
            </w:tcBorders>
            <w:noWrap w:val="0"/>
            <w:vAlign w:val="center"/>
          </w:tcPr>
          <w:p>
            <w:pPr>
              <w:pStyle w:val="28"/>
              <w:suppressLineNumbers w:val="0"/>
              <w:bidi w:val="0"/>
              <w:spacing w:before="0" w:after="0"/>
              <w:ind w:left="0" w:right="0"/>
            </w:pPr>
            <w:r>
              <w:t>54</w:t>
            </w:r>
          </w:p>
        </w:tc>
        <w:tc>
          <w:tcPr>
            <w:tcW w:w="717" w:type="dxa"/>
            <w:tcBorders>
              <w:tl2br w:val="nil"/>
              <w:tr2bl w:val="nil"/>
            </w:tcBorders>
            <w:noWrap w:val="0"/>
            <w:vAlign w:val="center"/>
          </w:tcPr>
          <w:p>
            <w:pPr>
              <w:pStyle w:val="28"/>
              <w:suppressLineNumbers w:val="0"/>
              <w:bidi w:val="0"/>
              <w:spacing w:before="0" w:after="0"/>
              <w:ind w:left="0" w:right="0"/>
            </w:pPr>
            <w:r>
              <w:t>52</w:t>
            </w:r>
          </w:p>
        </w:tc>
        <w:tc>
          <w:tcPr>
            <w:tcW w:w="715" w:type="dxa"/>
            <w:tcBorders>
              <w:tl2br w:val="nil"/>
              <w:tr2bl w:val="nil"/>
            </w:tcBorders>
            <w:noWrap w:val="0"/>
            <w:vAlign w:val="center"/>
          </w:tcPr>
          <w:p>
            <w:pPr>
              <w:pStyle w:val="28"/>
              <w:suppressLineNumbers w:val="0"/>
              <w:bidi w:val="0"/>
              <w:spacing w:before="0" w:after="0"/>
              <w:ind w:left="0" w:right="0"/>
            </w:pPr>
            <w:r>
              <w:t>51</w:t>
            </w:r>
          </w:p>
        </w:tc>
        <w:tc>
          <w:tcPr>
            <w:tcW w:w="718" w:type="dxa"/>
            <w:tcBorders>
              <w:tl2br w:val="nil"/>
              <w:tr2bl w:val="nil"/>
            </w:tcBorders>
            <w:noWrap w:val="0"/>
            <w:vAlign w:val="center"/>
          </w:tcPr>
          <w:p>
            <w:pPr>
              <w:pStyle w:val="28"/>
              <w:suppressLineNumbers w:val="0"/>
              <w:bidi w:val="0"/>
              <w:spacing w:before="0" w:after="0"/>
              <w:ind w:left="0" w:right="0"/>
            </w:pPr>
            <w:r>
              <w:t>49</w:t>
            </w:r>
          </w:p>
        </w:tc>
        <w:tc>
          <w:tcPr>
            <w:tcW w:w="749" w:type="dxa"/>
            <w:tcBorders>
              <w:tl2br w:val="nil"/>
              <w:tr2bl w:val="nil"/>
            </w:tcBorders>
            <w:noWrap w:val="0"/>
            <w:vAlign w:val="center"/>
          </w:tcPr>
          <w:p>
            <w:pPr>
              <w:pStyle w:val="28"/>
              <w:suppressLineNumbers w:val="0"/>
              <w:bidi w:val="0"/>
              <w:spacing w:before="0" w:after="0"/>
              <w:ind w:left="0" w:right="0"/>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塔吊</w:t>
            </w:r>
          </w:p>
        </w:tc>
        <w:tc>
          <w:tcPr>
            <w:tcW w:w="669" w:type="dxa"/>
            <w:tcBorders>
              <w:tl2br w:val="nil"/>
              <w:tr2bl w:val="nil"/>
            </w:tcBorders>
            <w:noWrap w:val="0"/>
            <w:vAlign w:val="center"/>
          </w:tcPr>
          <w:p>
            <w:pPr>
              <w:pStyle w:val="28"/>
              <w:suppressLineNumbers w:val="0"/>
              <w:bidi w:val="0"/>
              <w:spacing w:before="0" w:after="0"/>
              <w:ind w:left="0" w:right="0"/>
            </w:pPr>
            <w:r>
              <w:t>82</w:t>
            </w:r>
          </w:p>
        </w:tc>
        <w:tc>
          <w:tcPr>
            <w:tcW w:w="669" w:type="dxa"/>
            <w:tcBorders>
              <w:tl2br w:val="nil"/>
              <w:tr2bl w:val="nil"/>
            </w:tcBorders>
            <w:noWrap w:val="0"/>
            <w:vAlign w:val="center"/>
          </w:tcPr>
          <w:p>
            <w:pPr>
              <w:pStyle w:val="28"/>
              <w:suppressLineNumbers w:val="0"/>
              <w:bidi w:val="0"/>
              <w:spacing w:before="0" w:after="0"/>
              <w:ind w:left="0" w:right="0"/>
            </w:pPr>
            <w:r>
              <w:t>68</w:t>
            </w:r>
          </w:p>
        </w:tc>
        <w:tc>
          <w:tcPr>
            <w:tcW w:w="715" w:type="dxa"/>
            <w:tcBorders>
              <w:tl2br w:val="nil"/>
              <w:tr2bl w:val="nil"/>
            </w:tcBorders>
            <w:noWrap w:val="0"/>
            <w:vAlign w:val="center"/>
          </w:tcPr>
          <w:p>
            <w:pPr>
              <w:pStyle w:val="28"/>
              <w:suppressLineNumbers w:val="0"/>
              <w:bidi w:val="0"/>
              <w:spacing w:before="0" w:after="0"/>
              <w:ind w:left="0" w:right="0"/>
            </w:pPr>
            <w:r>
              <w:t>62</w:t>
            </w:r>
          </w:p>
        </w:tc>
        <w:tc>
          <w:tcPr>
            <w:tcW w:w="717" w:type="dxa"/>
            <w:tcBorders>
              <w:tl2br w:val="nil"/>
              <w:tr2bl w:val="nil"/>
            </w:tcBorders>
            <w:noWrap w:val="0"/>
            <w:vAlign w:val="center"/>
          </w:tcPr>
          <w:p>
            <w:pPr>
              <w:pStyle w:val="28"/>
              <w:suppressLineNumbers w:val="0"/>
              <w:bidi w:val="0"/>
              <w:spacing w:before="0" w:after="0"/>
              <w:ind w:left="0" w:right="0"/>
            </w:pPr>
            <w:r>
              <w:t>59</w:t>
            </w:r>
          </w:p>
        </w:tc>
        <w:tc>
          <w:tcPr>
            <w:tcW w:w="715" w:type="dxa"/>
            <w:tcBorders>
              <w:tl2br w:val="nil"/>
              <w:tr2bl w:val="nil"/>
            </w:tcBorders>
            <w:noWrap w:val="0"/>
            <w:vAlign w:val="center"/>
          </w:tcPr>
          <w:p>
            <w:pPr>
              <w:pStyle w:val="28"/>
              <w:suppressLineNumbers w:val="0"/>
              <w:bidi w:val="0"/>
              <w:spacing w:before="0" w:after="0"/>
              <w:ind w:left="0" w:right="0"/>
            </w:pPr>
            <w:r>
              <w:t>56</w:t>
            </w:r>
          </w:p>
        </w:tc>
        <w:tc>
          <w:tcPr>
            <w:tcW w:w="717" w:type="dxa"/>
            <w:tcBorders>
              <w:tl2br w:val="nil"/>
              <w:tr2bl w:val="nil"/>
            </w:tcBorders>
            <w:noWrap w:val="0"/>
            <w:vAlign w:val="center"/>
          </w:tcPr>
          <w:p>
            <w:pPr>
              <w:pStyle w:val="28"/>
              <w:suppressLineNumbers w:val="0"/>
              <w:bidi w:val="0"/>
              <w:spacing w:before="0" w:after="0"/>
              <w:ind w:left="0" w:right="0"/>
            </w:pPr>
            <w:r>
              <w:t>54</w:t>
            </w:r>
          </w:p>
        </w:tc>
        <w:tc>
          <w:tcPr>
            <w:tcW w:w="715" w:type="dxa"/>
            <w:tcBorders>
              <w:tl2br w:val="nil"/>
              <w:tr2bl w:val="nil"/>
            </w:tcBorders>
            <w:noWrap w:val="0"/>
            <w:vAlign w:val="center"/>
          </w:tcPr>
          <w:p>
            <w:pPr>
              <w:pStyle w:val="28"/>
              <w:suppressLineNumbers w:val="0"/>
              <w:bidi w:val="0"/>
              <w:spacing w:before="0" w:after="0"/>
              <w:ind w:left="0" w:right="0"/>
            </w:pPr>
            <w:r>
              <w:t>52</w:t>
            </w:r>
          </w:p>
        </w:tc>
        <w:tc>
          <w:tcPr>
            <w:tcW w:w="717" w:type="dxa"/>
            <w:tcBorders>
              <w:tl2br w:val="nil"/>
              <w:tr2bl w:val="nil"/>
            </w:tcBorders>
            <w:noWrap w:val="0"/>
            <w:vAlign w:val="center"/>
          </w:tcPr>
          <w:p>
            <w:pPr>
              <w:pStyle w:val="28"/>
              <w:suppressLineNumbers w:val="0"/>
              <w:bidi w:val="0"/>
              <w:spacing w:before="0" w:after="0"/>
              <w:ind w:left="0" w:right="0"/>
            </w:pPr>
            <w:r>
              <w:t>50</w:t>
            </w:r>
          </w:p>
        </w:tc>
        <w:tc>
          <w:tcPr>
            <w:tcW w:w="715" w:type="dxa"/>
            <w:tcBorders>
              <w:tl2br w:val="nil"/>
              <w:tr2bl w:val="nil"/>
            </w:tcBorders>
            <w:noWrap w:val="0"/>
            <w:vAlign w:val="center"/>
          </w:tcPr>
          <w:p>
            <w:pPr>
              <w:pStyle w:val="28"/>
              <w:suppressLineNumbers w:val="0"/>
              <w:bidi w:val="0"/>
              <w:spacing w:before="0" w:after="0"/>
              <w:ind w:left="0" w:right="0"/>
            </w:pPr>
            <w:r>
              <w:t>49</w:t>
            </w:r>
          </w:p>
        </w:tc>
        <w:tc>
          <w:tcPr>
            <w:tcW w:w="718" w:type="dxa"/>
            <w:tcBorders>
              <w:tl2br w:val="nil"/>
              <w:tr2bl w:val="nil"/>
            </w:tcBorders>
            <w:noWrap w:val="0"/>
            <w:vAlign w:val="center"/>
          </w:tcPr>
          <w:p>
            <w:pPr>
              <w:pStyle w:val="28"/>
              <w:suppressLineNumbers w:val="0"/>
              <w:bidi w:val="0"/>
              <w:spacing w:before="0" w:after="0"/>
              <w:ind w:left="0" w:right="0"/>
            </w:pPr>
            <w:r>
              <w:t>47</w:t>
            </w:r>
          </w:p>
        </w:tc>
        <w:tc>
          <w:tcPr>
            <w:tcW w:w="749" w:type="dxa"/>
            <w:tcBorders>
              <w:tl2br w:val="nil"/>
              <w:tr2bl w:val="nil"/>
            </w:tcBorders>
            <w:noWrap w:val="0"/>
            <w:vAlign w:val="center"/>
          </w:tcPr>
          <w:p>
            <w:pPr>
              <w:pStyle w:val="28"/>
              <w:suppressLineNumbers w:val="0"/>
              <w:bidi w:val="0"/>
              <w:spacing w:before="0" w:after="0"/>
              <w:ind w:left="0" w:right="0"/>
            </w:pPr>
            <w: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2" w:type="dxa"/>
            <w:vMerge w:val="continue"/>
            <w:tcBorders>
              <w:tl2br w:val="nil"/>
              <w:tr2bl w:val="nil"/>
            </w:tcBorders>
            <w:noWrap w:val="0"/>
            <w:vAlign w:val="center"/>
          </w:tcPr>
          <w:p>
            <w:pPr>
              <w:pStyle w:val="28"/>
              <w:suppressLineNumbers w:val="0"/>
              <w:bidi w:val="0"/>
              <w:spacing w:before="0" w:after="0"/>
              <w:ind w:left="0" w:right="0"/>
              <w:outlineLvl w:val="9"/>
            </w:pPr>
          </w:p>
        </w:tc>
        <w:tc>
          <w:tcPr>
            <w:tcW w:w="1158" w:type="dxa"/>
            <w:tcBorders>
              <w:tl2br w:val="nil"/>
              <w:tr2bl w:val="nil"/>
            </w:tcBorders>
            <w:noWrap w:val="0"/>
            <w:vAlign w:val="center"/>
          </w:tcPr>
          <w:p>
            <w:pPr>
              <w:pStyle w:val="28"/>
              <w:suppressLineNumbers w:val="0"/>
              <w:bidi w:val="0"/>
              <w:spacing w:before="0" w:after="0"/>
              <w:ind w:left="0" w:right="0"/>
            </w:pPr>
            <w:r>
              <w:t>电锯</w:t>
            </w:r>
          </w:p>
        </w:tc>
        <w:tc>
          <w:tcPr>
            <w:tcW w:w="669" w:type="dxa"/>
            <w:tcBorders>
              <w:tl2br w:val="nil"/>
              <w:tr2bl w:val="nil"/>
            </w:tcBorders>
            <w:noWrap w:val="0"/>
            <w:vAlign w:val="center"/>
          </w:tcPr>
          <w:p>
            <w:pPr>
              <w:pStyle w:val="28"/>
              <w:suppressLineNumbers w:val="0"/>
              <w:bidi w:val="0"/>
              <w:spacing w:before="0" w:after="0"/>
              <w:ind w:left="0" w:right="0"/>
            </w:pPr>
            <w:r>
              <w:t>84</w:t>
            </w:r>
          </w:p>
        </w:tc>
        <w:tc>
          <w:tcPr>
            <w:tcW w:w="669" w:type="dxa"/>
            <w:tcBorders>
              <w:tl2br w:val="nil"/>
              <w:tr2bl w:val="nil"/>
            </w:tcBorders>
            <w:noWrap w:val="0"/>
            <w:vAlign w:val="center"/>
          </w:tcPr>
          <w:p>
            <w:pPr>
              <w:pStyle w:val="28"/>
              <w:suppressLineNumbers w:val="0"/>
              <w:bidi w:val="0"/>
              <w:spacing w:before="0" w:after="0"/>
              <w:ind w:left="0" w:right="0"/>
            </w:pPr>
            <w:r>
              <w:t>70</w:t>
            </w:r>
          </w:p>
        </w:tc>
        <w:tc>
          <w:tcPr>
            <w:tcW w:w="715" w:type="dxa"/>
            <w:tcBorders>
              <w:tl2br w:val="nil"/>
              <w:tr2bl w:val="nil"/>
            </w:tcBorders>
            <w:noWrap w:val="0"/>
            <w:vAlign w:val="center"/>
          </w:tcPr>
          <w:p>
            <w:pPr>
              <w:pStyle w:val="28"/>
              <w:suppressLineNumbers w:val="0"/>
              <w:bidi w:val="0"/>
              <w:spacing w:before="0" w:after="0"/>
              <w:ind w:left="0" w:right="0"/>
            </w:pPr>
            <w:r>
              <w:t>64</w:t>
            </w:r>
          </w:p>
        </w:tc>
        <w:tc>
          <w:tcPr>
            <w:tcW w:w="717" w:type="dxa"/>
            <w:tcBorders>
              <w:tl2br w:val="nil"/>
              <w:tr2bl w:val="nil"/>
            </w:tcBorders>
            <w:noWrap w:val="0"/>
            <w:vAlign w:val="center"/>
          </w:tcPr>
          <w:p>
            <w:pPr>
              <w:pStyle w:val="28"/>
              <w:suppressLineNumbers w:val="0"/>
              <w:bidi w:val="0"/>
              <w:spacing w:before="0" w:after="0"/>
              <w:ind w:left="0" w:right="0"/>
            </w:pPr>
            <w:r>
              <w:t>61</w:t>
            </w:r>
          </w:p>
        </w:tc>
        <w:tc>
          <w:tcPr>
            <w:tcW w:w="715" w:type="dxa"/>
            <w:tcBorders>
              <w:tl2br w:val="nil"/>
              <w:tr2bl w:val="nil"/>
            </w:tcBorders>
            <w:noWrap w:val="0"/>
            <w:vAlign w:val="center"/>
          </w:tcPr>
          <w:p>
            <w:pPr>
              <w:pStyle w:val="28"/>
              <w:suppressLineNumbers w:val="0"/>
              <w:bidi w:val="0"/>
              <w:spacing w:before="0" w:after="0"/>
              <w:ind w:left="0" w:right="0"/>
            </w:pPr>
            <w:r>
              <w:t>58</w:t>
            </w:r>
          </w:p>
        </w:tc>
        <w:tc>
          <w:tcPr>
            <w:tcW w:w="717" w:type="dxa"/>
            <w:tcBorders>
              <w:tl2br w:val="nil"/>
              <w:tr2bl w:val="nil"/>
            </w:tcBorders>
            <w:noWrap w:val="0"/>
            <w:vAlign w:val="center"/>
          </w:tcPr>
          <w:p>
            <w:pPr>
              <w:pStyle w:val="28"/>
              <w:suppressLineNumbers w:val="0"/>
              <w:bidi w:val="0"/>
              <w:spacing w:before="0" w:after="0"/>
              <w:ind w:left="0" w:right="0"/>
            </w:pPr>
            <w:r>
              <w:t>56</w:t>
            </w:r>
          </w:p>
        </w:tc>
        <w:tc>
          <w:tcPr>
            <w:tcW w:w="715" w:type="dxa"/>
            <w:tcBorders>
              <w:tl2br w:val="nil"/>
              <w:tr2bl w:val="nil"/>
            </w:tcBorders>
            <w:noWrap w:val="0"/>
            <w:vAlign w:val="center"/>
          </w:tcPr>
          <w:p>
            <w:pPr>
              <w:pStyle w:val="28"/>
              <w:suppressLineNumbers w:val="0"/>
              <w:bidi w:val="0"/>
              <w:spacing w:before="0" w:after="0"/>
              <w:ind w:left="0" w:right="0"/>
            </w:pPr>
            <w:r>
              <w:t>54</w:t>
            </w:r>
          </w:p>
        </w:tc>
        <w:tc>
          <w:tcPr>
            <w:tcW w:w="717" w:type="dxa"/>
            <w:tcBorders>
              <w:tl2br w:val="nil"/>
              <w:tr2bl w:val="nil"/>
            </w:tcBorders>
            <w:noWrap w:val="0"/>
            <w:vAlign w:val="center"/>
          </w:tcPr>
          <w:p>
            <w:pPr>
              <w:pStyle w:val="28"/>
              <w:suppressLineNumbers w:val="0"/>
              <w:bidi w:val="0"/>
              <w:spacing w:before="0" w:after="0"/>
              <w:ind w:left="0" w:right="0"/>
            </w:pPr>
            <w:r>
              <w:t>52</w:t>
            </w:r>
          </w:p>
        </w:tc>
        <w:tc>
          <w:tcPr>
            <w:tcW w:w="715" w:type="dxa"/>
            <w:tcBorders>
              <w:tl2br w:val="nil"/>
              <w:tr2bl w:val="nil"/>
            </w:tcBorders>
            <w:noWrap w:val="0"/>
            <w:vAlign w:val="center"/>
          </w:tcPr>
          <w:p>
            <w:pPr>
              <w:pStyle w:val="28"/>
              <w:suppressLineNumbers w:val="0"/>
              <w:bidi w:val="0"/>
              <w:spacing w:before="0" w:after="0"/>
              <w:ind w:left="0" w:right="0"/>
            </w:pPr>
            <w:r>
              <w:t>51</w:t>
            </w:r>
          </w:p>
        </w:tc>
        <w:tc>
          <w:tcPr>
            <w:tcW w:w="718" w:type="dxa"/>
            <w:tcBorders>
              <w:tl2br w:val="nil"/>
              <w:tr2bl w:val="nil"/>
            </w:tcBorders>
            <w:noWrap w:val="0"/>
            <w:vAlign w:val="center"/>
          </w:tcPr>
          <w:p>
            <w:pPr>
              <w:pStyle w:val="28"/>
              <w:suppressLineNumbers w:val="0"/>
              <w:bidi w:val="0"/>
              <w:spacing w:before="0" w:after="0"/>
              <w:ind w:left="0" w:right="0"/>
            </w:pPr>
            <w:r>
              <w:t>49</w:t>
            </w:r>
          </w:p>
        </w:tc>
        <w:tc>
          <w:tcPr>
            <w:tcW w:w="749" w:type="dxa"/>
            <w:tcBorders>
              <w:tl2br w:val="nil"/>
              <w:tr2bl w:val="nil"/>
            </w:tcBorders>
            <w:noWrap w:val="0"/>
            <w:vAlign w:val="center"/>
          </w:tcPr>
          <w:p>
            <w:pPr>
              <w:pStyle w:val="28"/>
              <w:suppressLineNumbers w:val="0"/>
              <w:bidi w:val="0"/>
              <w:spacing w:before="0" w:after="0"/>
              <w:ind w:left="0" w:right="0"/>
            </w:pPr>
            <w:r>
              <w:t>45</w:t>
            </w:r>
          </w:p>
        </w:tc>
      </w:tr>
    </w:tbl>
    <w:p>
      <w:pPr>
        <w:bidi w:val="0"/>
      </w:pPr>
      <w:r>
        <w:t>由上表可以看出，除打桩机影响较大外，其施工过程中的声环境影响相对较小，如果打桩采用液压打桩机噪声影响将大大减小，其它施工机械噪声白天影响范围在50米以内，夜间影响范围在400米以内。</w:t>
      </w:r>
    </w:p>
    <w:p>
      <w:pPr>
        <w:bidi w:val="0"/>
      </w:pPr>
      <w:r>
        <w:t>离本项目</w:t>
      </w:r>
      <w:r>
        <w:rPr>
          <w:rFonts w:hint="eastAsia"/>
        </w:rPr>
        <w:t>最近的噪声敏感点为厂区南侧的</w:t>
      </w:r>
      <w:r>
        <w:rPr>
          <w:rFonts w:hint="eastAsia"/>
          <w:lang w:eastAsia="zh-CN"/>
        </w:rPr>
        <w:t>大丁旺村</w:t>
      </w:r>
      <w:r>
        <w:rPr>
          <w:rFonts w:hint="eastAsia"/>
        </w:rPr>
        <w:t>，距离约为</w:t>
      </w:r>
      <w:r>
        <w:rPr>
          <w:rFonts w:hint="eastAsia"/>
          <w:lang w:val="en-US" w:eastAsia="zh-CN"/>
        </w:rPr>
        <w:t>463</w:t>
      </w:r>
      <w:r>
        <w:rPr>
          <w:rFonts w:hint="eastAsia"/>
        </w:rPr>
        <w:t>m，因此项目白天</w:t>
      </w:r>
      <w:r>
        <w:rPr>
          <w:rFonts w:hint="eastAsia"/>
          <w:lang w:eastAsia="zh-CN"/>
        </w:rPr>
        <w:t>、夜晚</w:t>
      </w:r>
      <w:r>
        <w:rPr>
          <w:rFonts w:hint="eastAsia"/>
        </w:rPr>
        <w:t>施工</w:t>
      </w:r>
      <w:r>
        <w:rPr>
          <w:rFonts w:hint="eastAsia"/>
          <w:lang w:eastAsia="zh-CN"/>
        </w:rPr>
        <w:t>均</w:t>
      </w:r>
      <w:r>
        <w:rPr>
          <w:rFonts w:hint="eastAsia"/>
        </w:rPr>
        <w:t>不会对其产生噪声污染影响。</w:t>
      </w:r>
      <w:r>
        <w:t>为了减小噪声对周围环境的影响需采取一定的措施如合理布局、隔声，合理安排施工时间，加强管理等，建筑施工场界的噪声必须达到GB12523-2011的规定值，除特殊需要作业外(经环保部门批准)，禁止夜间进行产生环境噪声污染的建筑施工。施工期的噪声影响是间歇性的，将随施工结束而消失。</w:t>
      </w:r>
    </w:p>
    <w:p>
      <w:pPr>
        <w:pStyle w:val="5"/>
        <w:bidi w:val="0"/>
      </w:pPr>
      <w:r>
        <w:rPr>
          <w:rFonts w:hint="eastAsia"/>
          <w:lang w:val="en-US" w:eastAsia="zh-CN"/>
        </w:rPr>
        <w:t>5.7.5</w:t>
      </w:r>
      <w:r>
        <w:t>固废环境影响分析</w:t>
      </w:r>
    </w:p>
    <w:p>
      <w:pPr>
        <w:bidi w:val="0"/>
      </w:pPr>
      <w:r>
        <w:t>项目施工过程中，产生的固体废弃物主要是施工时产生的建筑垃圾和施工人员的生活垃圾。施工时建筑垃圾由碎砖头、砂土组成，排放量为</w:t>
      </w:r>
      <w:r>
        <w:rPr>
          <w:rFonts w:hint="eastAsia"/>
          <w:lang w:val="en-US" w:eastAsia="zh-CN"/>
        </w:rPr>
        <w:t>57.75</w:t>
      </w:r>
      <w:r>
        <w:t>t，由施工单位充分利用（如用作回填土、铺路材料等），不会对环境造成任何影响；</w:t>
      </w:r>
      <w:r>
        <w:rPr>
          <w:rFonts w:hint="eastAsia"/>
          <w:lang w:eastAsia="zh-CN"/>
        </w:rPr>
        <w:t>一期、二期</w:t>
      </w:r>
      <w:r>
        <w:t>产生的生活垃圾</w:t>
      </w:r>
      <w:r>
        <w:rPr>
          <w:rFonts w:hint="eastAsia"/>
          <w:lang w:eastAsia="zh-CN"/>
        </w:rPr>
        <w:t>量分别约</w:t>
      </w:r>
      <w:r>
        <w:rPr>
          <w:rFonts w:hint="eastAsia"/>
          <w:lang w:val="en-US" w:eastAsia="zh-CN"/>
        </w:rPr>
        <w:t>18t、9t</w:t>
      </w:r>
      <w:r>
        <w:t>，由环卫部门统一处理，不会对环境造成大的影响。</w:t>
      </w:r>
    </w:p>
    <w:p>
      <w:pPr>
        <w:bidi w:val="0"/>
        <w:rPr>
          <w:rFonts w:hint="default"/>
          <w:lang w:val="en-US" w:eastAsia="zh-CN"/>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3"/>
        <w:bidi w:val="0"/>
        <w:rPr>
          <w:rFonts w:hint="eastAsia" w:eastAsia="宋体"/>
          <w:lang w:val="en-US" w:eastAsia="zh-CN"/>
        </w:rPr>
      </w:pPr>
      <w:bookmarkStart w:id="103" w:name="_Toc25367"/>
      <w:r>
        <w:rPr>
          <w:rFonts w:hint="eastAsia"/>
          <w:lang w:val="en-US" w:eastAsia="zh-CN"/>
        </w:rPr>
        <w:t xml:space="preserve">6 </w:t>
      </w:r>
      <w:r>
        <w:rPr>
          <w:rFonts w:hint="default"/>
        </w:rPr>
        <w:t>环境保护措施及</w:t>
      </w:r>
      <w:r>
        <w:rPr>
          <w:rFonts w:hint="eastAsia"/>
          <w:lang w:eastAsia="zh-CN"/>
        </w:rPr>
        <w:t>其可行性论证</w:t>
      </w:r>
      <w:bookmarkEnd w:id="103"/>
    </w:p>
    <w:p>
      <w:pPr>
        <w:pStyle w:val="4"/>
        <w:bidi w:val="0"/>
        <w:rPr>
          <w:rFonts w:hint="eastAsia"/>
          <w:lang w:val="en-US" w:eastAsia="zh-CN"/>
        </w:rPr>
      </w:pPr>
      <w:bookmarkStart w:id="104" w:name="_Toc22296"/>
      <w:r>
        <w:rPr>
          <w:rFonts w:hint="eastAsia"/>
          <w:lang w:val="en-US" w:eastAsia="zh-CN"/>
        </w:rPr>
        <w:t>6.1 大气环境保护措施及其可行性论证</w:t>
      </w:r>
      <w:bookmarkEnd w:id="104"/>
    </w:p>
    <w:p>
      <w:pPr>
        <w:pStyle w:val="5"/>
        <w:bidi w:val="0"/>
      </w:pPr>
      <w:bookmarkStart w:id="105" w:name="_Toc527394258"/>
      <w:bookmarkStart w:id="106" w:name="_Toc21914_WPSOffice_Level2"/>
      <w:bookmarkStart w:id="107" w:name="_Toc527486992"/>
      <w:r>
        <w:rPr>
          <w:rFonts w:hint="eastAsia"/>
          <w:lang w:val="en-US" w:eastAsia="zh-CN"/>
        </w:rPr>
        <w:t>6.1.1</w:t>
      </w:r>
      <w:r>
        <w:t>有组织废气</w:t>
      </w:r>
      <w:bookmarkEnd w:id="105"/>
      <w:bookmarkEnd w:id="106"/>
      <w:bookmarkEnd w:id="107"/>
    </w:p>
    <w:p>
      <w:pPr>
        <w:pStyle w:val="6"/>
        <w:bidi w:val="0"/>
      </w:pPr>
      <w:r>
        <w:rPr>
          <w:rFonts w:hint="eastAsia"/>
          <w:lang w:val="en-US" w:eastAsia="zh-CN"/>
        </w:rPr>
        <w:t>6.1.1.1</w:t>
      </w:r>
      <w:r>
        <w:t>废气处理工艺选取</w:t>
      </w:r>
    </w:p>
    <w:p>
      <w:pPr>
        <w:bidi w:val="0"/>
      </w:pPr>
      <w:r>
        <w:t>项目废气主要为</w:t>
      </w:r>
      <w:r>
        <w:rPr>
          <w:rFonts w:hint="eastAsia"/>
          <w:lang w:eastAsia="zh-CN"/>
        </w:rPr>
        <w:t>埋弧电煅炉电煅</w:t>
      </w:r>
      <w:r>
        <w:t>过程中产生的</w:t>
      </w:r>
      <w:r>
        <w:rPr>
          <w:rFonts w:hint="eastAsia"/>
          <w:lang w:eastAsia="zh-CN"/>
        </w:rPr>
        <w:t>烟尘</w:t>
      </w:r>
      <w:r>
        <w:t>、二氧化硫、氮氧化物等，以及</w:t>
      </w:r>
      <w:r>
        <w:rPr>
          <w:rFonts w:hint="eastAsia"/>
          <w:lang w:eastAsia="zh-CN"/>
        </w:rPr>
        <w:t>进料、排料、中间包装、半成品仓</w:t>
      </w:r>
      <w:r>
        <w:rPr>
          <w:rFonts w:hint="eastAsia"/>
          <w:lang w:val="en-US" w:eastAsia="zh-CN"/>
        </w:rPr>
        <w:t>2</w:t>
      </w:r>
      <w:r>
        <w:rPr>
          <w:rFonts w:hint="eastAsia"/>
          <w:lang w:eastAsia="zh-CN"/>
        </w:rPr>
        <w:t>、破碎、筛分、包装</w:t>
      </w:r>
      <w:r>
        <w:t>过程中产生的粉尘废气。</w:t>
      </w:r>
    </w:p>
    <w:p>
      <w:pPr>
        <w:bidi w:val="0"/>
      </w:pPr>
      <w:r>
        <w:rPr>
          <w:rFonts w:hint="eastAsia"/>
          <w:lang w:eastAsia="zh-CN"/>
        </w:rPr>
        <w:t>埋弧电煅炉尾气</w:t>
      </w:r>
      <w:r>
        <w:t>中NOx浓度较低，但</w:t>
      </w:r>
      <w:r>
        <w:rPr>
          <w:rFonts w:hint="eastAsia"/>
          <w:lang w:eastAsia="zh-CN"/>
        </w:rPr>
        <w:t>烟尘、</w:t>
      </w:r>
      <w:r>
        <w:t>SO</w:t>
      </w:r>
      <w:r>
        <w:rPr>
          <w:vertAlign w:val="subscript"/>
        </w:rPr>
        <w:t>2</w:t>
      </w:r>
      <w:r>
        <w:t>浓度较高，烟气采用“布袋除尘+氧化钙脱硫（</w:t>
      </w:r>
      <w:r>
        <w:rPr>
          <w:rFonts w:hint="eastAsia"/>
          <w:lang w:eastAsia="zh-CN"/>
        </w:rPr>
        <w:t>二</w:t>
      </w:r>
      <w:r>
        <w:t>级）”处理。</w:t>
      </w:r>
    </w:p>
    <w:p>
      <w:pPr>
        <w:bidi w:val="0"/>
      </w:pPr>
      <w:r>
        <w:t>项目</w:t>
      </w:r>
      <w:r>
        <w:rPr>
          <w:rFonts w:hint="eastAsia"/>
          <w:lang w:eastAsia="zh-CN"/>
        </w:rPr>
        <w:t>进料、排料、中间包装、半成品仓</w:t>
      </w:r>
      <w:r>
        <w:rPr>
          <w:rFonts w:hint="eastAsia"/>
          <w:lang w:val="en-US" w:eastAsia="zh-CN"/>
        </w:rPr>
        <w:t>2</w:t>
      </w:r>
      <w:r>
        <w:rPr>
          <w:rFonts w:hint="eastAsia"/>
          <w:lang w:eastAsia="zh-CN"/>
        </w:rPr>
        <w:t>、破碎、筛分、包装</w:t>
      </w:r>
      <w:r>
        <w:t>过程中产生的粉尘废气经</w:t>
      </w:r>
      <w:r>
        <w:rPr>
          <w:rFonts w:hint="eastAsia"/>
          <w:lang w:eastAsia="zh-CN"/>
        </w:rPr>
        <w:t>集尘罩或管道</w:t>
      </w:r>
      <w:r>
        <w:t>捕集后采用布袋除尘工艺处理，处理措施设置情况见表</w:t>
      </w:r>
      <w:r>
        <w:rPr>
          <w:rFonts w:hint="eastAsia"/>
          <w:lang w:val="en-US" w:eastAsia="zh-CN"/>
        </w:rPr>
        <w:t>6.1.1-1</w:t>
      </w:r>
      <w:r>
        <w:t>。</w:t>
      </w:r>
    </w:p>
    <w:p>
      <w:pPr>
        <w:pStyle w:val="27"/>
        <w:bidi w:val="0"/>
      </w:pPr>
      <w:r>
        <w:t>表</w:t>
      </w:r>
      <w:r>
        <w:rPr>
          <w:rFonts w:hint="eastAsia"/>
          <w:lang w:val="en-US" w:eastAsia="zh-CN"/>
        </w:rPr>
        <w:t>6.1.1-1</w:t>
      </w:r>
      <w:r>
        <w:t xml:space="preserve"> 项目废气处理措施设置情况</w:t>
      </w:r>
    </w:p>
    <w:tbl>
      <w:tblPr>
        <w:tblStyle w:val="21"/>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634"/>
        <w:gridCol w:w="1553"/>
        <w:gridCol w:w="1128"/>
        <w:gridCol w:w="1007"/>
        <w:gridCol w:w="1034"/>
        <w:gridCol w:w="835"/>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noWrap w:val="0"/>
            <w:vAlign w:val="center"/>
          </w:tcPr>
          <w:p>
            <w:pPr>
              <w:pStyle w:val="28"/>
              <w:suppressLineNumbers w:val="0"/>
              <w:bidi w:val="0"/>
              <w:spacing w:before="0" w:after="0"/>
              <w:ind w:left="0" w:right="0"/>
              <w:rPr>
                <w:rFonts w:hint="eastAsia"/>
                <w:lang w:eastAsia="zh-CN"/>
              </w:rPr>
            </w:pPr>
            <w:r>
              <w:rPr>
                <w:rFonts w:hint="eastAsia"/>
                <w:lang w:eastAsia="zh-CN"/>
              </w:rPr>
              <w:t>阶段</w:t>
            </w: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工序</w:t>
            </w:r>
          </w:p>
        </w:tc>
        <w:tc>
          <w:tcPr>
            <w:tcW w:w="782" w:type="pct"/>
            <w:noWrap w:val="0"/>
            <w:vAlign w:val="center"/>
          </w:tcPr>
          <w:p>
            <w:pPr>
              <w:pStyle w:val="28"/>
              <w:suppressLineNumbers w:val="0"/>
              <w:bidi w:val="0"/>
              <w:spacing w:before="0" w:after="0"/>
              <w:ind w:left="0" w:right="0"/>
              <w:rPr>
                <w:rFonts w:hint="eastAsia"/>
                <w:lang w:eastAsia="zh-CN"/>
              </w:rPr>
            </w:pPr>
            <w:r>
              <w:rPr>
                <w:rFonts w:hint="eastAsia"/>
                <w:lang w:eastAsia="zh-CN"/>
              </w:rPr>
              <w:t>场所</w:t>
            </w:r>
          </w:p>
        </w:tc>
        <w:tc>
          <w:tcPr>
            <w:tcW w:w="1075" w:type="pct"/>
            <w:gridSpan w:val="2"/>
            <w:noWrap w:val="0"/>
            <w:vAlign w:val="center"/>
          </w:tcPr>
          <w:p>
            <w:pPr>
              <w:pStyle w:val="28"/>
              <w:suppressLineNumbers w:val="0"/>
              <w:bidi w:val="0"/>
              <w:spacing w:before="0" w:after="0"/>
              <w:ind w:left="0" w:right="0"/>
            </w:pPr>
            <w:r>
              <w:t>废气处理设施名称</w:t>
            </w:r>
          </w:p>
        </w:tc>
        <w:tc>
          <w:tcPr>
            <w:tcW w:w="521" w:type="pct"/>
            <w:noWrap w:val="0"/>
            <w:vAlign w:val="center"/>
          </w:tcPr>
          <w:p>
            <w:pPr>
              <w:pStyle w:val="28"/>
              <w:suppressLineNumbers w:val="0"/>
              <w:bidi w:val="0"/>
              <w:spacing w:before="0" w:after="0"/>
              <w:ind w:left="0" w:right="0"/>
            </w:pPr>
            <w:r>
              <w:t>套数</w:t>
            </w:r>
          </w:p>
        </w:tc>
        <w:tc>
          <w:tcPr>
            <w:tcW w:w="420" w:type="pct"/>
            <w:noWrap w:val="0"/>
            <w:vAlign w:val="center"/>
          </w:tcPr>
          <w:p>
            <w:pPr>
              <w:pStyle w:val="28"/>
              <w:suppressLineNumbers w:val="0"/>
              <w:bidi w:val="0"/>
              <w:spacing w:before="0" w:after="0"/>
              <w:ind w:left="0" w:right="0"/>
            </w:pPr>
            <w:r>
              <w:t>排气筒</w:t>
            </w:r>
          </w:p>
        </w:tc>
        <w:tc>
          <w:tcPr>
            <w:tcW w:w="555" w:type="pct"/>
            <w:noWrap w:val="0"/>
            <w:vAlign w:val="center"/>
          </w:tcPr>
          <w:p>
            <w:pPr>
              <w:pStyle w:val="28"/>
              <w:suppressLineNumbers w:val="0"/>
              <w:bidi w:val="0"/>
              <w:spacing w:before="0" w:after="0"/>
              <w:ind w:left="0" w:right="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进料</w:t>
            </w:r>
          </w:p>
        </w:tc>
        <w:tc>
          <w:tcPr>
            <w:tcW w:w="782"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一车间</w:t>
            </w:r>
          </w:p>
        </w:tc>
        <w:tc>
          <w:tcPr>
            <w:tcW w:w="1075" w:type="pct"/>
            <w:gridSpan w:val="2"/>
            <w:noWrap w:val="0"/>
            <w:vAlign w:val="center"/>
          </w:tcPr>
          <w:p>
            <w:pPr>
              <w:pStyle w:val="28"/>
              <w:suppressLineNumbers w:val="0"/>
              <w:bidi w:val="0"/>
              <w:spacing w:before="0" w:after="0"/>
              <w:ind w:left="0" w:right="0"/>
            </w:pPr>
            <w:r>
              <w:rPr>
                <w:rFonts w:hint="eastAsia"/>
                <w:lang w:eastAsia="zh-CN"/>
              </w:rPr>
              <w:t>集尘罩</w:t>
            </w:r>
            <w:r>
              <w:rPr>
                <w:rFonts w:hint="eastAsia"/>
                <w:lang w:val="en-US" w:eastAsia="zh-CN"/>
              </w:rPr>
              <w:t>+</w:t>
            </w:r>
            <w:r>
              <w:t>布袋除尘</w:t>
            </w:r>
          </w:p>
        </w:tc>
        <w:tc>
          <w:tcPr>
            <w:tcW w:w="521" w:type="pct"/>
            <w:noWrap w:val="0"/>
            <w:vAlign w:val="center"/>
          </w:tcPr>
          <w:p>
            <w:pPr>
              <w:pStyle w:val="28"/>
              <w:suppressLineNumbers w:val="0"/>
              <w:bidi w:val="0"/>
              <w:spacing w:before="0" w:after="0"/>
              <w:ind w:left="0" w:right="0"/>
            </w:pPr>
            <w:r>
              <w:t>1</w:t>
            </w:r>
          </w:p>
        </w:tc>
        <w:tc>
          <w:tcPr>
            <w:tcW w:w="420"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DA001</w:t>
            </w:r>
          </w:p>
        </w:tc>
        <w:tc>
          <w:tcPr>
            <w:tcW w:w="555"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一期、二期共用排气筒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电煅</w:t>
            </w:r>
          </w:p>
        </w:tc>
        <w:tc>
          <w:tcPr>
            <w:tcW w:w="782" w:type="pct"/>
            <w:vMerge w:val="continue"/>
            <w:noWrap w:val="0"/>
            <w:vAlign w:val="center"/>
          </w:tcPr>
          <w:p>
            <w:pPr>
              <w:pStyle w:val="28"/>
              <w:suppressLineNumbers w:val="0"/>
              <w:bidi w:val="0"/>
              <w:spacing w:before="0" w:after="0"/>
              <w:ind w:left="0" w:right="0"/>
              <w:outlineLvl w:val="9"/>
              <w:rPr>
                <w:rFonts w:hint="eastAsia"/>
                <w:lang w:eastAsia="zh-CN"/>
              </w:rPr>
            </w:pPr>
          </w:p>
        </w:tc>
        <w:tc>
          <w:tcPr>
            <w:tcW w:w="1075" w:type="pct"/>
            <w:gridSpan w:val="2"/>
            <w:noWrap w:val="0"/>
            <w:vAlign w:val="center"/>
          </w:tcPr>
          <w:p>
            <w:pPr>
              <w:pStyle w:val="28"/>
              <w:suppressLineNumbers w:val="0"/>
              <w:bidi w:val="0"/>
              <w:spacing w:before="0" w:after="0"/>
              <w:ind w:left="0" w:right="0"/>
              <w:rPr>
                <w:rFonts w:hint="eastAsia" w:eastAsia="宋体"/>
                <w:lang w:eastAsia="zh-CN"/>
              </w:rPr>
            </w:pPr>
            <w:r>
              <w:t>布袋除尘+氧化钙脱硫（</w:t>
            </w:r>
            <w:r>
              <w:rPr>
                <w:rFonts w:hint="eastAsia"/>
                <w:lang w:eastAsia="zh-CN"/>
              </w:rPr>
              <w:t>二</w:t>
            </w:r>
            <w:r>
              <w:t>级</w:t>
            </w:r>
            <w:r>
              <w:rPr>
                <w:rFonts w:hint="eastAsia"/>
                <w:lang w:eastAsia="zh-CN"/>
              </w:rPr>
              <w:t>）</w:t>
            </w: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排料</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507" w:type="pct"/>
            <w:vMerge w:val="restart"/>
            <w:noWrap w:val="0"/>
            <w:vAlign w:val="center"/>
          </w:tcPr>
          <w:p>
            <w:pPr>
              <w:pStyle w:val="28"/>
              <w:suppressLineNumbers w:val="0"/>
              <w:bidi w:val="0"/>
              <w:spacing w:before="0" w:after="0"/>
              <w:ind w:left="0" w:right="0"/>
            </w:pPr>
            <w:r>
              <w:t>布袋除尘</w:t>
            </w: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中间包装</w:t>
            </w:r>
          </w:p>
        </w:tc>
        <w:tc>
          <w:tcPr>
            <w:tcW w:w="782" w:type="pct"/>
            <w:vMerge w:val="continue"/>
            <w:noWrap w:val="0"/>
            <w:vAlign w:val="center"/>
          </w:tcPr>
          <w:p>
            <w:pPr>
              <w:pStyle w:val="28"/>
              <w:suppressLineNumbers w:val="0"/>
              <w:bidi w:val="0"/>
              <w:spacing w:before="0" w:after="0"/>
              <w:ind w:left="0" w:right="0"/>
              <w:outlineLvl w:val="9"/>
              <w:rPr>
                <w:rFonts w:hint="eastAsia"/>
                <w:lang w:eastAsia="zh-CN"/>
              </w:rPr>
            </w:pP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半成品仓</w:t>
            </w:r>
            <w:r>
              <w:rPr>
                <w:rFonts w:hint="eastAsia"/>
                <w:lang w:val="en-US" w:eastAsia="zh-CN"/>
              </w:rPr>
              <w:t>2</w:t>
            </w:r>
          </w:p>
        </w:tc>
        <w:tc>
          <w:tcPr>
            <w:tcW w:w="782"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破碎筛分车间</w:t>
            </w: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507" w:type="pct"/>
            <w:vMerge w:val="continue"/>
            <w:noWrap w:val="0"/>
            <w:vAlign w:val="center"/>
          </w:tcPr>
          <w:p>
            <w:pPr>
              <w:pStyle w:val="28"/>
              <w:suppressLineNumbers w:val="0"/>
              <w:bidi w:val="0"/>
              <w:spacing w:before="0" w:after="0"/>
              <w:ind w:left="0" w:right="0"/>
              <w:outlineLvl w:val="9"/>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包装</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二期</w:t>
            </w: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w:t>
            </w:r>
          </w:p>
        </w:tc>
        <w:tc>
          <w:tcPr>
            <w:tcW w:w="782"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二车间</w:t>
            </w:r>
          </w:p>
        </w:tc>
        <w:tc>
          <w:tcPr>
            <w:tcW w:w="1075" w:type="pct"/>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r>
              <w:rPr>
                <w:rFonts w:hint="eastAsia"/>
                <w:lang w:val="en-US" w:eastAsia="zh-CN"/>
              </w:rPr>
              <w:t>+</w:t>
            </w:r>
            <w:r>
              <w:t>布袋除尘</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782" w:type="pct"/>
            <w:vMerge w:val="continue"/>
            <w:noWrap w:val="0"/>
            <w:vAlign w:val="center"/>
          </w:tcPr>
          <w:p>
            <w:pPr>
              <w:pStyle w:val="28"/>
              <w:suppressLineNumbers w:val="0"/>
              <w:bidi w:val="0"/>
              <w:spacing w:before="0" w:after="0"/>
              <w:ind w:left="0" w:right="0"/>
              <w:outlineLvl w:val="9"/>
            </w:pPr>
          </w:p>
        </w:tc>
        <w:tc>
          <w:tcPr>
            <w:tcW w:w="1075" w:type="pct"/>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r>
              <w:rPr>
                <w:rFonts w:hint="eastAsia"/>
                <w:lang w:eastAsia="zh-CN"/>
              </w:rPr>
              <w:t>）</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排料</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507" w:type="pct"/>
            <w:vMerge w:val="restart"/>
            <w:noWrap w:val="0"/>
            <w:vAlign w:val="center"/>
          </w:tcPr>
          <w:p>
            <w:pPr>
              <w:pStyle w:val="28"/>
              <w:suppressLineNumbers w:val="0"/>
              <w:bidi w:val="0"/>
              <w:spacing w:before="0" w:after="0"/>
              <w:ind w:left="0" w:right="0" w:firstLine="0" w:firstLineChars="0"/>
            </w:pPr>
            <w:r>
              <w:t>布袋除尘</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中间包装</w:t>
            </w:r>
          </w:p>
        </w:tc>
        <w:tc>
          <w:tcPr>
            <w:tcW w:w="782"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破碎筛分车间</w:t>
            </w: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半成品仓</w:t>
            </w:r>
            <w:r>
              <w:rPr>
                <w:rFonts w:hint="eastAsia"/>
                <w:lang w:val="en-US" w:eastAsia="zh-CN"/>
              </w:rPr>
              <w:t>2</w:t>
            </w:r>
          </w:p>
        </w:tc>
        <w:tc>
          <w:tcPr>
            <w:tcW w:w="782" w:type="pct"/>
            <w:vMerge w:val="continue"/>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破碎、筛分</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507" w:type="pct"/>
            <w:vMerge w:val="continue"/>
            <w:noWrap w:val="0"/>
            <w:vAlign w:val="center"/>
          </w:tcPr>
          <w:p>
            <w:pPr>
              <w:pStyle w:val="28"/>
              <w:suppressLineNumbers w:val="0"/>
              <w:bidi w:val="0"/>
              <w:spacing w:before="0" w:after="0"/>
              <w:ind w:left="0" w:right="0" w:firstLine="0" w:firstLineChars="0"/>
              <w:outlineLvl w:val="9"/>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bl>
    <w:p>
      <w:pPr>
        <w:pStyle w:val="6"/>
        <w:bidi w:val="0"/>
      </w:pPr>
      <w:r>
        <w:rPr>
          <w:rFonts w:hint="eastAsia"/>
          <w:lang w:val="en-US" w:eastAsia="zh-CN"/>
        </w:rPr>
        <w:t>6.1.1.2埋弧电煅炉电煅</w:t>
      </w:r>
      <w:r>
        <w:t>废气</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olor w:val="000000"/>
          <w:sz w:val="28"/>
          <w:lang w:eastAsia="zh-CN"/>
        </w:rPr>
        <w:t>电煅</w:t>
      </w:r>
      <w:r>
        <w:rPr>
          <w:rFonts w:ascii="Times New Roman" w:hAnsi="Times New Roman"/>
          <w:color w:val="000000"/>
          <w:sz w:val="28"/>
        </w:rPr>
        <w:t>废气主要成分为</w:t>
      </w:r>
      <w:r>
        <w:rPr>
          <w:rFonts w:hint="eastAsia"/>
          <w:color w:val="000000"/>
          <w:sz w:val="28"/>
          <w:lang w:eastAsia="zh-CN"/>
        </w:rPr>
        <w:t>烟尘</w:t>
      </w:r>
      <w:r>
        <w:rPr>
          <w:rFonts w:ascii="Times New Roman" w:hAnsi="Times New Roman"/>
          <w:color w:val="000000"/>
          <w:sz w:val="28"/>
        </w:rPr>
        <w:t>、二氧化硫、氮氧化物等</w:t>
      </w:r>
      <w:r>
        <w:rPr>
          <w:rFonts w:ascii="Times New Roman" w:hAnsi="Times New Roman"/>
          <w:b/>
          <w:color w:val="000000"/>
          <w:sz w:val="28"/>
        </w:rPr>
        <w:t>，</w:t>
      </w:r>
      <w:r>
        <w:rPr>
          <w:rFonts w:ascii="Times New Roman" w:hAnsi="Times New Roman"/>
          <w:color w:val="000000"/>
          <w:sz w:val="28"/>
        </w:rPr>
        <w:t>尾气中NOx浓度较低，但</w:t>
      </w:r>
      <w:r>
        <w:rPr>
          <w:rFonts w:hint="eastAsia"/>
          <w:color w:val="000000"/>
          <w:sz w:val="28"/>
          <w:lang w:eastAsia="zh-CN"/>
        </w:rPr>
        <w:t>烟尘</w:t>
      </w:r>
      <w:r>
        <w:rPr>
          <w:rFonts w:ascii="Times New Roman" w:hAnsi="Times New Roman"/>
          <w:color w:val="000000"/>
          <w:sz w:val="28"/>
        </w:rPr>
        <w:t>、SO</w:t>
      </w:r>
      <w:r>
        <w:rPr>
          <w:rFonts w:ascii="Times New Roman" w:hAnsi="Times New Roman"/>
          <w:color w:val="000000"/>
          <w:sz w:val="28"/>
          <w:vertAlign w:val="subscript"/>
        </w:rPr>
        <w:t>2</w:t>
      </w:r>
      <w:r>
        <w:rPr>
          <w:rFonts w:ascii="Times New Roman" w:hAnsi="Times New Roman"/>
          <w:color w:val="000000"/>
          <w:sz w:val="28"/>
        </w:rPr>
        <w:t>浓度较高，烟气采用“布袋除尘+氧化钙脱硫（</w:t>
      </w:r>
      <w:r>
        <w:rPr>
          <w:rFonts w:hint="eastAsia" w:ascii="Times New Roman" w:hAnsi="Times New Roman"/>
          <w:color w:val="000000"/>
          <w:sz w:val="28"/>
          <w:lang w:eastAsia="zh-CN"/>
        </w:rPr>
        <w:t>二</w:t>
      </w:r>
      <w:r>
        <w:rPr>
          <w:rFonts w:ascii="Times New Roman" w:hAnsi="Times New Roman"/>
          <w:color w:val="000000"/>
          <w:sz w:val="28"/>
        </w:rPr>
        <w:t>级）”处理。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s="宋体"/>
          <w:color w:val="000000"/>
          <w:sz w:val="28"/>
        </w:rPr>
        <w:t>⑴</w:t>
      </w:r>
      <w:r>
        <w:rPr>
          <w:rFonts w:ascii="Times New Roman" w:hAnsi="Times New Roman"/>
          <w:color w:val="000000"/>
          <w:sz w:val="28"/>
        </w:rPr>
        <w:t>布袋除尘</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ascii="Times New Roman" w:hAnsi="Times New Roman"/>
          <w:color w:val="000000"/>
          <w:sz w:val="28"/>
        </w:rPr>
        <w:t>布袋除尘器是一种干式除尘装置，它适用于捕集细小、干燥非纤维性粉尘。滤袋采用纺织的滤布或非纺织的毡制成，利用纤维织物的过滤作用对含尘气体进行过滤，当含尘气体进入布袋除尘器，颗粒大、比重大的粉尘，由于重力的作用沉降下来 ，落入灰斗，含有较细小粉尘的气体在通过滤料时，粉尘被阻留，使气体得到净化。</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s="宋体"/>
          <w:color w:val="000000"/>
          <w:sz w:val="28"/>
        </w:rPr>
        <w:t>⑵</w:t>
      </w:r>
      <w:r>
        <w:rPr>
          <w:rFonts w:ascii="Times New Roman" w:hAnsi="Times New Roman"/>
          <w:color w:val="000000"/>
          <w:sz w:val="28"/>
        </w:rPr>
        <w:t>氧化钙脱硫</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ascii="Times New Roman" w:hAnsi="Times New Roman"/>
          <w:color w:val="000000"/>
          <w:sz w:val="28"/>
        </w:rPr>
      </w:pPr>
      <w:r>
        <w:rPr>
          <w:rFonts w:ascii="Times New Roman" w:hAnsi="Times New Roman"/>
          <w:color w:val="000000"/>
          <w:sz w:val="28"/>
        </w:rPr>
        <w:t>氧化钙法脱硫的主要化学反应如下：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s="宋体"/>
          <w:color w:val="000000"/>
          <w:sz w:val="28"/>
        </w:rPr>
        <w:t>①</w:t>
      </w:r>
      <w:r>
        <w:rPr>
          <w:rFonts w:ascii="Times New Roman" w:hAnsi="Times New Roman"/>
          <w:color w:val="000000"/>
          <w:sz w:val="28"/>
        </w:rPr>
        <w:t>氧化钙浆液的制备</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CaO（固）+H</w:t>
      </w:r>
      <w:r>
        <w:rPr>
          <w:rFonts w:ascii="Times New Roman" w:hAnsi="Times New Roman"/>
          <w:color w:val="000000"/>
          <w:sz w:val="28"/>
          <w:vertAlign w:val="subscript"/>
        </w:rPr>
        <w:t>2</w:t>
      </w:r>
      <w:r>
        <w:rPr>
          <w:rFonts w:ascii="Times New Roman" w:hAnsi="Times New Roman"/>
          <w:color w:val="000000"/>
          <w:sz w:val="28"/>
        </w:rPr>
        <w:t>O=Ca(OH)</w:t>
      </w:r>
      <w:r>
        <w:rPr>
          <w:rFonts w:ascii="Times New Roman" w:hAnsi="Times New Roman"/>
          <w:color w:val="000000"/>
          <w:sz w:val="28"/>
          <w:vertAlign w:val="subscript"/>
        </w:rPr>
        <w:t>2</w:t>
      </w:r>
      <w:r>
        <w:rPr>
          <w:rFonts w:ascii="Times New Roman" w:hAnsi="Times New Roman"/>
          <w:color w:val="000000"/>
          <w:sz w:val="28"/>
        </w:rPr>
        <w:t>（固）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Ca(OH)</w:t>
      </w:r>
      <w:r>
        <w:rPr>
          <w:rFonts w:ascii="Times New Roman" w:hAnsi="Times New Roman"/>
          <w:color w:val="000000"/>
          <w:sz w:val="28"/>
          <w:vertAlign w:val="subscript"/>
        </w:rPr>
        <w:t>2</w:t>
      </w:r>
      <w:r>
        <w:rPr>
          <w:rFonts w:ascii="Times New Roman" w:hAnsi="Times New Roman"/>
          <w:color w:val="000000"/>
          <w:sz w:val="28"/>
        </w:rPr>
        <w:t>（固）+H</w:t>
      </w:r>
      <w:r>
        <w:rPr>
          <w:rFonts w:ascii="Times New Roman" w:hAnsi="Times New Roman"/>
          <w:color w:val="000000"/>
          <w:sz w:val="28"/>
          <w:vertAlign w:val="subscript"/>
        </w:rPr>
        <w:t>2</w:t>
      </w:r>
      <w:r>
        <w:rPr>
          <w:rFonts w:ascii="Times New Roman" w:hAnsi="Times New Roman"/>
          <w:color w:val="000000"/>
          <w:sz w:val="28"/>
        </w:rPr>
        <w:t>O=Ca(OH)</w:t>
      </w:r>
      <w:r>
        <w:rPr>
          <w:rFonts w:ascii="Times New Roman" w:hAnsi="Times New Roman"/>
          <w:color w:val="000000"/>
          <w:sz w:val="28"/>
          <w:vertAlign w:val="subscript"/>
        </w:rPr>
        <w:t>2</w:t>
      </w:r>
      <w:r>
        <w:rPr>
          <w:rFonts w:ascii="Times New Roman" w:hAnsi="Times New Roman"/>
          <w:color w:val="000000"/>
          <w:sz w:val="28"/>
        </w:rPr>
        <w:t>（浆液）＋H</w:t>
      </w:r>
      <w:r>
        <w:rPr>
          <w:rFonts w:ascii="Times New Roman" w:hAnsi="Times New Roman"/>
          <w:color w:val="000000"/>
          <w:sz w:val="28"/>
          <w:vertAlign w:val="subscript"/>
        </w:rPr>
        <w:t>2</w:t>
      </w:r>
      <w:r>
        <w:rPr>
          <w:rFonts w:ascii="Times New Roman" w:hAnsi="Times New Roman"/>
          <w:color w:val="000000"/>
          <w:sz w:val="28"/>
        </w:rPr>
        <w:t>O</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Ca(OH)</w:t>
      </w:r>
      <w:r>
        <w:rPr>
          <w:rFonts w:ascii="Times New Roman" w:hAnsi="Times New Roman"/>
          <w:color w:val="000000"/>
          <w:sz w:val="28"/>
          <w:vertAlign w:val="subscript"/>
        </w:rPr>
        <w:t>2</w:t>
      </w:r>
      <w:r>
        <w:rPr>
          <w:rFonts w:ascii="Times New Roman" w:hAnsi="Times New Roman"/>
          <w:color w:val="000000"/>
          <w:sz w:val="28"/>
        </w:rPr>
        <w:t>（浆液）＝Ca</w:t>
      </w:r>
      <w:r>
        <w:rPr>
          <w:rFonts w:ascii="Times New Roman" w:hAnsi="Times New Roman"/>
          <w:color w:val="000000"/>
          <w:sz w:val="28"/>
          <w:vertAlign w:val="superscript"/>
        </w:rPr>
        <w:t>2+</w:t>
      </w:r>
      <w:r>
        <w:rPr>
          <w:rFonts w:ascii="Times New Roman" w:hAnsi="Times New Roman"/>
          <w:color w:val="000000"/>
          <w:sz w:val="28"/>
        </w:rPr>
        <w:t>＋2HO</w:t>
      </w:r>
      <w:r>
        <w:rPr>
          <w:rFonts w:ascii="Times New Roman" w:hAnsi="Times New Roman"/>
          <w:color w:val="000000"/>
          <w:sz w:val="28"/>
          <w:vertAlign w:val="superscript"/>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s="宋体"/>
          <w:color w:val="000000"/>
          <w:sz w:val="28"/>
        </w:rPr>
        <w:t>②</w:t>
      </w:r>
      <w:r>
        <w:rPr>
          <w:rFonts w:ascii="Times New Roman" w:hAnsi="Times New Roman"/>
          <w:color w:val="000000"/>
          <w:sz w:val="28"/>
        </w:rPr>
        <w:t>SO</w:t>
      </w:r>
      <w:r>
        <w:rPr>
          <w:rFonts w:ascii="Times New Roman" w:hAnsi="Times New Roman"/>
          <w:color w:val="000000"/>
          <w:sz w:val="28"/>
          <w:vertAlign w:val="subscript"/>
        </w:rPr>
        <w:t>2</w:t>
      </w:r>
      <w:r>
        <w:rPr>
          <w:rFonts w:ascii="Times New Roman" w:hAnsi="Times New Roman"/>
          <w:color w:val="000000"/>
          <w:sz w:val="28"/>
        </w:rPr>
        <w:t>的吸收</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SO</w:t>
      </w:r>
      <w:r>
        <w:rPr>
          <w:rFonts w:ascii="Times New Roman" w:hAnsi="Times New Roman"/>
          <w:color w:val="000000"/>
          <w:sz w:val="28"/>
          <w:vertAlign w:val="subscript"/>
        </w:rPr>
        <w:t>2</w:t>
      </w:r>
      <w:r>
        <w:rPr>
          <w:rFonts w:ascii="Times New Roman" w:hAnsi="Times New Roman"/>
          <w:color w:val="000000"/>
          <w:sz w:val="28"/>
        </w:rPr>
        <w:t>（气）+H</w:t>
      </w:r>
      <w:r>
        <w:rPr>
          <w:rFonts w:ascii="Times New Roman" w:hAnsi="Times New Roman"/>
          <w:color w:val="000000"/>
          <w:sz w:val="28"/>
          <w:vertAlign w:val="subscript"/>
        </w:rPr>
        <w:t>2</w:t>
      </w:r>
      <w:r>
        <w:rPr>
          <w:rFonts w:ascii="Times New Roman" w:hAnsi="Times New Roman"/>
          <w:color w:val="000000"/>
          <w:sz w:val="28"/>
        </w:rPr>
        <w:t>O=H</w:t>
      </w:r>
      <w:r>
        <w:rPr>
          <w:rFonts w:ascii="Times New Roman" w:hAnsi="Times New Roman"/>
          <w:color w:val="000000"/>
          <w:sz w:val="28"/>
          <w:vertAlign w:val="subscript"/>
        </w:rPr>
        <w:t>2</w:t>
      </w:r>
      <w:r>
        <w:rPr>
          <w:rFonts w:ascii="Times New Roman" w:hAnsi="Times New Roman"/>
          <w:color w:val="000000"/>
          <w:sz w:val="28"/>
        </w:rPr>
        <w:t>SO</w:t>
      </w:r>
      <w:r>
        <w:rPr>
          <w:rFonts w:ascii="Times New Roman" w:hAnsi="Times New Roman"/>
          <w:color w:val="000000"/>
          <w:sz w:val="28"/>
          <w:vertAlign w:val="subscript"/>
        </w:rPr>
        <w:t>3</w:t>
      </w:r>
    </w:p>
    <w:p>
      <w:pPr>
        <w:keepNext w:val="0"/>
        <w:keepLines w:val="0"/>
        <w:pageBreakBefore w:val="0"/>
        <w:widowControl w:val="0"/>
        <w:tabs>
          <w:tab w:val="left" w:pos="3700"/>
        </w:tabs>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H</w:t>
      </w:r>
      <w:r>
        <w:rPr>
          <w:rFonts w:ascii="Times New Roman" w:hAnsi="Times New Roman"/>
          <w:color w:val="000000"/>
          <w:sz w:val="28"/>
          <w:vertAlign w:val="subscript"/>
        </w:rPr>
        <w:t>2</w:t>
      </w:r>
      <w:r>
        <w:rPr>
          <w:rFonts w:ascii="Times New Roman" w:hAnsi="Times New Roman"/>
          <w:color w:val="000000"/>
          <w:sz w:val="28"/>
        </w:rPr>
        <w:t>SO</w:t>
      </w:r>
      <w:r>
        <w:rPr>
          <w:rFonts w:ascii="Times New Roman" w:hAnsi="Times New Roman"/>
          <w:color w:val="000000"/>
          <w:sz w:val="28"/>
          <w:vertAlign w:val="subscript"/>
        </w:rPr>
        <w:t>3</w:t>
      </w:r>
      <w:r>
        <w:rPr>
          <w:rFonts w:ascii="Times New Roman" w:hAnsi="Times New Roman"/>
          <w:color w:val="000000"/>
          <w:sz w:val="28"/>
        </w:rPr>
        <w:t>→H</w:t>
      </w:r>
      <w:r>
        <w:rPr>
          <w:rFonts w:ascii="Times New Roman" w:hAnsi="Times New Roman"/>
          <w:color w:val="000000"/>
          <w:sz w:val="28"/>
          <w:vertAlign w:val="superscript"/>
        </w:rPr>
        <w:t>+</w:t>
      </w:r>
      <w:r>
        <w:rPr>
          <w:rFonts w:ascii="Times New Roman" w:hAnsi="Times New Roman"/>
          <w:color w:val="000000"/>
          <w:sz w:val="28"/>
        </w:rPr>
        <w:t>+HSO</w:t>
      </w:r>
      <w:r>
        <w:rPr>
          <w:rFonts w:ascii="Times New Roman" w:hAnsi="Times New Roman"/>
          <w:color w:val="000000"/>
          <w:sz w:val="28"/>
          <w:vertAlign w:val="superscript"/>
        </w:rPr>
        <w:t>3-</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HSO</w:t>
      </w:r>
      <w:r>
        <w:rPr>
          <w:rFonts w:ascii="Times New Roman" w:hAnsi="Times New Roman"/>
          <w:color w:val="000000"/>
          <w:sz w:val="28"/>
          <w:vertAlign w:val="subscript"/>
        </w:rPr>
        <w:t>3</w:t>
      </w:r>
      <w:r>
        <w:rPr>
          <w:rFonts w:ascii="Times New Roman" w:hAnsi="Times New Roman"/>
          <w:color w:val="000000"/>
          <w:sz w:val="28"/>
        </w:rPr>
        <w:t>-→H</w:t>
      </w:r>
      <w:r>
        <w:rPr>
          <w:rFonts w:ascii="Times New Roman" w:hAnsi="Times New Roman"/>
          <w:color w:val="000000"/>
          <w:sz w:val="28"/>
          <w:vertAlign w:val="superscript"/>
        </w:rPr>
        <w:t>+</w:t>
      </w:r>
      <w:r>
        <w:rPr>
          <w:rFonts w:ascii="Times New Roman" w:hAnsi="Times New Roman"/>
          <w:color w:val="000000"/>
          <w:sz w:val="28"/>
        </w:rPr>
        <w:t>+SO</w:t>
      </w:r>
      <w:r>
        <w:rPr>
          <w:rFonts w:ascii="Times New Roman" w:hAnsi="Times New Roman"/>
          <w:color w:val="000000"/>
          <w:sz w:val="28"/>
          <w:vertAlign w:val="subscript"/>
        </w:rPr>
        <w:t>3</w:t>
      </w:r>
      <w:r>
        <w:rPr>
          <w:rFonts w:ascii="Times New Roman" w:hAnsi="Times New Roman"/>
          <w:color w:val="000000"/>
          <w:sz w:val="28"/>
          <w:vertAlign w:val="superscript"/>
        </w:rPr>
        <w:t>2-</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vertAlign w:val="subscript"/>
        </w:rPr>
      </w:pPr>
      <w:r>
        <w:rPr>
          <w:rFonts w:ascii="Times New Roman" w:hAnsi="Times New Roman"/>
          <w:color w:val="000000"/>
          <w:sz w:val="28"/>
        </w:rPr>
        <w:t>Ca</w:t>
      </w:r>
      <w:r>
        <w:rPr>
          <w:rFonts w:ascii="Times New Roman" w:hAnsi="Times New Roman"/>
          <w:color w:val="000000"/>
          <w:sz w:val="28"/>
          <w:vertAlign w:val="superscript"/>
        </w:rPr>
        <w:t>2+</w:t>
      </w:r>
      <w:r>
        <w:rPr>
          <w:rFonts w:ascii="Times New Roman" w:hAnsi="Times New Roman"/>
          <w:color w:val="000000"/>
          <w:sz w:val="28"/>
        </w:rPr>
        <w:t>+SO</w:t>
      </w:r>
      <w:r>
        <w:rPr>
          <w:rFonts w:ascii="Times New Roman" w:hAnsi="Times New Roman"/>
          <w:color w:val="000000"/>
          <w:sz w:val="28"/>
          <w:vertAlign w:val="subscript"/>
        </w:rPr>
        <w:t>3</w:t>
      </w:r>
      <w:r>
        <w:rPr>
          <w:rFonts w:ascii="Times New Roman" w:hAnsi="Times New Roman"/>
          <w:color w:val="000000"/>
          <w:sz w:val="28"/>
          <w:vertAlign w:val="superscript"/>
        </w:rPr>
        <w:t>2-</w:t>
      </w:r>
      <w:r>
        <w:rPr>
          <w:rFonts w:ascii="Times New Roman" w:hAnsi="Times New Roman"/>
          <w:color w:val="000000"/>
          <w:sz w:val="28"/>
        </w:rPr>
        <w:t>→CaSO</w:t>
      </w:r>
      <w:r>
        <w:rPr>
          <w:rFonts w:ascii="Times New Roman" w:hAnsi="Times New Roman"/>
          <w:color w:val="000000"/>
          <w:sz w:val="28"/>
          <w:vertAlign w:val="subscript"/>
        </w:rPr>
        <w:t>3</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vertAlign w:val="subscript"/>
        </w:rPr>
      </w:pPr>
      <w:r>
        <w:rPr>
          <w:rFonts w:ascii="Times New Roman" w:hAnsi="Times New Roman"/>
          <w:color w:val="000000"/>
          <w:sz w:val="28"/>
        </w:rPr>
        <w:t>SO</w:t>
      </w:r>
      <w:r>
        <w:rPr>
          <w:rFonts w:ascii="Times New Roman" w:hAnsi="Times New Roman"/>
          <w:color w:val="000000"/>
          <w:sz w:val="28"/>
          <w:vertAlign w:val="subscript"/>
        </w:rPr>
        <w:t>2</w:t>
      </w:r>
      <w:r>
        <w:rPr>
          <w:rFonts w:ascii="Times New Roman" w:hAnsi="Times New Roman"/>
          <w:color w:val="000000"/>
          <w:sz w:val="28"/>
        </w:rPr>
        <w:t>+CaSO</w:t>
      </w:r>
      <w:r>
        <w:rPr>
          <w:rFonts w:ascii="Times New Roman" w:hAnsi="Times New Roman"/>
          <w:color w:val="000000"/>
          <w:sz w:val="28"/>
          <w:vertAlign w:val="subscript"/>
        </w:rPr>
        <w:t xml:space="preserve">3 </w:t>
      </w:r>
      <w:r>
        <w:rPr>
          <w:rFonts w:ascii="Times New Roman" w:hAnsi="Times New Roman"/>
          <w:color w:val="000000"/>
          <w:sz w:val="28"/>
        </w:rPr>
        <w:t>+H</w:t>
      </w:r>
      <w:r>
        <w:rPr>
          <w:rFonts w:ascii="Times New Roman" w:hAnsi="Times New Roman"/>
          <w:color w:val="000000"/>
          <w:sz w:val="28"/>
          <w:vertAlign w:val="subscript"/>
        </w:rPr>
        <w:t>2</w:t>
      </w:r>
      <w:r>
        <w:rPr>
          <w:rFonts w:ascii="Times New Roman" w:hAnsi="Times New Roman"/>
          <w:color w:val="000000"/>
          <w:sz w:val="28"/>
        </w:rPr>
        <w:t>O→Ca(HSO</w:t>
      </w:r>
      <w:r>
        <w:rPr>
          <w:rFonts w:ascii="Times New Roman" w:hAnsi="Times New Roman"/>
          <w:color w:val="000000"/>
          <w:sz w:val="28"/>
          <w:vertAlign w:val="subscript"/>
        </w:rPr>
        <w:t>3</w:t>
      </w:r>
      <w:r>
        <w:rPr>
          <w:rFonts w:ascii="Times New Roman" w:hAnsi="Times New Roman"/>
          <w:color w:val="000000"/>
          <w:sz w:val="28"/>
        </w:rPr>
        <w:t>)</w:t>
      </w:r>
      <w:r>
        <w:rPr>
          <w:rFonts w:ascii="Times New Roman" w:hAnsi="Times New Roman"/>
          <w:color w:val="000000"/>
          <w:sz w:val="28"/>
          <w:vertAlign w:val="subscript"/>
        </w:rPr>
        <w:t>2</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Ca(OH)</w:t>
      </w:r>
      <w:r>
        <w:rPr>
          <w:rFonts w:ascii="Times New Roman" w:hAnsi="Times New Roman"/>
          <w:color w:val="000000"/>
          <w:sz w:val="28"/>
          <w:vertAlign w:val="subscript"/>
        </w:rPr>
        <w:t>2</w:t>
      </w:r>
      <w:r>
        <w:rPr>
          <w:rFonts w:ascii="Times New Roman" w:hAnsi="Times New Roman"/>
          <w:color w:val="000000"/>
          <w:sz w:val="28"/>
        </w:rPr>
        <w:t>+SO</w:t>
      </w:r>
      <w:r>
        <w:rPr>
          <w:rFonts w:ascii="Times New Roman" w:hAnsi="Times New Roman"/>
          <w:color w:val="000000"/>
          <w:sz w:val="28"/>
          <w:vertAlign w:val="subscript"/>
        </w:rPr>
        <w:t>2</w:t>
      </w:r>
      <w:r>
        <w:rPr>
          <w:rFonts w:ascii="Times New Roman" w:hAnsi="Times New Roman"/>
          <w:color w:val="000000"/>
          <w:sz w:val="28"/>
        </w:rPr>
        <w:t>→CaSO</w:t>
      </w:r>
      <w:r>
        <w:rPr>
          <w:rFonts w:ascii="Times New Roman" w:hAnsi="Times New Roman"/>
          <w:color w:val="000000"/>
          <w:sz w:val="28"/>
          <w:vertAlign w:val="subscript"/>
        </w:rPr>
        <w:t>3</w:t>
      </w:r>
      <w:r>
        <w:rPr>
          <w:rFonts w:ascii="Times New Roman" w:hAnsi="Times New Roman"/>
          <w:color w:val="000000"/>
          <w:sz w:val="28"/>
        </w:rPr>
        <w:t>+H</w:t>
      </w:r>
      <w:r>
        <w:rPr>
          <w:rFonts w:ascii="Times New Roman" w:hAnsi="Times New Roman"/>
          <w:color w:val="000000"/>
          <w:sz w:val="28"/>
          <w:vertAlign w:val="subscript"/>
        </w:rPr>
        <w:t>2</w:t>
      </w:r>
      <w:r>
        <w:rPr>
          <w:rFonts w:ascii="Times New Roman" w:hAnsi="Times New Roman"/>
          <w:color w:val="000000"/>
          <w:sz w:val="28"/>
        </w:rPr>
        <w:t>O</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CaSO</w:t>
      </w:r>
      <w:r>
        <w:rPr>
          <w:rFonts w:ascii="Times New Roman" w:hAnsi="Times New Roman"/>
          <w:color w:val="000000"/>
          <w:sz w:val="28"/>
          <w:vertAlign w:val="subscript"/>
        </w:rPr>
        <w:t>3</w:t>
      </w:r>
      <w:r>
        <w:rPr>
          <w:rFonts w:ascii="Times New Roman" w:hAnsi="Times New Roman"/>
          <w:color w:val="000000"/>
          <w:sz w:val="28"/>
        </w:rPr>
        <w:t>+H</w:t>
      </w:r>
      <w:r>
        <w:rPr>
          <w:rFonts w:ascii="Times New Roman" w:hAnsi="Times New Roman"/>
          <w:color w:val="000000"/>
          <w:sz w:val="28"/>
          <w:vertAlign w:val="subscript"/>
        </w:rPr>
        <w:t>2</w:t>
      </w:r>
      <w:r>
        <w:rPr>
          <w:rFonts w:ascii="Times New Roman" w:hAnsi="Times New Roman"/>
          <w:color w:val="000000"/>
          <w:sz w:val="28"/>
        </w:rPr>
        <w:t>O+SO</w:t>
      </w:r>
      <w:r>
        <w:rPr>
          <w:rFonts w:ascii="Times New Roman" w:hAnsi="Times New Roman"/>
          <w:color w:val="000000"/>
          <w:sz w:val="28"/>
          <w:vertAlign w:val="subscript"/>
        </w:rPr>
        <w:t>2</w:t>
      </w:r>
      <w:r>
        <w:rPr>
          <w:rFonts w:ascii="Times New Roman" w:hAnsi="Times New Roman"/>
          <w:color w:val="000000"/>
          <w:sz w:val="28"/>
        </w:rPr>
        <w:t>→Ca(HSO</w:t>
      </w:r>
      <w:r>
        <w:rPr>
          <w:rFonts w:ascii="Times New Roman" w:hAnsi="Times New Roman"/>
          <w:color w:val="000000"/>
          <w:sz w:val="28"/>
          <w:vertAlign w:val="subscript"/>
        </w:rPr>
        <w:t>3</w:t>
      </w:r>
      <w:r>
        <w:rPr>
          <w:rFonts w:ascii="Times New Roman" w:hAnsi="Times New Roman"/>
          <w:color w:val="000000"/>
          <w:sz w:val="28"/>
        </w:rPr>
        <w:t>)</w:t>
      </w:r>
      <w:r>
        <w:rPr>
          <w:rFonts w:ascii="Times New Roman" w:hAnsi="Times New Roman"/>
          <w:color w:val="000000"/>
          <w:sz w:val="28"/>
          <w:vertAlign w:val="subscript"/>
        </w:rPr>
        <w:t>2</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Ca(HSO</w:t>
      </w:r>
      <w:r>
        <w:rPr>
          <w:rFonts w:ascii="Times New Roman" w:hAnsi="Times New Roman"/>
          <w:color w:val="000000"/>
          <w:sz w:val="28"/>
          <w:vertAlign w:val="subscript"/>
        </w:rPr>
        <w:t>3</w:t>
      </w:r>
      <w:r>
        <w:rPr>
          <w:rFonts w:ascii="Times New Roman" w:hAnsi="Times New Roman"/>
          <w:color w:val="000000"/>
          <w:sz w:val="28"/>
        </w:rPr>
        <w:t>)</w:t>
      </w:r>
      <w:r>
        <w:rPr>
          <w:rFonts w:ascii="Times New Roman" w:hAnsi="Times New Roman"/>
          <w:color w:val="000000"/>
          <w:sz w:val="28"/>
          <w:vertAlign w:val="subscript"/>
        </w:rPr>
        <w:t>2</w:t>
      </w:r>
      <w:r>
        <w:rPr>
          <w:rFonts w:ascii="Times New Roman" w:hAnsi="Times New Roman"/>
          <w:color w:val="000000"/>
          <w:sz w:val="28"/>
        </w:rPr>
        <w:t>+Ca(OH)</w:t>
      </w:r>
      <w:r>
        <w:rPr>
          <w:rFonts w:ascii="Times New Roman" w:hAnsi="Times New Roman"/>
          <w:color w:val="000000"/>
          <w:sz w:val="28"/>
          <w:vertAlign w:val="subscript"/>
        </w:rPr>
        <w:t>2</w:t>
      </w:r>
      <w:r>
        <w:rPr>
          <w:rFonts w:ascii="Times New Roman" w:hAnsi="Times New Roman"/>
          <w:color w:val="000000"/>
          <w:sz w:val="28"/>
        </w:rPr>
        <w:t>→2CaSO</w:t>
      </w:r>
      <w:r>
        <w:rPr>
          <w:rFonts w:ascii="Times New Roman" w:hAnsi="Times New Roman"/>
          <w:color w:val="000000"/>
          <w:sz w:val="28"/>
          <w:vertAlign w:val="subscript"/>
        </w:rPr>
        <w:t>3</w:t>
      </w:r>
      <w:r>
        <w:rPr>
          <w:rFonts w:ascii="Times New Roman" w:hAnsi="Times New Roman"/>
          <w:color w:val="000000"/>
          <w:sz w:val="28"/>
        </w:rPr>
        <w:t>+2H</w:t>
      </w:r>
      <w:r>
        <w:rPr>
          <w:rFonts w:ascii="Times New Roman" w:hAnsi="Times New Roman"/>
          <w:color w:val="000000"/>
          <w:sz w:val="28"/>
          <w:vertAlign w:val="subscript"/>
        </w:rPr>
        <w:t>2</w:t>
      </w:r>
      <w:r>
        <w:rPr>
          <w:rFonts w:ascii="Times New Roman" w:hAnsi="Times New Roman"/>
          <w:color w:val="000000"/>
          <w:sz w:val="28"/>
        </w:rPr>
        <w:t>O</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hint="eastAsia" w:ascii="Times New Roman" w:hAnsi="Times New Roman" w:cs="宋体"/>
          <w:color w:val="000000"/>
          <w:sz w:val="28"/>
        </w:rPr>
        <w:t>③</w:t>
      </w:r>
      <w:r>
        <w:rPr>
          <w:rFonts w:ascii="Times New Roman" w:hAnsi="Times New Roman"/>
          <w:color w:val="000000"/>
          <w:sz w:val="28"/>
        </w:rPr>
        <w:t>脱硫产物氧化</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CaSO</w:t>
      </w:r>
      <w:r>
        <w:rPr>
          <w:rFonts w:ascii="Times New Roman" w:hAnsi="Times New Roman"/>
          <w:color w:val="000000"/>
          <w:sz w:val="28"/>
          <w:vertAlign w:val="subscript"/>
        </w:rPr>
        <w:t>3</w:t>
      </w:r>
      <w:r>
        <w:rPr>
          <w:rFonts w:ascii="Times New Roman" w:hAnsi="Times New Roman"/>
          <w:color w:val="000000"/>
          <w:sz w:val="28"/>
        </w:rPr>
        <w:t>+1/2O</w:t>
      </w:r>
      <w:r>
        <w:rPr>
          <w:rFonts w:ascii="Times New Roman" w:hAnsi="Times New Roman"/>
          <w:color w:val="000000"/>
          <w:sz w:val="28"/>
          <w:vertAlign w:val="subscript"/>
        </w:rPr>
        <w:t>2</w:t>
      </w:r>
      <w:r>
        <w:rPr>
          <w:rFonts w:ascii="Times New Roman" w:hAnsi="Times New Roman"/>
          <w:color w:val="000000"/>
          <w:sz w:val="28"/>
        </w:rPr>
        <w:t>+2H</w:t>
      </w:r>
      <w:r>
        <w:rPr>
          <w:rFonts w:ascii="Times New Roman" w:hAnsi="Times New Roman"/>
          <w:color w:val="000000"/>
          <w:sz w:val="28"/>
          <w:vertAlign w:val="subscript"/>
        </w:rPr>
        <w:t>2</w:t>
      </w:r>
      <w:r>
        <w:rPr>
          <w:rFonts w:ascii="Times New Roman" w:hAnsi="Times New Roman"/>
          <w:color w:val="000000"/>
          <w:sz w:val="28"/>
        </w:rPr>
        <w:t>O→CaSO</w:t>
      </w:r>
      <w:r>
        <w:rPr>
          <w:rFonts w:ascii="Times New Roman" w:hAnsi="Times New Roman"/>
          <w:color w:val="000000"/>
          <w:sz w:val="28"/>
          <w:vertAlign w:val="subscript"/>
        </w:rPr>
        <w:t>4</w:t>
      </w:r>
      <w:r>
        <w:rPr>
          <w:rFonts w:ascii="Times New Roman" w:hAnsi="Times New Roman"/>
          <w:color w:val="000000"/>
          <w:sz w:val="28"/>
        </w:rPr>
        <w:t>·2H</w:t>
      </w:r>
      <w:r>
        <w:rPr>
          <w:rFonts w:ascii="Times New Roman" w:hAnsi="Times New Roman"/>
          <w:color w:val="000000"/>
          <w:sz w:val="28"/>
          <w:vertAlign w:val="subscript"/>
        </w:rPr>
        <w:t>2</w:t>
      </w:r>
      <w:r>
        <w:rPr>
          <w:rFonts w:ascii="Times New Roman" w:hAnsi="Times New Roman"/>
          <w:color w:val="000000"/>
          <w:sz w:val="28"/>
        </w:rPr>
        <w:t>O</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color w:val="000000"/>
          <w:sz w:val="28"/>
        </w:rPr>
      </w:pPr>
      <w:r>
        <w:rPr>
          <w:rFonts w:ascii="Times New Roman" w:hAnsi="Times New Roman"/>
          <w:color w:val="000000"/>
          <w:sz w:val="28"/>
        </w:rPr>
        <w:t>CaSO</w:t>
      </w:r>
      <w:r>
        <w:rPr>
          <w:rFonts w:ascii="Times New Roman" w:hAnsi="Times New Roman"/>
          <w:color w:val="000000"/>
          <w:sz w:val="28"/>
          <w:vertAlign w:val="subscript"/>
        </w:rPr>
        <w:t>3</w:t>
      </w:r>
      <w:r>
        <w:rPr>
          <w:rFonts w:ascii="Times New Roman" w:hAnsi="Times New Roman"/>
          <w:color w:val="000000"/>
          <w:sz w:val="28"/>
        </w:rPr>
        <w:t>+1/2O</w:t>
      </w:r>
      <w:r>
        <w:rPr>
          <w:rFonts w:ascii="Times New Roman" w:hAnsi="Times New Roman"/>
          <w:color w:val="000000"/>
          <w:sz w:val="28"/>
          <w:vertAlign w:val="subscript"/>
        </w:rPr>
        <w:t>2</w:t>
      </w:r>
      <w:r>
        <w:rPr>
          <w:rFonts w:ascii="Times New Roman" w:hAnsi="Times New Roman"/>
          <w:color w:val="000000"/>
          <w:sz w:val="28"/>
        </w:rPr>
        <w:t>→CaSO</w:t>
      </w:r>
      <w:r>
        <w:rPr>
          <w:rFonts w:ascii="Times New Roman" w:hAnsi="Times New Roman"/>
          <w:color w:val="000000"/>
          <w:sz w:val="28"/>
          <w:vertAlign w:val="subscript"/>
        </w:rPr>
        <w:t>4</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ascii="Times New Roman" w:hAnsi="Times New Roman"/>
          <w:color w:val="000000"/>
          <w:sz w:val="28"/>
        </w:rPr>
        <w:t>烟气处理工艺流程简述：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ascii="Times New Roman" w:hAnsi="Times New Roman"/>
          <w:color w:val="000000"/>
          <w:sz w:val="28"/>
        </w:rPr>
        <w:t>经除尘器净化后的烟气由塔底进入脱硫塔（烟囱），由于脱硫塔的直径比烟道的内径大，所以塔内烟气流速变缓，使烟气充分脱硫液接触。脱硫塔采</w:t>
      </w:r>
      <w:r>
        <w:rPr>
          <w:rFonts w:hint="eastAsia" w:ascii="Times New Roman" w:hAnsi="Times New Roman"/>
          <w:color w:val="000000"/>
          <w:sz w:val="28"/>
          <w:lang w:eastAsia="zh-CN"/>
        </w:rPr>
        <w:t>二</w:t>
      </w:r>
      <w:r>
        <w:rPr>
          <w:rFonts w:ascii="Times New Roman" w:hAnsi="Times New Roman"/>
          <w:color w:val="000000"/>
          <w:sz w:val="28"/>
        </w:rPr>
        <w:t>级串联设计，每个塔采用二层乳化层，</w:t>
      </w:r>
      <w:r>
        <w:rPr>
          <w:rFonts w:hint="eastAsia" w:ascii="Times New Roman" w:hAnsi="Times New Roman"/>
          <w:color w:val="000000"/>
          <w:sz w:val="28"/>
          <w:lang w:eastAsia="zh-CN"/>
        </w:rPr>
        <w:t>二</w:t>
      </w:r>
      <w:r>
        <w:rPr>
          <w:rFonts w:ascii="Times New Roman" w:hAnsi="Times New Roman"/>
          <w:color w:val="000000"/>
          <w:sz w:val="28"/>
        </w:rPr>
        <w:t>级串联共</w:t>
      </w:r>
      <w:r>
        <w:rPr>
          <w:rFonts w:hint="eastAsia" w:ascii="Times New Roman" w:hAnsi="Times New Roman"/>
          <w:color w:val="000000"/>
          <w:sz w:val="28"/>
          <w:lang w:eastAsia="zh-CN"/>
        </w:rPr>
        <w:t>四</w:t>
      </w:r>
      <w:r>
        <w:rPr>
          <w:rFonts w:ascii="Times New Roman" w:hAnsi="Times New Roman"/>
          <w:color w:val="000000"/>
          <w:sz w:val="28"/>
        </w:rPr>
        <w:t>级乳化层脱硫，能够保证SO</w:t>
      </w:r>
      <w:r>
        <w:rPr>
          <w:rFonts w:ascii="Times New Roman" w:hAnsi="Times New Roman"/>
          <w:color w:val="000000"/>
          <w:sz w:val="28"/>
          <w:vertAlign w:val="subscript"/>
        </w:rPr>
        <w:t>2</w:t>
      </w:r>
      <w:r>
        <w:rPr>
          <w:rFonts w:ascii="Times New Roman" w:hAnsi="Times New Roman"/>
          <w:color w:val="000000"/>
          <w:sz w:val="28"/>
        </w:rPr>
        <w:t>达标排放。</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sz w:val="28"/>
        </w:rPr>
      </w:pPr>
      <w:r>
        <w:rPr>
          <w:rFonts w:ascii="Times New Roman" w:hAnsi="Times New Roman"/>
          <w:color w:val="000000"/>
          <w:sz w:val="28"/>
        </w:rPr>
        <w:t>由于塔内提供了良好的气液接触条件，气体中的SO</w:t>
      </w:r>
      <w:r>
        <w:rPr>
          <w:rFonts w:ascii="Times New Roman" w:hAnsi="Times New Roman"/>
          <w:color w:val="000000"/>
          <w:sz w:val="28"/>
          <w:vertAlign w:val="subscript"/>
        </w:rPr>
        <w:t>2</w:t>
      </w:r>
      <w:r>
        <w:rPr>
          <w:rFonts w:ascii="Times New Roman" w:hAnsi="Times New Roman"/>
          <w:color w:val="000000"/>
          <w:sz w:val="28"/>
        </w:rPr>
        <w:t>被碱性液体吸收效果好。由于特殊的内部结构设计，决定了它是一种高效通用型传质设备，具有负荷高、压降低、不易堵、操作弹性宽等优点，其综合性能优于国内外普遍使用的湿法脱硫除尘装置。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宋体"/>
          <w:color w:val="000000"/>
          <w:sz w:val="28"/>
          <w:lang w:val="en-US" w:eastAsia="zh-CN"/>
        </w:rPr>
      </w:pPr>
      <w:r>
        <w:rPr>
          <w:rFonts w:ascii="Times New Roman" w:hAnsi="Times New Roman"/>
          <w:color w:val="000000"/>
          <w:sz w:val="28"/>
        </w:rPr>
        <w:t>拟建项目脱硫的设计、施工、验收、运行和维护等技术要求可参照《工业锅炉及炉窑湿法烟气脱硫工程技术规范》（HJ462—2009）。</w:t>
      </w:r>
      <w:r>
        <w:rPr>
          <w:rFonts w:hint="eastAsia" w:ascii="Times New Roman" w:hAnsi="Times New Roman"/>
          <w:color w:val="000000"/>
          <w:sz w:val="28"/>
          <w:lang w:eastAsia="zh-CN"/>
        </w:rPr>
        <w:t>根据</w:t>
      </w:r>
      <w:r>
        <w:rPr>
          <w:rFonts w:ascii="Times New Roman" w:hAnsi="Times New Roman"/>
          <w:color w:val="000000"/>
          <w:sz w:val="28"/>
        </w:rPr>
        <w:t>HJ462—2009</w:t>
      </w:r>
      <w:r>
        <w:rPr>
          <w:rFonts w:hint="eastAsia"/>
          <w:color w:val="000000"/>
          <w:sz w:val="28"/>
          <w:lang w:eastAsia="zh-CN"/>
        </w:rPr>
        <w:t>，单级氧化钙法脱硫工艺处理效率在</w:t>
      </w:r>
      <w:r>
        <w:rPr>
          <w:rFonts w:hint="eastAsia"/>
          <w:color w:val="000000"/>
          <w:sz w:val="28"/>
          <w:lang w:val="en-US" w:eastAsia="zh-CN"/>
        </w:rPr>
        <w:t>90%以上，及在参考</w:t>
      </w:r>
      <w:r>
        <w:rPr>
          <w:rFonts w:hint="eastAsia"/>
          <w:lang w:val="en-US" w:eastAsia="zh-CN"/>
        </w:rPr>
        <w:t>《</w:t>
      </w:r>
      <w:r>
        <w:rPr>
          <w:rFonts w:hint="eastAsia"/>
        </w:rPr>
        <w:t>排污许可证申请与核发技术规范</w:t>
      </w:r>
      <w:r>
        <w:rPr>
          <w:rFonts w:hint="eastAsia"/>
          <w:lang w:val="en-US" w:eastAsia="zh-CN"/>
        </w:rPr>
        <w:t xml:space="preserve"> </w:t>
      </w:r>
      <w:r>
        <w:rPr>
          <w:rFonts w:hint="eastAsia"/>
        </w:rPr>
        <w:t>石墨及其他非金属矿物制品制造</w:t>
      </w:r>
      <w:r>
        <w:rPr>
          <w:rFonts w:hint="eastAsia"/>
          <w:lang w:val="en-US" w:eastAsia="zh-CN"/>
        </w:rPr>
        <w:t>》（</w:t>
      </w:r>
      <w:r>
        <w:rPr>
          <w:rFonts w:hint="eastAsia"/>
        </w:rPr>
        <w:t>HJ1119—2020</w:t>
      </w:r>
      <w:r>
        <w:rPr>
          <w:rFonts w:hint="eastAsia"/>
          <w:lang w:val="en-US" w:eastAsia="zh-CN"/>
        </w:rPr>
        <w:t>）中</w:t>
      </w:r>
      <w:r>
        <w:rPr>
          <w:rFonts w:hint="eastAsia"/>
        </w:rPr>
        <w:t>表11 排污单位废气污染物许可排放量排污绩效系数表（α）</w:t>
      </w:r>
      <w:r>
        <w:rPr>
          <w:rFonts w:hint="eastAsia"/>
          <w:lang w:eastAsia="zh-CN"/>
        </w:rPr>
        <w:t>的电煅烧炉的排污绩效系数基础上，</w:t>
      </w:r>
      <w:r>
        <w:rPr>
          <w:rFonts w:hint="eastAsia"/>
          <w:color w:val="000000"/>
          <w:sz w:val="28"/>
          <w:lang w:val="en-US" w:eastAsia="zh-CN"/>
        </w:rPr>
        <w:t>本项目采用</w:t>
      </w:r>
      <w:r>
        <w:rPr>
          <w:rFonts w:hint="eastAsia"/>
          <w:color w:val="000000"/>
          <w:sz w:val="28"/>
          <w:lang w:eastAsia="zh-CN"/>
        </w:rPr>
        <w:t>二级氧化钙法脱硫的处理效率以</w:t>
      </w:r>
      <w:r>
        <w:rPr>
          <w:rFonts w:hint="eastAsia"/>
          <w:color w:val="000000"/>
          <w:sz w:val="28"/>
          <w:lang w:val="en-US" w:eastAsia="zh-CN"/>
        </w:rPr>
        <w:t>93.5%计算。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olor w:val="000000"/>
          <w:sz w:val="28"/>
          <w:lang w:eastAsia="zh-CN"/>
        </w:rPr>
      </w:pPr>
      <w:r>
        <w:rPr>
          <w:rFonts w:hint="eastAsia" w:ascii="Times New Roman" w:hAnsi="Times New Roman" w:eastAsia="宋体"/>
          <w:color w:val="000000"/>
          <w:sz w:val="28"/>
          <w:lang w:eastAsia="zh-CN"/>
        </w:rPr>
        <w:drawing>
          <wp:inline distT="0" distB="0" distL="114300" distR="114300">
            <wp:extent cx="6186805" cy="4093210"/>
            <wp:effectExtent l="0" t="0" r="4445" b="2540"/>
            <wp:docPr id="91" name="图片 91" descr="1586227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86227119(1)"/>
                    <pic:cNvPicPr>
                      <a:picLocks noChangeAspect="1"/>
                    </pic:cNvPicPr>
                  </pic:nvPicPr>
                  <pic:blipFill>
                    <a:blip r:embed="rId45"/>
                    <a:stretch>
                      <a:fillRect/>
                    </a:stretch>
                  </pic:blipFill>
                  <pic:spPr>
                    <a:xfrm>
                      <a:off x="0" y="0"/>
                      <a:ext cx="6186805" cy="4093210"/>
                    </a:xfrm>
                    <a:prstGeom prst="rect">
                      <a:avLst/>
                    </a:prstGeom>
                  </pic:spPr>
                </pic:pic>
              </a:graphicData>
            </a:graphic>
          </wp:inline>
        </w:drawing>
      </w:r>
    </w:p>
    <w:p>
      <w:pPr>
        <w:pStyle w:val="27"/>
        <w:bidi w:val="0"/>
        <w:rPr>
          <w:rFonts w:hint="default"/>
          <w:lang w:val="en-US" w:eastAsia="zh-CN"/>
        </w:rPr>
      </w:pPr>
      <w:r>
        <w:rPr>
          <w:rFonts w:hint="eastAsia"/>
          <w:lang w:eastAsia="zh-CN"/>
        </w:rPr>
        <w:t>图</w:t>
      </w:r>
      <w:r>
        <w:rPr>
          <w:rFonts w:hint="eastAsia"/>
          <w:lang w:val="en-US" w:eastAsia="zh-CN"/>
        </w:rPr>
        <w:t>6.1.1-1 氧化钙脱硫工艺流程</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r>
        <w:rPr>
          <w:rFonts w:hint="eastAsia" w:ascii="Times New Roman" w:hAnsi="Times New Roman"/>
          <w:color w:val="000000"/>
          <w:kern w:val="0"/>
          <w:sz w:val="28"/>
          <w:lang w:eastAsia="zh-CN"/>
        </w:rPr>
        <w:t>埋弧电煅炉</w:t>
      </w:r>
      <w:r>
        <w:rPr>
          <w:rFonts w:ascii="Times New Roman" w:hAnsi="Times New Roman"/>
          <w:color w:val="000000"/>
          <w:kern w:val="0"/>
          <w:sz w:val="28"/>
        </w:rPr>
        <w:t>废气处理工艺流程见图</w:t>
      </w:r>
      <w:r>
        <w:rPr>
          <w:rFonts w:hint="eastAsia" w:ascii="Times New Roman" w:hAnsi="Times New Roman"/>
          <w:color w:val="000000"/>
          <w:kern w:val="0"/>
          <w:sz w:val="28"/>
          <w:lang w:val="en-US" w:eastAsia="zh-CN"/>
        </w:rPr>
        <w:t>6.1.1-2</w:t>
      </w:r>
      <w:r>
        <w:rPr>
          <w:rFonts w:ascii="Times New Roman" w:hAnsi="Times New Roman"/>
          <w:color w:val="000000"/>
          <w:kern w:val="0"/>
          <w:sz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Times New Roman" w:hAnsi="Times New Roman"/>
          <w:color w:val="000000"/>
          <w:kern w:val="0"/>
          <w:sz w:val="28"/>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Times New Roman" w:hAnsi="Times New Roman" w:eastAsia="宋体"/>
          <w:color w:val="000000"/>
          <w:kern w:val="0"/>
          <w:sz w:val="28"/>
          <w:lang w:eastAsia="zh-CN"/>
        </w:rPr>
      </w:pPr>
      <w:r>
        <w:rPr>
          <w:sz w:val="28"/>
        </w:rPr>
        <mc:AlternateContent>
          <mc:Choice Requires="wpc">
            <w:drawing>
              <wp:inline distT="0" distB="0" distL="114300" distR="114300">
                <wp:extent cx="6131560" cy="3924935"/>
                <wp:effectExtent l="0" t="0" r="0" b="0"/>
                <wp:docPr id="92" name="画布 92"/>
                <wp:cNvGraphicFramePr/>
                <a:graphic xmlns:a="http://schemas.openxmlformats.org/drawingml/2006/main">
                  <a:graphicData uri="http://schemas.microsoft.com/office/word/2010/wordprocessingCanvas">
                    <wpc:wpc>
                      <wpc:bg/>
                      <wpc:whole/>
                      <wps:wsp>
                        <wps:cNvPr id="93" name="文本框 93"/>
                        <wps:cNvSpPr txBox="1"/>
                        <wps:spPr>
                          <a:xfrm>
                            <a:off x="2374265" y="66675"/>
                            <a:ext cx="146050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埋弧电煅炉电煅废气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直接连接符 94"/>
                        <wps:cNvCnPr>
                          <a:stCxn id="93" idx="2"/>
                        </wps:cNvCnPr>
                        <wps:spPr>
                          <a:xfrm>
                            <a:off x="3104515" y="405130"/>
                            <a:ext cx="0" cy="32893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 name="文本框 95"/>
                        <wps:cNvSpPr txBox="1"/>
                        <wps:spPr>
                          <a:xfrm>
                            <a:off x="2677160" y="709295"/>
                            <a:ext cx="889635" cy="2654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高温烟气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连接符 96"/>
                        <wps:cNvCnPr>
                          <a:stCxn id="95" idx="2"/>
                        </wps:cNvCnPr>
                        <wps:spPr>
                          <a:xfrm flipH="1">
                            <a:off x="3120390" y="974725"/>
                            <a:ext cx="1905" cy="35369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8" name="文本框 98"/>
                        <wps:cNvSpPr txBox="1"/>
                        <wps:spPr>
                          <a:xfrm>
                            <a:off x="2687955" y="1333500"/>
                            <a:ext cx="889635" cy="2654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布袋除尘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 name="直接连接符 99"/>
                        <wps:cNvCnPr>
                          <a:stCxn id="98" idx="3"/>
                        </wps:cNvCnPr>
                        <wps:spPr>
                          <a:xfrm>
                            <a:off x="3577590" y="1466215"/>
                            <a:ext cx="611505" cy="4445"/>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0" name="文本框 100"/>
                        <wps:cNvSpPr txBox="1"/>
                        <wps:spPr>
                          <a:xfrm>
                            <a:off x="4180205" y="1322705"/>
                            <a:ext cx="83693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除尘下灰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连接符 101"/>
                        <wps:cNvCnPr>
                          <a:stCxn id="98" idx="2"/>
                        </wps:cNvCnPr>
                        <wps:spPr>
                          <a:xfrm flipH="1">
                            <a:off x="3131185" y="1598930"/>
                            <a:ext cx="1905" cy="4864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2" name="文本框 102"/>
                        <wps:cNvSpPr txBox="1"/>
                        <wps:spPr>
                          <a:xfrm>
                            <a:off x="2402205" y="2084705"/>
                            <a:ext cx="1438275" cy="2654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氧化钙法脱硫（二级）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连接符 103"/>
                        <wps:cNvCnPr>
                          <a:stCxn id="102" idx="3"/>
                        </wps:cNvCnPr>
                        <wps:spPr>
                          <a:xfrm flipV="1">
                            <a:off x="3840480" y="2214880"/>
                            <a:ext cx="708660" cy="254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4" name="文本框 104"/>
                        <wps:cNvSpPr txBox="1"/>
                        <wps:spPr>
                          <a:xfrm>
                            <a:off x="4550410" y="2106295"/>
                            <a:ext cx="1205230" cy="265430"/>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硫酸钙处理系统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连接符 105"/>
                        <wps:cNvCnPr>
                          <a:stCxn id="102" idx="2"/>
                        </wps:cNvCnPr>
                        <wps:spPr>
                          <a:xfrm flipH="1">
                            <a:off x="3120390" y="2350135"/>
                            <a:ext cx="1270" cy="3619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06" name="文本框 106"/>
                        <wps:cNvSpPr txBox="1"/>
                        <wps:spPr>
                          <a:xfrm>
                            <a:off x="2571115" y="2709545"/>
                            <a:ext cx="100584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达标排放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连接符 109"/>
                        <wps:cNvCnPr>
                          <a:stCxn id="104" idx="2"/>
                        </wps:cNvCnPr>
                        <wps:spPr>
                          <a:xfrm flipH="1">
                            <a:off x="5152390" y="2371725"/>
                            <a:ext cx="635" cy="37465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0" name="文本框 110"/>
                        <wps:cNvSpPr txBox="1"/>
                        <wps:spPr>
                          <a:xfrm>
                            <a:off x="4773295" y="2719705"/>
                            <a:ext cx="836930"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脱硫石膏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连接符 111"/>
                        <wps:cNvCnPr>
                          <a:stCxn id="104" idx="0"/>
                        </wps:cNvCnPr>
                        <wps:spPr>
                          <a:xfrm flipV="1">
                            <a:off x="5153025" y="1850390"/>
                            <a:ext cx="6350" cy="255905"/>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wps:spPr>
                          <a:xfrm flipH="1">
                            <a:off x="3230245" y="1842135"/>
                            <a:ext cx="1920875" cy="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114" name="任意多边形 114"/>
                        <wps:cNvSpPr/>
                        <wps:spPr>
                          <a:xfrm>
                            <a:off x="3060700" y="1777365"/>
                            <a:ext cx="171450" cy="63500"/>
                          </a:xfrm>
                          <a:custGeom>
                            <a:avLst/>
                            <a:gdLst>
                              <a:gd name="connisteX0" fmla="*/ 171450 w 171450"/>
                              <a:gd name="connsiteY0" fmla="*/ 63500 h 63500"/>
                              <a:gd name="connisteX1" fmla="*/ 76200 w 171450"/>
                              <a:gd name="connsiteY1" fmla="*/ 0 h 63500"/>
                              <a:gd name="connisteX2" fmla="*/ 0 w 171450"/>
                              <a:gd name="connsiteY2" fmla="*/ 63500 h 63500"/>
                              <a:gd name="connisteX3" fmla="*/ 69850 w 171450"/>
                              <a:gd name="connsiteY3" fmla="*/ 69850 h 63500"/>
                            </a:gdLst>
                            <a:ahLst/>
                            <a:cxnLst>
                              <a:cxn ang="0">
                                <a:pos x="connisteX0" y="connsiteY0"/>
                              </a:cxn>
                              <a:cxn ang="0">
                                <a:pos x="connisteX1" y="connsiteY1"/>
                              </a:cxn>
                              <a:cxn ang="0">
                                <a:pos x="connisteX2" y="connsiteY2"/>
                              </a:cxn>
                              <a:cxn ang="0">
                                <a:pos x="connisteX3" y="connsiteY3"/>
                              </a:cxn>
                            </a:cxnLst>
                            <a:rect l="l" t="t" r="r" b="b"/>
                            <a:pathLst>
                              <a:path w="171450" h="63500">
                                <a:moveTo>
                                  <a:pt x="171450" y="63500"/>
                                </a:moveTo>
                                <a:cubicBezTo>
                                  <a:pt x="153670" y="49530"/>
                                  <a:pt x="110490" y="0"/>
                                  <a:pt x="76200" y="0"/>
                                </a:cubicBezTo>
                                <a:cubicBezTo>
                                  <a:pt x="41910" y="0"/>
                                  <a:pt x="1270" y="49530"/>
                                  <a:pt x="0" y="6350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 name="直接连接符 115"/>
                        <wps:cNvCnPr/>
                        <wps:spPr>
                          <a:xfrm flipH="1">
                            <a:off x="1725930" y="1845945"/>
                            <a:ext cx="1333500" cy="0"/>
                          </a:xfrm>
                          <a:prstGeom prst="line">
                            <a:avLst/>
                          </a:prstGeom>
                          <a:ln>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116" name="直接连接符 116"/>
                        <wps:cNvCnPr/>
                        <wps:spPr>
                          <a:xfrm>
                            <a:off x="1725930" y="1851025"/>
                            <a:ext cx="0" cy="27051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7" name="文本框 117"/>
                        <wps:cNvSpPr txBox="1"/>
                        <wps:spPr>
                          <a:xfrm>
                            <a:off x="762000" y="2129155"/>
                            <a:ext cx="130683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szCs w:val="21"/>
                                  <w:lang w:val="en-US" w:eastAsia="zh-CN"/>
                                </w:rPr>
                              </w:pPr>
                              <w:r>
                                <w:rPr>
                                  <w:rFonts w:hint="eastAsia"/>
                                  <w:sz w:val="21"/>
                                  <w:szCs w:val="21"/>
                                  <w:lang w:val="en-US" w:eastAsia="zh-CN"/>
                                </w:rPr>
                                <w:t>软水净化设备排水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直接连接符 119"/>
                        <wps:cNvCnPr/>
                        <wps:spPr>
                          <a:xfrm>
                            <a:off x="1971675" y="2237740"/>
                            <a:ext cx="441960" cy="0"/>
                          </a:xfrm>
                          <a:prstGeom prst="line">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0" name="文本框 120"/>
                        <wps:cNvSpPr txBox="1"/>
                        <wps:spPr>
                          <a:xfrm>
                            <a:off x="1629410" y="3376295"/>
                            <a:ext cx="3408045" cy="3384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6.1.1-2 埋弧电煅炉烟气处理工艺流程图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09.05pt;width:482.8pt;" coordsize="6131560,3924935" editas="canvas" o:gfxdata="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LsEjn/XAAAABQEAAA8AAAAAAAAAAQAgAAAAIgAAAGRycy9kb3ducmV2&#10;LnhtbFBLAQIUABQAAAAIAIdO4kDUTPylqwgAAGA9AAAOAAAAAAAAAAEAIAAAACYBAABkcnMvZTJv&#10;RG9jLnhtbFBLBQYAAAAABgAGAFkBAABDDAAAAAA=&#10;">
                <o:lock v:ext="edit" aspectratio="f"/>
                <v:shape id="_x0000_s1026" o:spid="_x0000_s1026" style="position:absolute;left:0;top:0;height:3924935;width:6131560;" filled="f" stroked="f" coordsize="21600,21600" o:gfxdata="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">
                  <v:fill on="f" focussize="0,0"/>
                  <v:stroke on="f"/>
                  <v:imagedata o:title=""/>
                  <o:lock v:ext="edit" aspectratio="f"/>
                </v:shape>
                <v:shape id="_x0000_s1026" o:spid="_x0000_s1026" o:spt="202" type="#_x0000_t202" style="position:absolute;left:2374265;top:66675;height:338455;width:1460500;"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qkvx1wAAAAUBAAAPAAAAAAAAAAEAIAAAACIAAABkcnMvZG93bnJldi54bWxQSwECFAAU&#10;AAAACACHTuJA5e36eisCAAAk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埋弧电煅炉电煅废气</w:t>
                        </w:r>
                      </w:p>
                    </w:txbxContent>
                  </v:textbox>
                </v:shape>
                <v:line id="_x0000_s1026" o:spid="_x0000_s1026" o:spt="20" style="position:absolute;left:3104515;top:405130;height:328930;width:0;" filled="f" stroked="t" coordsize="21600,21600" o:gfxdata="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sHuM9QAAAAFAQAADwAAAAAAAAABACAAAAAiAAAAZHJzL2Rvd25yZXYu&#10;eG1sUEsBAhQAFAAAAAgAh07iQH+OJkD/AQAAwgMAAA4AAAAAAAAAAQAgAAAAIwEAAGRycy9lMm9E&#10;b2MueG1sUEsFBgAAAAAGAAYAWQEAAJQFA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2677160;top:709295;height:265430;width:889635;" filled="f" stroked="t" coordsize="21600,21600" o:gfxdata="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Y3zPdcAAAAFAQAADwAAAAAAAAABACAAAAAiAAAA&#10;ZHJzL2Rvd25yZXYueG1sUEsBAhQAFAAAAAgAh07iQG+9drFBAgAATQQAAA4AAAAAAAAAAQAgAAAA&#10;JgEAAGRycy9lMm9Eb2MueG1sUEsFBgAAAAAGAAYAWQEAANkFA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高温烟气</w:t>
                        </w:r>
                      </w:p>
                    </w:txbxContent>
                  </v:textbox>
                </v:shape>
                <v:line id="_x0000_s1026" o:spid="_x0000_s1026" o:spt="20" style="position:absolute;left:3120390;top:974725;flip:x;height:353695;width:1905;" filled="f" stroked="t" coordsize="21600,21600" o:gfxdata="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7UptjWAAAABQEAAA8AAAAAAAAAAQAgAAAAIgAA&#10;AGRycy9kb3ducmV2LnhtbFBLAQIUABQAAAAIAIdO4kCS8dOQCgIAAM8DAAAOAAAAAAAAAAEAIAAA&#10;ACUBAABkcnMvZTJvRG9jLnhtbFBLBQYAAAAABgAGAFkBAAChBQ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2687955;top:1333500;height:265430;width:889635;" filled="f" stroked="t" coordsize="21600,21600" o:gfxdata="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&#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jfM91wAAAAUBAAAPAAAAAAAAAAEAIAAAACIAAABk&#10;cnMvZG93bnJldi54bWxQSwECFAAUAAAACACHTuJA9/MqNkACAABO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布袋除尘</w:t>
                        </w:r>
                      </w:p>
                    </w:txbxContent>
                  </v:textbox>
                </v:shape>
                <v:line id="_x0000_s1026" o:spid="_x0000_s1026" o:spt="20" style="position:absolute;left:3577590;top:1466215;height:4445;width:611505;" filled="f" stroked="t" coordsize="21600,21600" o:gfxdata="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we4z1AAAAAUBAAAPAAAAAAAAAAEAIAAAACIAAABkcnMvZG93&#10;bnJldi54bWxQSwECFAAUAAAACACHTuJAiAT3FwQCAADGAwAADgAAAAAAAAABACAAAAAjAQAAZHJz&#10;L2Uyb0RvYy54bWxQSwUGAAAAAAYABgBZAQAAmQU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4180205;top:1322705;height:338455;width:836930;"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KpL8dcAAAAFAQAADwAAAAAAAAABACAAAAAiAAAAZHJzL2Rvd25yZXYueG1sUEsBAhQA&#10;FAAAAAgAh07iQH59TyE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除尘下灰</w:t>
                        </w:r>
                      </w:p>
                    </w:txbxContent>
                  </v:textbox>
                </v:shape>
                <v:line id="_x0000_s1026" o:spid="_x0000_s1026" o:spt="20" style="position:absolute;left:3131185;top:1598930;flip:x;height:486410;width:1905;" filled="f" stroked="t" coordsize="21600,21600" o:gfxdata="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tSm2NYAAAAFAQAADwAAAAAAAAABACAAAAAi&#10;AAAAZHJzL2Rvd25yZXYueG1sUEsBAhQAFAAAAAgAh07iQFRzT20MAgAA0gMAAA4AAAAAAAAAAQAg&#10;AAAAJQEAAGRycy9lMm9Eb2MueG1sUEsFBgAAAAAGAAYAWQEAAKMFA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2402205;top:2084705;height:265430;width:1438275;" filled="f" stroked="t" coordsize="21600,21600" o:gfxdata="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2N8z3XAAAABQEAAA8AAAAAAAAAAQAgAAAAIgAAAGRycy9k&#10;b3ducmV2LnhtbFBLAQIUABQAAAAIAIdO4kDkOo+KPAIAAFEEAAAOAAAAAAAAAAEAIAAAACYBAABk&#10;cnMvZTJvRG9jLnhtbFBLBQYAAAAABgAGAFkBAADU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氧化钙法脱硫（二级）</w:t>
                        </w:r>
                      </w:p>
                    </w:txbxContent>
                  </v:textbox>
                </v:shape>
                <v:line id="_x0000_s1026" o:spid="_x0000_s1026" o:spt="20" style="position:absolute;left:3840480;top:2214880;flip:y;height:2540;width:708660;" filled="f" stroked="t" coordsize="21600,21600" o:gfxdata="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1KbY1gAAAAUBAAAPAAAAAAAAAAEAIAAAACIAAABk&#10;cnMvZG93bnJldi54bWxQSwECFAAUAAAACACHTuJAOKDOxwgCAADTAwAADgAAAAAAAAABACAAAAAl&#10;AQAAZHJzL2Uyb0RvYy54bWxQSwUGAAAAAAYABgBZAQAAnwU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4550410;top:2106295;height:265430;width:1205230;" filled="f" stroked="t" coordsize="21600,21600" o:gfxdata="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&#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jfM91wAAAAUBAAAPAAAAAAAAAAEAIAAAACIAAABk&#10;cnMvZG93bnJldi54bWxQSwECFAAUAAAACACHTuJAR+4n9EACAABRBAAADgAAAAAAAAABACAAAAAm&#10;AQAAZHJzL2Uyb0RvYy54bWxQSwUGAAAAAAYABgBZAQAA2AU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硫酸钙处理系统</w:t>
                        </w:r>
                      </w:p>
                    </w:txbxContent>
                  </v:textbox>
                </v:shape>
                <v:line id="_x0000_s1026" o:spid="_x0000_s1026" o:spt="20" style="position:absolute;left:3120390;top:2350135;flip:x;height:361950;width:1270;" filled="f" stroked="t" coordsize="21600,21600" o:gfxdata="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KbY1gAAAAUBAAAPAAAAAAAAAAEAIAAAACIA&#10;AABkcnMvZG93bnJldi54bWxQSwECFAAUAAAACACHTuJAQvae4AsCAADTAwAADgAAAAAAAAABACAA&#10;AAAlAQAAZHJzL2Uyb0RvYy54bWxQSwUGAAAAAAYABgBZAQAAogU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2571115;top:2709545;height:338455;width:1005840;"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qS/HXAAAABQEAAA8AAAAAAAAAAQAgAAAAIgAAAGRycy9kb3ducmV2LnhtbFBLAQIU&#10;ABQAAAAIAIdO4kABsu6fLQIAACgEAAAOAAAAAAAAAAEAIAAAACYBAABkcnMvZTJvRG9jLnhtbFBL&#10;BQYAAAAABgAGAFkBAADF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sz w:val="21"/>
                            <w:szCs w:val="21"/>
                            <w:lang w:eastAsia="zh-CN"/>
                          </w:rPr>
                        </w:pPr>
                        <w:r>
                          <w:rPr>
                            <w:rFonts w:hint="eastAsia"/>
                            <w:sz w:val="21"/>
                            <w:szCs w:val="21"/>
                            <w:lang w:eastAsia="zh-CN"/>
                          </w:rPr>
                          <w:t>达标排放</w:t>
                        </w:r>
                      </w:p>
                    </w:txbxContent>
                  </v:textbox>
                </v:shape>
                <v:line id="_x0000_s1026" o:spid="_x0000_s1026" o:spt="20" style="position:absolute;left:5152390;top:2371725;flip:x;height:374650;width:635;" filled="f" stroked="t" coordsize="21600,21600" o:gfxdata="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7UptjWAAAABQEAAA8AAAAAAAAAAQAgAAAAIgAA&#10;AGRycy9kb3ducmV2LnhtbFBLAQIUABQAAAAIAIdO4kATncvXCgIAANIDAAAOAAAAAAAAAAEAIAAA&#10;ACUBAABkcnMvZTJvRG9jLnhtbFBLBQYAAAAABgAGAFkBAAChBQ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4773295;top:2719705;height:338455;width:836930;"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KpL8dcAAAAFAQAADwAAAAAAAAABACAAAAAiAAAAZHJzL2Rvd25yZXYueG1sUEsBAhQA&#10;FAAAAAgAh07iQJR/nK0sAgAAJwQAAA4AAAAAAAAAAQAgAAAAJgEAAGRycy9lMm9Eb2MueG1sUEsF&#10;BgAAAAAGAAYAWQEAAMQ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eastAsia="宋体"/>
                            <w:sz w:val="21"/>
                            <w:szCs w:val="21"/>
                            <w:lang w:eastAsia="zh-CN"/>
                          </w:rPr>
                        </w:pPr>
                        <w:r>
                          <w:rPr>
                            <w:rFonts w:hint="eastAsia"/>
                            <w:sz w:val="21"/>
                            <w:szCs w:val="21"/>
                            <w:lang w:eastAsia="zh-CN"/>
                          </w:rPr>
                          <w:t>脱硫石膏</w:t>
                        </w:r>
                      </w:p>
                    </w:txbxContent>
                  </v:textbox>
                </v:shape>
                <v:line id="_x0000_s1026" o:spid="_x0000_s1026" o:spt="20" style="position:absolute;left:5153025;top:1850390;flip:y;height:255905;width:6350;" filled="f" stroked="t" coordsize="21600,21600" o:gfxdata="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1dSE2AAAAAUBAAAPAAAAAAAAAAEAIAAAACIAAABkcnMv&#10;ZG93bnJldi54bWxQSwECFAAUAAAACACHTuJABULIUQMCAADPAwAADgAAAAAAAAABACAAAAAnAQAA&#10;ZHJzL2Uyb0RvYy54bWxQSwUGAAAAAAYABgBZAQAAnAUAAAAA&#10;">
                  <v:fill on="f" focussize="0,0"/>
                  <v:stroke weight="0.5pt" color="#000000 [3213]" miterlimit="8" joinstyle="miter" endarrowwidth="narrow" endarrowlength="long"/>
                  <v:imagedata o:title=""/>
                  <o:lock v:ext="edit" aspectratio="f"/>
                </v:line>
                <v:line id="_x0000_s1026" o:spid="_x0000_s1026" o:spt="20" style="position:absolute;left:3230245;top:1842135;flip:x;height:0;width:1920875;" filled="f" stroked="t" coordsize="21600,21600" o:gfxdata="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tXUhNgAAAAFAQAADwAAAAAAAAABACAAAAAiAAAAZHJzL2Rvd25yZXYueG1s&#10;UEsBAhQAFAAAAAgAh07iQL3OowH4AQAApQMAAA4AAAAAAAAAAQAgAAAAJwEAAGRycy9lMm9Eb2Mu&#10;eG1sUEsFBgAAAAAGAAYAWQEAAJEFAAAAAA==&#10;">
                  <v:fill on="f" focussize="0,0"/>
                  <v:stroke weight="0.5pt" color="#000000 [3213]" miterlimit="8" joinstyle="miter" endarrowwidth="narrow" endarrowlength="long"/>
                  <v:imagedata o:title=""/>
                  <o:lock v:ext="edit" aspectratio="f"/>
                </v:line>
                <v:shape id="_x0000_s1026" o:spid="_x0000_s1026" o:spt="100" style="position:absolute;left:3060700;top:1777365;height:63500;width:171450;" filled="f" stroked="t" coordsize="171450,63500" o:gfxdata="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PC551wAAAAUBAAAPAAAAAAAAAAEAIAAAACIA&#10;AABkcnMvZG93bnJldi54bWxQSwECFAAUAAAACACHTuJAmFiWYe4CAABxBwAADgAAAAAAAAABACAA&#10;AAAmAQAAZHJzL2Uyb0RvYy54bWxQSwUGAAAAAAYABgBZAQAAhgYAAAAA&#10;" path="m171450,63500c153670,49530,110490,0,76200,0c41910,0,1270,49530,0,63500e">
                  <v:path o:connectlocs="171450,63500;76200,0;0,63500;69850,69850" o:connectangles="0,0,0,0"/>
                  <v:fill on="f" focussize="0,0"/>
                  <v:stroke weight="0.5pt" color="#000000 [3213]" miterlimit="8" joinstyle="miter"/>
                  <v:imagedata o:title=""/>
                  <o:lock v:ext="edit" aspectratio="f"/>
                </v:shape>
                <v:line id="_x0000_s1026" o:spid="_x0000_s1026" o:spt="20" style="position:absolute;left:1725930;top:1845945;flip:x;height:0;width:1333500;" filled="f" stroked="t" coordsize="21600,21600" o:gfxdata="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LV1ITYAAAABQEAAA8AAAAAAAAAAQAgAAAAIgAAAGRycy9kb3ducmV2LnhtbFBL&#10;AQIUABQAAAAIAIdO4kAm+v4H9gEAAKUDAAAOAAAAAAAAAAEAIAAAACcBAABkcnMvZTJvRG9jLnht&#10;bFBLBQYAAAAABgAGAFkBAACPBQAAAAA=&#10;">
                  <v:fill on="f" focussize="0,0"/>
                  <v:stroke weight="0.5pt" color="#000000 [3213]" miterlimit="8" joinstyle="miter" endarrowwidth="narrow" endarrowlength="long"/>
                  <v:imagedata o:title=""/>
                  <o:lock v:ext="edit" aspectratio="f"/>
                </v:line>
                <v:line id="_x0000_s1026" o:spid="_x0000_s1026" o:spt="20" style="position:absolute;left:1725930;top:1851025;height:270510;width:0;" filled="f" stroked="t" coordsize="21600,21600" o:gfxdata="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sHu&#10;M9QAAAAFAQAADwAAAAAAAAABACAAAAAiAAAAZHJzL2Rvd25yZXYueG1sUEsBAhQAFAAAAAgAh07i&#10;QKoYJVHtAQAAngMAAA4AAAAAAAAAAQAgAAAAIwEAAGRycy9lMm9Eb2MueG1sUEsFBgAAAAAGAAYA&#10;WQEAAIIFA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762000;top:2129155;height:267970;width:1306830;"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qkvx1wAAAAUBAAAPAAAAAAAAAAEAIAAAACIAAABkcnMvZG93bnJldi54bWxQSwECFAAU&#10;AAAACACHTuJANabmJysCAAAnBAAADgAAAAAAAAABACAAAAAm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eastAsia="宋体"/>
                            <w:sz w:val="21"/>
                            <w:szCs w:val="21"/>
                            <w:lang w:val="en-US" w:eastAsia="zh-CN"/>
                          </w:rPr>
                        </w:pPr>
                        <w:r>
                          <w:rPr>
                            <w:rFonts w:hint="eastAsia"/>
                            <w:sz w:val="21"/>
                            <w:szCs w:val="21"/>
                            <w:lang w:val="en-US" w:eastAsia="zh-CN"/>
                          </w:rPr>
                          <w:t>软水净化设备排水</w:t>
                        </w:r>
                      </w:p>
                    </w:txbxContent>
                  </v:textbox>
                </v:shape>
                <v:line id="_x0000_s1026" o:spid="_x0000_s1026" o:spt="20" style="position:absolute;left:1971675;top:2237740;height:0;width:441960;" filled="f" stroked="t" coordsize="21600,21600" o:gfxdata="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we4z1AAAAAUBAAAPAAAAAAAAAAEAIAAAACIAAABkcnMvZG93bnJldi54bWxQSwECFAAUAAAA&#10;CACHTuJAfN/9dPIBAACeAwAADgAAAAAAAAABACAAAAAjAQAAZHJzL2Uyb0RvYy54bWxQSwUGAAAA&#10;AAYABgBZAQAAhwUAAAAA&#10;">
                  <v:fill on="f" focussize="0,0"/>
                  <v:stroke weight="0.5pt" color="#000000 [3213]" miterlimit="8" joinstyle="miter" endarrow="block" endarrowwidth="narrow" endarrowlength="long"/>
                  <v:imagedata o:title=""/>
                  <o:lock v:ext="edit" aspectratio="f"/>
                </v:line>
                <v:shape id="_x0000_s1026" o:spid="_x0000_s1026" o:spt="202" type="#_x0000_t202" style="position:absolute;left:1629410;top:3376295;height:338455;width:3408045;" filled="f" stroked="f" coordsize="21600,21600" o:gfxdata="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yqS/HXAAAABQEAAA8AAAAAAAAAAQAgAAAAIgAAAGRycy9kb3ducmV2LnhtbFBLAQIUABQA&#10;AAAIAIdO4kDlSqGjKgIAACgEAAAOAAAAAAAAAAEAIAAAACY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ind w:firstLine="0" w:firstLineChars="0"/>
                          <w:textAlignment w:val="auto"/>
                          <w:rPr>
                            <w:rFonts w:hint="default" w:eastAsia="宋体"/>
                            <w:b/>
                            <w:bCs/>
                            <w:sz w:val="24"/>
                            <w:szCs w:val="24"/>
                            <w:lang w:val="en-US" w:eastAsia="zh-CN"/>
                          </w:rPr>
                        </w:pPr>
                        <w:r>
                          <w:rPr>
                            <w:rFonts w:hint="eastAsia"/>
                            <w:b/>
                            <w:bCs/>
                            <w:sz w:val="24"/>
                            <w:szCs w:val="24"/>
                            <w:lang w:eastAsia="zh-CN"/>
                          </w:rPr>
                          <w:t>图</w:t>
                        </w:r>
                        <w:r>
                          <w:rPr>
                            <w:rFonts w:hint="eastAsia"/>
                            <w:b/>
                            <w:bCs/>
                            <w:sz w:val="24"/>
                            <w:szCs w:val="24"/>
                            <w:lang w:val="en-US" w:eastAsia="zh-CN"/>
                          </w:rPr>
                          <w:t>6.1.1-2 埋弧电煅炉烟气处理工艺流程图</w:t>
                        </w:r>
                      </w:p>
                    </w:txbxContent>
                  </v:textbox>
                </v:shape>
                <w10:wrap type="none"/>
                <w10:anchorlock/>
              </v:group>
            </w:pict>
          </mc:Fallback>
        </mc:AlternateContent>
      </w:r>
    </w:p>
    <w:p>
      <w:pPr>
        <w:pStyle w:val="27"/>
        <w:bidi w:val="0"/>
      </w:pPr>
      <w:r>
        <w:t>表</w:t>
      </w:r>
      <w:r>
        <w:rPr>
          <w:rFonts w:hint="eastAsia"/>
          <w:lang w:val="en-US" w:eastAsia="zh-CN"/>
        </w:rPr>
        <w:t>6.1.1-1</w:t>
      </w:r>
      <w:r>
        <w:t xml:space="preserve"> 一期</w:t>
      </w:r>
      <w:r>
        <w:rPr>
          <w:rFonts w:hint="eastAsia"/>
          <w:lang w:val="en-US" w:eastAsia="zh-CN"/>
        </w:rPr>
        <w:t>/二期</w:t>
      </w:r>
      <w:r>
        <w:rPr>
          <w:rFonts w:hint="eastAsia"/>
          <w:lang w:eastAsia="zh-CN"/>
        </w:rPr>
        <w:t>电煅</w:t>
      </w:r>
      <w:r>
        <w:t>废气处理物料平衡表（t/a）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820"/>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pStyle w:val="28"/>
              <w:suppressLineNumbers w:val="0"/>
              <w:bidi w:val="0"/>
              <w:spacing w:before="0" w:after="0"/>
              <w:ind w:left="0" w:right="0"/>
            </w:pPr>
            <w:r>
              <w:t>处理措施</w:t>
            </w:r>
          </w:p>
        </w:tc>
        <w:tc>
          <w:tcPr>
            <w:tcW w:w="3820" w:type="dxa"/>
            <w:noWrap w:val="0"/>
            <w:vAlign w:val="center"/>
          </w:tcPr>
          <w:p>
            <w:pPr>
              <w:pStyle w:val="28"/>
              <w:suppressLineNumbers w:val="0"/>
              <w:bidi w:val="0"/>
              <w:spacing w:before="0" w:after="0"/>
              <w:ind w:left="0" w:right="0"/>
            </w:pPr>
            <w:r>
              <w:t>入方</w:t>
            </w:r>
          </w:p>
        </w:tc>
        <w:tc>
          <w:tcPr>
            <w:tcW w:w="4049" w:type="dxa"/>
            <w:noWrap w:val="0"/>
            <w:vAlign w:val="center"/>
          </w:tcPr>
          <w:p>
            <w:pPr>
              <w:pStyle w:val="28"/>
              <w:suppressLineNumbers w:val="0"/>
              <w:bidi w:val="0"/>
              <w:spacing w:before="0" w:after="0"/>
              <w:ind w:left="0" w:right="0"/>
            </w:pPr>
            <w: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center"/>
          </w:tcPr>
          <w:p>
            <w:pPr>
              <w:pStyle w:val="28"/>
              <w:suppressLineNumbers w:val="0"/>
              <w:bidi w:val="0"/>
              <w:spacing w:before="0" w:after="0"/>
              <w:ind w:left="0" w:right="0"/>
            </w:pPr>
            <w:r>
              <w:t>布袋除尘+氧化钙脱硫（</w:t>
            </w:r>
            <w:r>
              <w:rPr>
                <w:rFonts w:hint="eastAsia"/>
                <w:lang w:eastAsia="zh-CN"/>
              </w:rPr>
              <w:t>二</w:t>
            </w:r>
            <w:r>
              <w:t>级）</w:t>
            </w:r>
          </w:p>
        </w:tc>
        <w:tc>
          <w:tcPr>
            <w:tcW w:w="3820" w:type="dxa"/>
            <w:noWrap w:val="0"/>
            <w:vAlign w:val="center"/>
          </w:tcPr>
          <w:p>
            <w:pPr>
              <w:pStyle w:val="28"/>
              <w:suppressLineNumbers w:val="0"/>
              <w:bidi w:val="0"/>
              <w:spacing w:before="0" w:after="0"/>
              <w:ind w:left="0" w:right="0"/>
            </w:pPr>
            <w:r>
              <w:rPr>
                <w:lang w:val="zh-CN"/>
              </w:rPr>
              <w:t>G</w:t>
            </w:r>
            <w:r>
              <w:rPr>
                <w:rFonts w:hint="eastAsia"/>
                <w:sz w:val="21"/>
                <w:vertAlign w:val="subscript"/>
                <w:lang w:val="en-US" w:eastAsia="zh-CN"/>
              </w:rPr>
              <w:t>1-2</w:t>
            </w:r>
            <w:r>
              <w:rPr>
                <w:rFonts w:hint="eastAsia"/>
                <w:sz w:val="21"/>
                <w:vertAlign w:val="baseline"/>
                <w:lang w:val="en-US" w:eastAsia="zh-CN"/>
              </w:rPr>
              <w:t>289213.18（</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 xml:space="preserve"> 252.57</w:t>
            </w:r>
            <w:r>
              <w:rPr>
                <w:rFonts w:hint="eastAsia"/>
                <w:sz w:val="21"/>
                <w:lang w:val="en-US" w:eastAsia="zh-CN"/>
              </w:rPr>
              <w:t>、NOx15、烟尘185、CO</w:t>
            </w:r>
            <w:r>
              <w:rPr>
                <w:rFonts w:hint="eastAsia"/>
                <w:sz w:val="21"/>
                <w:vertAlign w:val="subscript"/>
                <w:lang w:val="en-US" w:eastAsia="zh-CN"/>
              </w:rPr>
              <w:t>2</w:t>
            </w:r>
            <w:r>
              <w:rPr>
                <w:rFonts w:hint="eastAsia"/>
                <w:sz w:val="21"/>
                <w:lang w:val="en-US" w:eastAsia="zh-CN"/>
              </w:rPr>
              <w:t xml:space="preserve"> 303.08、水分81.95、N</w:t>
            </w:r>
            <w:r>
              <w:rPr>
                <w:rFonts w:hint="eastAsia"/>
                <w:sz w:val="21"/>
                <w:vertAlign w:val="subscript"/>
                <w:lang w:val="en-US" w:eastAsia="zh-CN"/>
              </w:rPr>
              <w:t xml:space="preserve">2 </w:t>
            </w:r>
            <w:r>
              <w:rPr>
                <w:rFonts w:hint="eastAsia"/>
                <w:sz w:val="21"/>
                <w:lang w:val="en-US" w:eastAsia="zh-CN"/>
              </w:rPr>
              <w:t>225384.11、O</w:t>
            </w:r>
            <w:r>
              <w:rPr>
                <w:rFonts w:hint="eastAsia"/>
                <w:sz w:val="21"/>
                <w:vertAlign w:val="subscript"/>
                <w:lang w:val="en-US" w:eastAsia="zh-CN"/>
              </w:rPr>
              <w:t>2</w:t>
            </w:r>
            <w:r>
              <w:rPr>
                <w:rFonts w:hint="eastAsia"/>
                <w:sz w:val="21"/>
                <w:lang w:val="en-US" w:eastAsia="zh-CN"/>
              </w:rPr>
              <w:t>60323.91、其他2666.84</w:t>
            </w:r>
            <w:r>
              <w:rPr>
                <w:rFonts w:hint="eastAsia"/>
                <w:sz w:val="21"/>
                <w:vertAlign w:val="baseline"/>
                <w:lang w:val="en-US" w:eastAsia="zh-CN"/>
              </w:rPr>
              <w:t>）</w:t>
            </w:r>
          </w:p>
        </w:tc>
        <w:tc>
          <w:tcPr>
            <w:tcW w:w="404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zh-CN"/>
              </w:rPr>
              <w:t>尾气</w:t>
            </w:r>
            <w:r>
              <w:rPr>
                <w:rFonts w:hint="eastAsia"/>
                <w:sz w:val="21"/>
                <w:vertAlign w:val="baseline"/>
                <w:lang w:val="en-US" w:eastAsia="zh-CN"/>
              </w:rPr>
              <w:t>288667.96（</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 xml:space="preserve"> 16</w:t>
            </w:r>
            <w:r>
              <w:rPr>
                <w:rFonts w:hint="eastAsia"/>
                <w:sz w:val="21"/>
                <w:lang w:val="en-US" w:eastAsia="zh-CN"/>
              </w:rPr>
              <w:t>、NOx15、烟尘0.84、CO</w:t>
            </w:r>
            <w:r>
              <w:rPr>
                <w:rFonts w:hint="eastAsia"/>
                <w:sz w:val="21"/>
                <w:vertAlign w:val="subscript"/>
                <w:lang w:val="en-US" w:eastAsia="zh-CN"/>
              </w:rPr>
              <w:t>2</w:t>
            </w:r>
            <w:r>
              <w:rPr>
                <w:rFonts w:hint="eastAsia"/>
                <w:sz w:val="21"/>
                <w:lang w:val="en-US" w:eastAsia="zh-CN"/>
              </w:rPr>
              <w:t xml:space="preserve"> 303.08、水分16.60、N</w:t>
            </w:r>
            <w:r>
              <w:rPr>
                <w:rFonts w:hint="eastAsia"/>
                <w:sz w:val="21"/>
                <w:vertAlign w:val="subscript"/>
                <w:lang w:val="en-US" w:eastAsia="zh-CN"/>
              </w:rPr>
              <w:t xml:space="preserve">2 </w:t>
            </w:r>
            <w:r>
              <w:rPr>
                <w:rFonts w:hint="eastAsia"/>
                <w:sz w:val="21"/>
                <w:lang w:val="en-US" w:eastAsia="zh-CN"/>
              </w:rPr>
              <w:t>225384.11、O</w:t>
            </w:r>
            <w:r>
              <w:rPr>
                <w:rFonts w:hint="eastAsia"/>
                <w:sz w:val="21"/>
                <w:vertAlign w:val="subscript"/>
                <w:lang w:val="en-US" w:eastAsia="zh-CN"/>
              </w:rPr>
              <w:t>2</w:t>
            </w:r>
            <w:r>
              <w:rPr>
                <w:rFonts w:hint="eastAsia"/>
                <w:sz w:val="21"/>
                <w:lang w:val="en-US" w:eastAsia="zh-CN"/>
              </w:rPr>
              <w:t>60264.77、其他2666.84</w:t>
            </w:r>
            <w:r>
              <w:rPr>
                <w:rFonts w:hint="eastAsia"/>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center"/>
          </w:tcPr>
          <w:p>
            <w:pPr>
              <w:pStyle w:val="28"/>
              <w:suppressLineNumbers w:val="0"/>
              <w:bidi w:val="0"/>
              <w:spacing w:before="0" w:after="0"/>
              <w:ind w:left="0" w:right="0"/>
              <w:outlineLvl w:val="9"/>
            </w:pPr>
          </w:p>
        </w:tc>
        <w:tc>
          <w:tcPr>
            <w:tcW w:w="382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75</w:t>
            </w:r>
            <w:r>
              <w:t>%氧化钙</w:t>
            </w:r>
            <w:r>
              <w:rPr>
                <w:rFonts w:hint="eastAsia"/>
                <w:lang w:val="en-US" w:eastAsia="zh-CN"/>
              </w:rPr>
              <w:t>281.52</w:t>
            </w:r>
          </w:p>
        </w:tc>
        <w:tc>
          <w:tcPr>
            <w:tcW w:w="4049" w:type="dxa"/>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除尘下灰</w:t>
            </w:r>
            <w:r>
              <w:rPr>
                <w:rFonts w:hint="eastAsia"/>
                <w:lang w:val="en-US" w:eastAsia="zh-CN"/>
              </w:rPr>
              <w:t xml:space="preserve"> 184.16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center"/>
          </w:tcPr>
          <w:p>
            <w:pPr>
              <w:pStyle w:val="28"/>
              <w:suppressLineNumbers w:val="0"/>
              <w:bidi w:val="0"/>
              <w:spacing w:before="0" w:after="0"/>
              <w:ind w:left="0" w:right="0"/>
              <w:outlineLvl w:val="9"/>
            </w:pPr>
          </w:p>
        </w:tc>
        <w:tc>
          <w:tcPr>
            <w:tcW w:w="382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4049" w:type="dxa"/>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脱硫石膏</w:t>
            </w:r>
            <w:r>
              <w:rPr>
                <w:rFonts w:hint="eastAsia"/>
                <w:lang w:val="en-US" w:eastAsia="zh-CN"/>
              </w:rPr>
              <w:t xml:space="preserve"> 642.58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pStyle w:val="28"/>
              <w:suppressLineNumbers w:val="0"/>
              <w:bidi w:val="0"/>
              <w:spacing w:before="0" w:after="0"/>
              <w:ind w:left="0" w:right="0"/>
            </w:pPr>
            <w:r>
              <w:t>合计</w:t>
            </w:r>
          </w:p>
        </w:tc>
        <w:tc>
          <w:tcPr>
            <w:tcW w:w="382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289494.70</w:t>
            </w:r>
          </w:p>
        </w:tc>
        <w:tc>
          <w:tcPr>
            <w:tcW w:w="4049" w:type="dxa"/>
            <w:noWrap w:val="0"/>
            <w:vAlign w:val="center"/>
          </w:tcPr>
          <w:p>
            <w:pPr>
              <w:pStyle w:val="28"/>
              <w:suppressLineNumbers w:val="0"/>
              <w:bidi w:val="0"/>
              <w:spacing w:before="0" w:after="0"/>
              <w:ind w:left="0" w:right="0"/>
            </w:pPr>
            <w:r>
              <w:rPr>
                <w:rFonts w:hint="eastAsia"/>
                <w:lang w:val="en-US" w:eastAsia="zh-CN"/>
              </w:rPr>
              <w:t>289494.70</w:t>
            </w:r>
          </w:p>
        </w:tc>
      </w:tr>
    </w:tbl>
    <w:p>
      <w:pPr>
        <w:pStyle w:val="27"/>
        <w:bidi w:val="0"/>
      </w:pPr>
      <w:r>
        <w:t>表</w:t>
      </w:r>
      <w:r>
        <w:rPr>
          <w:rFonts w:hint="eastAsia"/>
          <w:lang w:val="en-US" w:eastAsia="zh-CN"/>
        </w:rPr>
        <w:t>6.1.1-2全厂</w:t>
      </w:r>
      <w:r>
        <w:rPr>
          <w:rFonts w:hint="eastAsia"/>
          <w:lang w:eastAsia="zh-CN"/>
        </w:rPr>
        <w:t>电煅</w:t>
      </w:r>
      <w:r>
        <w:t>废气处理处理物料平衡表（t/a）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3820"/>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pStyle w:val="28"/>
              <w:suppressLineNumbers w:val="0"/>
              <w:bidi w:val="0"/>
              <w:spacing w:before="0" w:after="0"/>
              <w:ind w:left="0" w:right="0"/>
            </w:pPr>
            <w:r>
              <w:t>处理措施</w:t>
            </w:r>
          </w:p>
        </w:tc>
        <w:tc>
          <w:tcPr>
            <w:tcW w:w="3820" w:type="dxa"/>
            <w:noWrap w:val="0"/>
            <w:vAlign w:val="center"/>
          </w:tcPr>
          <w:p>
            <w:pPr>
              <w:pStyle w:val="28"/>
              <w:suppressLineNumbers w:val="0"/>
              <w:bidi w:val="0"/>
              <w:spacing w:before="0" w:after="0"/>
              <w:ind w:left="0" w:right="0"/>
            </w:pPr>
            <w:r>
              <w:t>入方</w:t>
            </w:r>
          </w:p>
        </w:tc>
        <w:tc>
          <w:tcPr>
            <w:tcW w:w="4049" w:type="dxa"/>
            <w:noWrap w:val="0"/>
            <w:vAlign w:val="center"/>
          </w:tcPr>
          <w:p>
            <w:pPr>
              <w:pStyle w:val="28"/>
              <w:suppressLineNumbers w:val="0"/>
              <w:bidi w:val="0"/>
              <w:spacing w:before="0" w:after="0"/>
              <w:ind w:left="0" w:right="0"/>
            </w:pPr>
            <w: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center"/>
          </w:tcPr>
          <w:p>
            <w:pPr>
              <w:pStyle w:val="28"/>
              <w:suppressLineNumbers w:val="0"/>
              <w:bidi w:val="0"/>
              <w:spacing w:before="0" w:after="0"/>
              <w:ind w:left="0" w:right="0"/>
            </w:pPr>
            <w:r>
              <w:t>布袋除尘+氧化钙脱硫（</w:t>
            </w:r>
            <w:r>
              <w:rPr>
                <w:rFonts w:hint="eastAsia"/>
                <w:lang w:eastAsia="zh-CN"/>
              </w:rPr>
              <w:t>二</w:t>
            </w:r>
            <w:r>
              <w:t>级）</w:t>
            </w:r>
          </w:p>
        </w:tc>
        <w:tc>
          <w:tcPr>
            <w:tcW w:w="3820" w:type="dxa"/>
            <w:noWrap w:val="0"/>
            <w:vAlign w:val="center"/>
          </w:tcPr>
          <w:p>
            <w:pPr>
              <w:pStyle w:val="28"/>
              <w:suppressLineNumbers w:val="0"/>
              <w:bidi w:val="0"/>
              <w:spacing w:before="0" w:after="0"/>
              <w:ind w:left="0" w:right="0"/>
            </w:pPr>
            <w:r>
              <w:rPr>
                <w:lang w:val="zh-CN"/>
              </w:rPr>
              <w:t>G</w:t>
            </w:r>
            <w:r>
              <w:rPr>
                <w:rFonts w:hint="eastAsia"/>
                <w:sz w:val="21"/>
                <w:vertAlign w:val="subscript"/>
                <w:lang w:val="en-US" w:eastAsia="zh-CN"/>
              </w:rPr>
              <w:t>1-2</w:t>
            </w:r>
            <w:r>
              <w:rPr>
                <w:rFonts w:hint="eastAsia"/>
                <w:sz w:val="21"/>
                <w:vertAlign w:val="baseline"/>
                <w:lang w:val="en-US" w:eastAsia="zh-CN"/>
              </w:rPr>
              <w:t>578213.36（</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505.14</w:t>
            </w:r>
            <w:r>
              <w:rPr>
                <w:rFonts w:hint="eastAsia"/>
                <w:sz w:val="21"/>
                <w:lang w:val="en-US" w:eastAsia="zh-CN"/>
              </w:rPr>
              <w:t>、NOx30、烟尘370、CO</w:t>
            </w:r>
            <w:r>
              <w:rPr>
                <w:rFonts w:hint="eastAsia"/>
                <w:sz w:val="21"/>
                <w:vertAlign w:val="subscript"/>
                <w:lang w:val="en-US" w:eastAsia="zh-CN"/>
              </w:rPr>
              <w:t>2</w:t>
            </w:r>
            <w:r>
              <w:rPr>
                <w:rFonts w:hint="eastAsia"/>
                <w:sz w:val="21"/>
                <w:lang w:val="en-US" w:eastAsia="zh-CN"/>
              </w:rPr>
              <w:t xml:space="preserve"> 607.60、水分163.90、N</w:t>
            </w:r>
            <w:r>
              <w:rPr>
                <w:rFonts w:hint="eastAsia"/>
                <w:sz w:val="21"/>
                <w:vertAlign w:val="subscript"/>
                <w:lang w:val="en-US" w:eastAsia="zh-CN"/>
              </w:rPr>
              <w:t xml:space="preserve">2 </w:t>
            </w:r>
            <w:r>
              <w:rPr>
                <w:rFonts w:hint="eastAsia"/>
                <w:sz w:val="21"/>
                <w:lang w:val="en-US" w:eastAsia="zh-CN"/>
              </w:rPr>
              <w:t>450768.22、O</w:t>
            </w:r>
            <w:r>
              <w:rPr>
                <w:rFonts w:hint="eastAsia"/>
                <w:sz w:val="21"/>
                <w:vertAlign w:val="subscript"/>
                <w:lang w:val="en-US" w:eastAsia="zh-CN"/>
              </w:rPr>
              <w:t>2</w:t>
            </w:r>
            <w:r>
              <w:rPr>
                <w:rFonts w:hint="eastAsia"/>
                <w:sz w:val="21"/>
                <w:lang w:val="en-US" w:eastAsia="zh-CN"/>
              </w:rPr>
              <w:t>120647.82、其他5333.68</w:t>
            </w:r>
            <w:r>
              <w:rPr>
                <w:rFonts w:hint="eastAsia"/>
                <w:sz w:val="21"/>
                <w:vertAlign w:val="baseline"/>
                <w:lang w:val="en-US" w:eastAsia="zh-CN"/>
              </w:rPr>
              <w:t>）</w:t>
            </w:r>
          </w:p>
        </w:tc>
        <w:tc>
          <w:tcPr>
            <w:tcW w:w="404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zh-CN"/>
              </w:rPr>
              <w:t>尾气</w:t>
            </w:r>
            <w:r>
              <w:rPr>
                <w:rFonts w:hint="eastAsia"/>
                <w:sz w:val="21"/>
                <w:vertAlign w:val="baseline"/>
                <w:lang w:val="en-US" w:eastAsia="zh-CN"/>
              </w:rPr>
              <w:t>577335.91（</w:t>
            </w:r>
            <w:r>
              <w:rPr>
                <w:rFonts w:hint="eastAsia"/>
                <w:sz w:val="21"/>
                <w:lang w:val="en-US" w:eastAsia="zh-CN"/>
              </w:rPr>
              <w:t>SO</w:t>
            </w:r>
            <w:r>
              <w:rPr>
                <w:rFonts w:hint="eastAsia"/>
                <w:sz w:val="21"/>
                <w:vertAlign w:val="subscript"/>
                <w:lang w:val="en-US" w:eastAsia="zh-CN"/>
              </w:rPr>
              <w:t>2</w:t>
            </w:r>
            <w:r>
              <w:rPr>
                <w:rFonts w:hint="eastAsia"/>
                <w:sz w:val="21"/>
                <w:vertAlign w:val="baseline"/>
                <w:lang w:val="en-US" w:eastAsia="zh-CN"/>
              </w:rPr>
              <w:t xml:space="preserve"> 32</w:t>
            </w:r>
            <w:r>
              <w:rPr>
                <w:rFonts w:hint="eastAsia"/>
                <w:sz w:val="21"/>
                <w:lang w:val="en-US" w:eastAsia="zh-CN"/>
              </w:rPr>
              <w:t>、NOx30、烟尘1.68、CO</w:t>
            </w:r>
            <w:r>
              <w:rPr>
                <w:rFonts w:hint="eastAsia"/>
                <w:sz w:val="21"/>
                <w:vertAlign w:val="subscript"/>
                <w:lang w:val="en-US" w:eastAsia="zh-CN"/>
              </w:rPr>
              <w:t>2</w:t>
            </w:r>
            <w:r>
              <w:rPr>
                <w:rFonts w:hint="eastAsia"/>
                <w:sz w:val="21"/>
                <w:lang w:val="en-US" w:eastAsia="zh-CN"/>
              </w:rPr>
              <w:t>607.6、水分33.20、N</w:t>
            </w:r>
            <w:r>
              <w:rPr>
                <w:rFonts w:hint="eastAsia"/>
                <w:sz w:val="21"/>
                <w:vertAlign w:val="subscript"/>
                <w:lang w:val="en-US" w:eastAsia="zh-CN"/>
              </w:rPr>
              <w:t xml:space="preserve">2 </w:t>
            </w:r>
            <w:r>
              <w:rPr>
                <w:rFonts w:hint="eastAsia"/>
                <w:sz w:val="21"/>
                <w:lang w:val="en-US" w:eastAsia="zh-CN"/>
              </w:rPr>
              <w:t>450768.22、O</w:t>
            </w:r>
            <w:r>
              <w:rPr>
                <w:rFonts w:hint="eastAsia"/>
                <w:sz w:val="21"/>
                <w:vertAlign w:val="subscript"/>
                <w:lang w:val="en-US" w:eastAsia="zh-CN"/>
              </w:rPr>
              <w:t>2</w:t>
            </w:r>
            <w:r>
              <w:rPr>
                <w:rFonts w:hint="eastAsia"/>
                <w:sz w:val="21"/>
                <w:lang w:val="en-US" w:eastAsia="zh-CN"/>
              </w:rPr>
              <w:t>120529.54、其他5333.68</w:t>
            </w:r>
            <w:r>
              <w:rPr>
                <w:rFonts w:hint="eastAsia"/>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center"/>
          </w:tcPr>
          <w:p>
            <w:pPr>
              <w:pStyle w:val="28"/>
              <w:suppressLineNumbers w:val="0"/>
              <w:bidi w:val="0"/>
              <w:spacing w:before="0" w:after="0"/>
              <w:ind w:left="0" w:right="0"/>
              <w:outlineLvl w:val="9"/>
            </w:pPr>
          </w:p>
        </w:tc>
        <w:tc>
          <w:tcPr>
            <w:tcW w:w="382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75</w:t>
            </w:r>
            <w:r>
              <w:t>%氧化钙</w:t>
            </w:r>
            <w:r>
              <w:rPr>
                <w:rFonts w:hint="eastAsia"/>
                <w:lang w:val="en-US" w:eastAsia="zh-CN"/>
              </w:rPr>
              <w:t>563.04</w:t>
            </w:r>
          </w:p>
        </w:tc>
        <w:tc>
          <w:tcPr>
            <w:tcW w:w="4049" w:type="dxa"/>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除尘下灰</w:t>
            </w:r>
            <w:r>
              <w:rPr>
                <w:rFonts w:hint="eastAsia"/>
                <w:lang w:val="en-US" w:eastAsia="zh-CN"/>
              </w:rPr>
              <w:t>368.32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center"/>
          </w:tcPr>
          <w:p>
            <w:pPr>
              <w:pStyle w:val="28"/>
              <w:suppressLineNumbers w:val="0"/>
              <w:bidi w:val="0"/>
              <w:spacing w:before="0" w:after="0"/>
              <w:ind w:left="0" w:right="0"/>
              <w:outlineLvl w:val="9"/>
            </w:pPr>
          </w:p>
        </w:tc>
        <w:tc>
          <w:tcPr>
            <w:tcW w:w="382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4049" w:type="dxa"/>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脱硫石膏</w:t>
            </w:r>
            <w:r>
              <w:rPr>
                <w:rFonts w:hint="eastAsia"/>
                <w:lang w:val="en-US" w:eastAsia="zh-CN"/>
              </w:rPr>
              <w:t>1285.17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center"/>
          </w:tcPr>
          <w:p>
            <w:pPr>
              <w:pStyle w:val="28"/>
              <w:suppressLineNumbers w:val="0"/>
              <w:bidi w:val="0"/>
              <w:spacing w:before="0" w:after="0"/>
              <w:ind w:left="0" w:right="0"/>
            </w:pPr>
            <w:r>
              <w:t>合计</w:t>
            </w:r>
          </w:p>
        </w:tc>
        <w:tc>
          <w:tcPr>
            <w:tcW w:w="382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578989.40</w:t>
            </w:r>
          </w:p>
        </w:tc>
        <w:tc>
          <w:tcPr>
            <w:tcW w:w="4049" w:type="dxa"/>
            <w:noWrap w:val="0"/>
            <w:vAlign w:val="center"/>
          </w:tcPr>
          <w:p>
            <w:pPr>
              <w:pStyle w:val="28"/>
              <w:suppressLineNumbers w:val="0"/>
              <w:bidi w:val="0"/>
              <w:spacing w:before="0" w:after="0"/>
              <w:ind w:left="0" w:right="0"/>
            </w:pPr>
            <w:r>
              <w:rPr>
                <w:rFonts w:hint="eastAsia"/>
                <w:lang w:val="en-US" w:eastAsia="zh-CN"/>
              </w:rPr>
              <w:t>578989.40</w:t>
            </w:r>
          </w:p>
        </w:tc>
      </w:tr>
    </w:tbl>
    <w:p>
      <w:pPr>
        <w:bidi w:val="0"/>
      </w:pPr>
      <w:r>
        <w:t>连续石墨化装置尾气废气处理主要设备情况见表</w:t>
      </w:r>
      <w:r>
        <w:rPr>
          <w:rFonts w:hint="eastAsia"/>
          <w:lang w:val="en-US" w:eastAsia="zh-CN"/>
        </w:rPr>
        <w:t>6.1.1-3</w:t>
      </w:r>
      <w:r>
        <w:t>。</w:t>
      </w:r>
    </w:p>
    <w:p>
      <w:pPr>
        <w:pStyle w:val="27"/>
        <w:bidi w:val="0"/>
      </w:pPr>
      <w:r>
        <w:t>表</w:t>
      </w:r>
      <w:r>
        <w:rPr>
          <w:rFonts w:hint="eastAsia"/>
          <w:lang w:val="en-US" w:eastAsia="zh-CN"/>
        </w:rPr>
        <w:t>6.1.1-3</w:t>
      </w:r>
      <w:r>
        <w:t>连续石墨化废气处理设备情况表</w:t>
      </w:r>
    </w:p>
    <w:tbl>
      <w:tblPr>
        <w:tblStyle w:val="21"/>
        <w:tblW w:w="0" w:type="auto"/>
        <w:tblInd w:w="0" w:type="dxa"/>
        <w:tblLayout w:type="fixed"/>
        <w:tblCellMar>
          <w:top w:w="15" w:type="dxa"/>
          <w:left w:w="15" w:type="dxa"/>
          <w:bottom w:w="15" w:type="dxa"/>
          <w:right w:w="15" w:type="dxa"/>
        </w:tblCellMar>
      </w:tblPr>
      <w:tblGrid>
        <w:gridCol w:w="958"/>
        <w:gridCol w:w="1847"/>
        <w:gridCol w:w="4575"/>
        <w:gridCol w:w="1052"/>
        <w:gridCol w:w="668"/>
      </w:tblGrid>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序号</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项 目 名 称</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型号规格（工程量）</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单位</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数量</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表冷器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LDMC60-7碳钢制作，处理烟气量</w:t>
            </w:r>
            <w:r>
              <w:rPr>
                <w:rFonts w:hint="eastAsia"/>
                <w:lang w:val="en-US" w:eastAsia="zh-CN"/>
              </w:rPr>
              <w:t>6</w:t>
            </w:r>
            <w:r>
              <w:t>0000m</w:t>
            </w:r>
            <w:r>
              <w:rPr>
                <w:vertAlign w:val="superscript"/>
              </w:rPr>
              <w:t>3</w:t>
            </w:r>
            <w:r>
              <w:t>/h</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吨</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48</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2</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除尘器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处理烟气量</w:t>
            </w:r>
            <w:r>
              <w:rPr>
                <w:rFonts w:hint="eastAsia"/>
                <w:lang w:val="en-US" w:eastAsia="zh-CN"/>
              </w:rPr>
              <w:t>2</w:t>
            </w:r>
            <w:r>
              <w:t>0000-</w:t>
            </w:r>
            <w:r>
              <w:rPr>
                <w:rFonts w:hint="eastAsia"/>
                <w:lang w:val="en-US" w:eastAsia="zh-CN"/>
              </w:rPr>
              <w:t>30</w:t>
            </w:r>
            <w:r>
              <w:t>000m</w:t>
            </w:r>
            <w:r>
              <w:rPr>
                <w:vertAlign w:val="superscript"/>
              </w:rPr>
              <w:t>3</w:t>
            </w:r>
            <w:r>
              <w:t>/h</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3</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脱硫塔</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处理烟气量</w:t>
            </w:r>
            <w:r>
              <w:rPr>
                <w:rFonts w:hint="eastAsia"/>
                <w:lang w:val="en-US" w:eastAsia="zh-CN"/>
              </w:rPr>
              <w:t>6</w:t>
            </w:r>
            <w:r>
              <w:t>0000m</w:t>
            </w:r>
            <w:r>
              <w:rPr>
                <w:vertAlign w:val="superscript"/>
              </w:rPr>
              <w:t>3</w:t>
            </w:r>
            <w:r>
              <w:t>/h</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套</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3</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4</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高效管束除雾器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材质PP</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6</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5</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氧化风机</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Q=40</w:t>
            </w:r>
            <w:r>
              <w:rPr>
                <w:rFonts w:hint="default"/>
              </w:rPr>
              <w:t>00m</w:t>
            </w:r>
            <w:r>
              <w:rPr>
                <w:rFonts w:hint="default"/>
                <w:vertAlign w:val="superscript"/>
              </w:rPr>
              <w:t>3</w:t>
            </w:r>
            <w:r>
              <w:rPr>
                <w:rFonts w:hint="default"/>
              </w:rPr>
              <w:t>/h，P=40Kpa，75KW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2</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6</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压滤泵</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w:t>
            </w:r>
            <w:r>
              <w:rPr>
                <w:rFonts w:hint="default"/>
              </w:rPr>
              <w:t>140m</w:t>
            </w:r>
            <w:r>
              <w:rPr>
                <w:rFonts w:hint="default"/>
                <w:vertAlign w:val="superscript"/>
              </w:rPr>
              <w:t>3</w:t>
            </w:r>
            <w:r>
              <w:rPr>
                <w:rFonts w:hint="default"/>
              </w:rPr>
              <w:t>/h，H=30m，30KW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2</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7</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给浆泵</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w:t>
            </w:r>
            <w:r>
              <w:rPr>
                <w:rFonts w:hint="default"/>
              </w:rPr>
              <w:t>20m</w:t>
            </w:r>
            <w:r>
              <w:rPr>
                <w:rFonts w:hint="default"/>
                <w:vertAlign w:val="superscript"/>
              </w:rPr>
              <w:t>3</w:t>
            </w:r>
            <w:r>
              <w:rPr>
                <w:rFonts w:hint="default"/>
              </w:rPr>
              <w:t>/h，H=9m，4KW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2</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8</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液下泵</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w:t>
            </w:r>
            <w:r>
              <w:rPr>
                <w:rFonts w:hint="default"/>
              </w:rPr>
              <w:t>20m</w:t>
            </w:r>
            <w:r>
              <w:rPr>
                <w:rFonts w:hint="default"/>
                <w:vertAlign w:val="superscript"/>
              </w:rPr>
              <w:t>3</w:t>
            </w:r>
            <w:r>
              <w:rPr>
                <w:rFonts w:hint="default"/>
              </w:rPr>
              <w:t>/h，H=9m，4KW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2</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9</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循环泵</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w:t>
            </w:r>
            <w:r>
              <w:rPr>
                <w:rFonts w:hint="default"/>
              </w:rPr>
              <w:t>220m3/h，H=26m，45KW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4</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10</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环形喷淋泵</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Q=</w:t>
            </w:r>
            <w:r>
              <w:rPr>
                <w:rFonts w:hint="default"/>
              </w:rPr>
              <w:t>60m</w:t>
            </w:r>
            <w:r>
              <w:rPr>
                <w:rFonts w:hint="default"/>
                <w:vertAlign w:val="superscript"/>
              </w:rPr>
              <w:t>3</w:t>
            </w:r>
            <w:r>
              <w:rPr>
                <w:rFonts w:hint="default"/>
              </w:rPr>
              <w:t>/h，H=26m，15KW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3</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11</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循环池搅拌器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 xml:space="preserve">CS/衬胶，转速54r/min  </w:t>
            </w:r>
            <w:r>
              <w:rPr>
                <w:rFonts w:hint="default"/>
              </w:rPr>
              <w:t>5.5kw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4</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12</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氧化池搅拌器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CS/衬胶，转速54r/min  5.5kw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4</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13</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制浆池搅拌器</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CS，转速54r/min  5.5kw</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2</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14</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真空皮带脱水机组</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过滤面积10m2，带水力旋流器</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15</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氧化钙粉仓</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V=</w:t>
            </w:r>
            <w:r>
              <w:rPr>
                <w:rFonts w:hint="eastAsia"/>
                <w:lang w:val="en-US" w:eastAsia="zh-CN"/>
              </w:rPr>
              <w:t>45</w:t>
            </w:r>
            <w:r>
              <w:t>m</w:t>
            </w:r>
            <w:r>
              <w:rPr>
                <w:vertAlign w:val="superscript"/>
              </w:rPr>
              <w:t>3</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个</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16</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熟化罐</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V=60m</w:t>
            </w:r>
            <w:r>
              <w:rPr>
                <w:vertAlign w:val="superscript"/>
              </w:rPr>
              <w:t>3</w:t>
            </w:r>
            <w:r>
              <w:t>，φ3.2m×10m，碳钢材质</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个</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17</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浆液储罐</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V=60m</w:t>
            </w:r>
            <w:r>
              <w:rPr>
                <w:vertAlign w:val="superscript"/>
              </w:rPr>
              <w:t>3</w:t>
            </w:r>
            <w:r>
              <w:t>，φ3.2m×11m，碳钢材质</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个</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r>
      <w:tr>
        <w:tblPrEx>
          <w:tblCellMar>
            <w:top w:w="15" w:type="dxa"/>
            <w:left w:w="15" w:type="dxa"/>
            <w:bottom w:w="15" w:type="dxa"/>
            <w:right w:w="15" w:type="dxa"/>
          </w:tblCellMar>
        </w:tblPrEx>
        <w:trPr>
          <w:trHeight w:val="301" w:hRule="atLeast"/>
        </w:trPr>
        <w:tc>
          <w:tcPr>
            <w:tcW w:w="95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pPr>
            <w:r>
              <w:t>18</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增压风机</w:t>
            </w:r>
          </w:p>
        </w:tc>
        <w:tc>
          <w:tcPr>
            <w:tcW w:w="4575"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风量：60000m3/h,压头11000pa,N=315kw,带变频控制</w:t>
            </w:r>
          </w:p>
        </w:tc>
        <w:tc>
          <w:tcPr>
            <w:tcW w:w="1052"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台</w:t>
            </w:r>
          </w:p>
        </w:tc>
        <w:tc>
          <w:tcPr>
            <w:tcW w:w="668" w:type="dxa"/>
            <w:tcBorders>
              <w:top w:val="single" w:color="000000" w:sz="4" w:space="0"/>
              <w:left w:val="single" w:color="000000" w:sz="4" w:space="0"/>
              <w:bottom w:val="single" w:color="000000" w:sz="4" w:space="0"/>
              <w:right w:val="single" w:color="000000" w:sz="4"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r>
    </w:tbl>
    <w:p>
      <w:pPr>
        <w:pStyle w:val="6"/>
        <w:bidi w:val="0"/>
      </w:pPr>
      <w:r>
        <w:rPr>
          <w:rFonts w:hint="eastAsia"/>
          <w:lang w:val="en-US" w:eastAsia="zh-CN"/>
        </w:rPr>
        <w:t>6.1.1.3</w:t>
      </w:r>
      <w:r>
        <w:t>粉尘废气</w:t>
      </w:r>
    </w:p>
    <w:p>
      <w:pPr>
        <w:bidi w:val="0"/>
      </w:pPr>
      <w:r>
        <w:t>在</w:t>
      </w:r>
      <w:r>
        <w:rPr>
          <w:rFonts w:hint="eastAsia"/>
          <w:lang w:eastAsia="zh-CN"/>
        </w:rPr>
        <w:t>进料、排料、中间包装、半成品仓</w:t>
      </w:r>
      <w:r>
        <w:rPr>
          <w:rFonts w:hint="eastAsia"/>
          <w:lang w:val="en-US" w:eastAsia="zh-CN"/>
        </w:rPr>
        <w:t>2</w:t>
      </w:r>
      <w:r>
        <w:rPr>
          <w:rFonts w:hint="eastAsia"/>
          <w:lang w:eastAsia="zh-CN"/>
        </w:rPr>
        <w:t>、破碎、筛分、包装</w:t>
      </w:r>
      <w:r>
        <w:t>过程中有粉尘产生，采用高效布袋除尘器处理后由</w:t>
      </w:r>
      <w:r>
        <w:rPr>
          <w:rFonts w:hint="eastAsia"/>
          <w:lang w:val="en-US" w:eastAsia="zh-CN"/>
        </w:rPr>
        <w:t>35</w:t>
      </w:r>
      <w:r>
        <w:t>m高排气筒</w:t>
      </w:r>
      <w:r>
        <w:rPr>
          <w:rFonts w:hint="eastAsia"/>
          <w:lang w:val="en-US" w:eastAsia="zh-CN"/>
        </w:rPr>
        <w:t>DA001</w:t>
      </w:r>
      <w:r>
        <w:t>排放。布袋除尘装置在一期</w:t>
      </w:r>
      <w:r>
        <w:rPr>
          <w:rFonts w:hint="eastAsia"/>
          <w:lang w:eastAsia="zh-CN"/>
        </w:rPr>
        <w:t>、二期分别配置，经处理达标后均由排气筒</w:t>
      </w:r>
      <w:r>
        <w:rPr>
          <w:rFonts w:hint="eastAsia"/>
          <w:lang w:val="en-US" w:eastAsia="zh-CN"/>
        </w:rPr>
        <w:t>DA001排放</w:t>
      </w:r>
      <w:r>
        <w:t>。</w:t>
      </w:r>
    </w:p>
    <w:p>
      <w:pPr>
        <w:bidi w:val="0"/>
      </w:pPr>
      <w:r>
        <w:rPr>
          <w:rFonts w:hint="eastAsia"/>
          <w:lang w:eastAsia="zh-CN"/>
        </w:rPr>
        <w:t>进料</w:t>
      </w:r>
      <w:r>
        <w:t>工段布袋除尘收集的粉尘成分与煅后焦原料一样，只是颗粒直径较小，可直接送回</w:t>
      </w:r>
      <w:r>
        <w:rPr>
          <w:rFonts w:hint="eastAsia"/>
          <w:lang w:eastAsia="zh-CN"/>
        </w:rPr>
        <w:t>料仓</w:t>
      </w:r>
      <w:r>
        <w:t>，但不影响其作为原料生产煅后焦产品，经收集后直接作为作为原料使用，送回</w:t>
      </w:r>
      <w:r>
        <w:rPr>
          <w:rFonts w:hint="eastAsia"/>
          <w:lang w:eastAsia="zh-CN"/>
        </w:rPr>
        <w:t>料仓</w:t>
      </w:r>
      <w:r>
        <w:t>。排料</w:t>
      </w:r>
      <w:r>
        <w:rPr>
          <w:rFonts w:hint="eastAsia"/>
          <w:lang w:eastAsia="zh-CN"/>
        </w:rPr>
        <w:t>、中间包装、半成品仓、破碎、筛分、包装</w:t>
      </w:r>
      <w:r>
        <w:t>工段布袋除尘器收集的粉尘，成分为经</w:t>
      </w:r>
      <w:r>
        <w:rPr>
          <w:rFonts w:hint="eastAsia"/>
          <w:lang w:eastAsia="zh-CN"/>
        </w:rPr>
        <w:t>电煅</w:t>
      </w:r>
      <w:r>
        <w:t>处理后的成品，成分也与最终产品</w:t>
      </w:r>
      <w:r>
        <w:rPr>
          <w:rFonts w:hint="eastAsia"/>
          <w:lang w:eastAsia="zh-CN"/>
        </w:rPr>
        <w:t>新型增碳剂</w:t>
      </w:r>
      <w:r>
        <w:t>一致，主要区别也仅为颗粒粒径较小，其质量能够满足</w:t>
      </w:r>
      <w:r>
        <w:rPr>
          <w:rFonts w:hint="eastAsia"/>
          <w:lang w:eastAsia="zh-CN"/>
        </w:rPr>
        <w:t>新型增碳剂</w:t>
      </w:r>
      <w:r>
        <w:t>产品标准，直接进入包装机作为产品外售。上述工段收集的粉尘均不作为固废管理。</w:t>
      </w:r>
    </w:p>
    <w:p>
      <w:pPr>
        <w:bidi w:val="0"/>
      </w:pPr>
      <w:r>
        <w:t>粉尘废气处理物料平衡详见表</w:t>
      </w:r>
      <w:r>
        <w:rPr>
          <w:rFonts w:hint="eastAsia"/>
          <w:lang w:val="en-US" w:eastAsia="zh-CN"/>
        </w:rPr>
        <w:t>6.1.1-4</w:t>
      </w:r>
      <w:r>
        <w:t>。</w:t>
      </w:r>
    </w:p>
    <w:p>
      <w:pPr>
        <w:pStyle w:val="27"/>
        <w:bidi w:val="0"/>
      </w:pPr>
      <w:r>
        <w:t>表</w:t>
      </w:r>
      <w:r>
        <w:rPr>
          <w:rFonts w:hint="eastAsia"/>
          <w:lang w:val="en-US" w:eastAsia="zh-CN"/>
        </w:rPr>
        <w:t>6.1.1-4</w:t>
      </w:r>
      <w:r>
        <w:t>粉尘废气处理物料平衡表（t/a）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2695"/>
        <w:gridCol w:w="2021"/>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工期</w:t>
            </w:r>
          </w:p>
        </w:tc>
        <w:tc>
          <w:tcPr>
            <w:tcW w:w="2695"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处理措施</w:t>
            </w:r>
          </w:p>
        </w:tc>
        <w:tc>
          <w:tcPr>
            <w:tcW w:w="2021"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入方</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出方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一期</w:t>
            </w: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G</w:t>
            </w:r>
            <w:r>
              <w:rPr>
                <w:vertAlign w:val="subscript"/>
              </w:rPr>
              <w:t>1-1</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eastAsia="宋体"/>
                <w:lang w:val="en-US" w:eastAsia="zh-CN"/>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vertAlign w:val="subscript"/>
              </w:rPr>
              <w:t>1-</w:t>
            </w:r>
            <w:r>
              <w:rPr>
                <w:rFonts w:hint="eastAsia"/>
                <w:vertAlign w:val="subscript"/>
                <w:lang w:val="en-US" w:eastAsia="zh-CN"/>
              </w:rPr>
              <w:t>3</w:t>
            </w:r>
            <w:r>
              <w:t>（粉尘</w:t>
            </w:r>
            <w:r>
              <w:rPr>
                <w:rFonts w:hint="eastAsia"/>
                <w:lang w:val="en-US" w:eastAsia="zh-CN"/>
              </w:rPr>
              <w:t>25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vertAlign w:val="subscript"/>
              </w:rPr>
              <w:t>1-</w:t>
            </w:r>
            <w:r>
              <w:rPr>
                <w:rFonts w:hint="eastAsia"/>
                <w:vertAlign w:val="subscript"/>
                <w:lang w:val="en-US" w:eastAsia="zh-CN"/>
              </w:rPr>
              <w:t>4</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vertAlign w:val="subscript"/>
              </w:rPr>
              <w:t>1-</w:t>
            </w:r>
            <w:r>
              <w:rPr>
                <w:rFonts w:hint="eastAsia"/>
                <w:vertAlign w:val="subscript"/>
                <w:lang w:val="en-US" w:eastAsia="zh-CN"/>
              </w:rPr>
              <w:t>5</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vertAlign w:val="subscript"/>
              </w:rPr>
              <w:t>1-</w:t>
            </w:r>
            <w:r>
              <w:rPr>
                <w:rFonts w:hint="eastAsia"/>
                <w:vertAlign w:val="subscript"/>
                <w:lang w:val="en-US" w:eastAsia="zh-CN"/>
              </w:rPr>
              <w:t>6</w:t>
            </w:r>
            <w:r>
              <w:t>（粉尘</w:t>
            </w:r>
            <w:r>
              <w:rPr>
                <w:rFonts w:hint="eastAsia"/>
                <w:lang w:val="en-US" w:eastAsia="zh-CN"/>
              </w:rPr>
              <w:t>25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vertAlign w:val="subscript"/>
              </w:rPr>
              <w:t>1-</w:t>
            </w:r>
            <w:r>
              <w:rPr>
                <w:rFonts w:hint="eastAsia"/>
                <w:vertAlign w:val="subscript"/>
                <w:lang w:val="en-US" w:eastAsia="zh-CN"/>
              </w:rPr>
              <w:t>7</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pPr>
            <w:r>
              <w:t>二期</w:t>
            </w: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G</w:t>
            </w:r>
            <w:r>
              <w:rPr>
                <w:rFonts w:hint="eastAsia"/>
                <w:vertAlign w:val="subscript"/>
                <w:lang w:val="en-US" w:eastAsia="zh-CN"/>
              </w:rPr>
              <w:t>2</w:t>
            </w:r>
            <w:r>
              <w:rPr>
                <w:vertAlign w:val="subscript"/>
              </w:rPr>
              <w:t>-1</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G</w:t>
            </w:r>
            <w:r>
              <w:rPr>
                <w:rFonts w:hint="eastAsia"/>
                <w:vertAlign w:val="subscript"/>
                <w:lang w:val="en-US" w:eastAsia="zh-CN"/>
              </w:rPr>
              <w:t>2</w:t>
            </w:r>
            <w:r>
              <w:rPr>
                <w:vertAlign w:val="subscript"/>
              </w:rPr>
              <w:t>-</w:t>
            </w:r>
            <w:r>
              <w:rPr>
                <w:rFonts w:hint="eastAsia"/>
                <w:vertAlign w:val="subscript"/>
                <w:lang w:val="en-US" w:eastAsia="zh-CN"/>
              </w:rPr>
              <w:t>3</w:t>
            </w:r>
            <w:r>
              <w:t>（粉尘</w:t>
            </w:r>
            <w:r>
              <w:rPr>
                <w:rFonts w:hint="eastAsia"/>
                <w:lang w:val="en-US" w:eastAsia="zh-CN"/>
              </w:rPr>
              <w:t>25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pPr>
            <w:r>
              <w:t>G</w:t>
            </w:r>
            <w:r>
              <w:rPr>
                <w:rFonts w:hint="eastAsia"/>
                <w:vertAlign w:val="subscript"/>
                <w:lang w:val="en-US" w:eastAsia="zh-CN"/>
              </w:rPr>
              <w:t>2</w:t>
            </w:r>
            <w:r>
              <w:rPr>
                <w:vertAlign w:val="subscript"/>
              </w:rPr>
              <w:t>-</w:t>
            </w:r>
            <w:r>
              <w:rPr>
                <w:rFonts w:hint="eastAsia"/>
                <w:vertAlign w:val="subscript"/>
                <w:lang w:val="en-US" w:eastAsia="zh-CN"/>
              </w:rPr>
              <w:t>4</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rFonts w:hint="eastAsia"/>
                <w:vertAlign w:val="subscript"/>
                <w:lang w:val="en-US" w:eastAsia="zh-CN"/>
              </w:rPr>
              <w:t>2</w:t>
            </w:r>
            <w:r>
              <w:rPr>
                <w:vertAlign w:val="subscript"/>
              </w:rPr>
              <w:t>-</w:t>
            </w:r>
            <w:r>
              <w:rPr>
                <w:rFonts w:hint="eastAsia"/>
                <w:vertAlign w:val="subscript"/>
                <w:lang w:val="en-US" w:eastAsia="zh-CN"/>
              </w:rPr>
              <w:t>5</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rFonts w:hint="eastAsia"/>
                <w:vertAlign w:val="subscript"/>
                <w:lang w:val="en-US" w:eastAsia="zh-CN"/>
              </w:rPr>
              <w:t>2</w:t>
            </w:r>
            <w:r>
              <w:rPr>
                <w:vertAlign w:val="subscript"/>
              </w:rPr>
              <w:t>-</w:t>
            </w:r>
            <w:r>
              <w:rPr>
                <w:rFonts w:hint="eastAsia"/>
                <w:vertAlign w:val="subscript"/>
                <w:lang w:val="en-US" w:eastAsia="zh-CN"/>
              </w:rPr>
              <w:t>6</w:t>
            </w:r>
            <w:r>
              <w:t>（粉尘</w:t>
            </w:r>
            <w:r>
              <w:rPr>
                <w:rFonts w:hint="eastAsia"/>
                <w:lang w:val="en-US" w:eastAsia="zh-CN"/>
              </w:rPr>
              <w:t>25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24.875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布袋除尘</w:t>
            </w:r>
          </w:p>
        </w:tc>
        <w:tc>
          <w:tcPr>
            <w:tcW w:w="2021"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t>G</w:t>
            </w:r>
            <w:r>
              <w:rPr>
                <w:rFonts w:hint="eastAsia"/>
                <w:vertAlign w:val="subscript"/>
                <w:lang w:val="en-US" w:eastAsia="zh-CN"/>
              </w:rPr>
              <w:t>2</w:t>
            </w:r>
            <w:r>
              <w:rPr>
                <w:vertAlign w:val="subscript"/>
              </w:rPr>
              <w:t>-</w:t>
            </w:r>
            <w:r>
              <w:rPr>
                <w:rFonts w:hint="eastAsia"/>
                <w:vertAlign w:val="subscript"/>
                <w:lang w:val="en-US" w:eastAsia="zh-CN"/>
              </w:rPr>
              <w:t>7</w:t>
            </w:r>
            <w:r>
              <w:t>（粉尘</w:t>
            </w:r>
            <w:r>
              <w:rPr>
                <w:rFonts w:hint="eastAsia"/>
                <w:lang w:val="en-US" w:eastAsia="zh-CN"/>
              </w:rPr>
              <w:t>23.75</w:t>
            </w:r>
            <w:r>
              <w:t>）</w:t>
            </w: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ascii="Times New Roman" w:hAnsi="Times New Roman" w:eastAsia="宋体" w:cstheme="minorBidi"/>
                <w:b w:val="0"/>
                <w:kern w:val="2"/>
                <w:sz w:val="21"/>
                <w:szCs w:val="24"/>
                <w:lang w:val="en-US" w:eastAsia="zh-CN" w:bidi="ar-SA"/>
              </w:rPr>
            </w:pPr>
            <w:r>
              <w:rPr>
                <w:rFonts w:hint="eastAsia"/>
                <w:lang w:val="en-US" w:eastAsia="zh-CN"/>
              </w:rPr>
              <w:t>DA001</w:t>
            </w:r>
            <w:r>
              <w:t>排气筒废气（粉尘0.</w:t>
            </w:r>
            <w:r>
              <w:rPr>
                <w:rFonts w:hint="eastAsia"/>
                <w:lang w:val="en-US" w:eastAsia="zh-CN"/>
              </w:rPr>
              <w:t>12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695"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2021"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pPr>
          </w:p>
        </w:tc>
        <w:tc>
          <w:tcPr>
            <w:tcW w:w="3437"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t>收集粉尘</w:t>
            </w:r>
            <w:r>
              <w:rPr>
                <w:rFonts w:hint="eastAsia"/>
                <w:lang w:val="en-US" w:eastAsia="zh-CN"/>
              </w:rPr>
              <w:t>23.63</w:t>
            </w:r>
          </w:p>
        </w:tc>
      </w:tr>
    </w:tbl>
    <w:p>
      <w:pPr>
        <w:bidi w:val="0"/>
      </w:pPr>
      <w:r>
        <w:t>项目粉尘废气处理设备见表</w:t>
      </w:r>
      <w:r>
        <w:rPr>
          <w:rFonts w:hint="eastAsia"/>
          <w:lang w:val="en-US" w:eastAsia="zh-CN"/>
        </w:rPr>
        <w:t>6.1.1-5</w:t>
      </w:r>
      <w:r>
        <w:t>。</w:t>
      </w:r>
    </w:p>
    <w:p>
      <w:pPr>
        <w:pStyle w:val="27"/>
        <w:bidi w:val="0"/>
      </w:pPr>
      <w:r>
        <w:t>表</w:t>
      </w:r>
      <w:r>
        <w:rPr>
          <w:rFonts w:hint="eastAsia"/>
          <w:lang w:val="en-US" w:eastAsia="zh-CN"/>
        </w:rPr>
        <w:t>6.1.1-5</w:t>
      </w:r>
      <w:r>
        <w:t>项目粉尘废气处理设备一览表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3164"/>
        <w:gridCol w:w="2630"/>
        <w:gridCol w:w="1712"/>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pStyle w:val="28"/>
              <w:suppressLineNumbers w:val="0"/>
              <w:bidi w:val="0"/>
              <w:spacing w:before="0" w:after="0"/>
              <w:ind w:left="0" w:right="0"/>
            </w:pPr>
            <w:r>
              <w:t>序号</w:t>
            </w:r>
          </w:p>
        </w:tc>
        <w:tc>
          <w:tcPr>
            <w:tcW w:w="3164" w:type="dxa"/>
            <w:noWrap w:val="0"/>
            <w:vAlign w:val="center"/>
          </w:tcPr>
          <w:p>
            <w:pPr>
              <w:pStyle w:val="28"/>
              <w:suppressLineNumbers w:val="0"/>
              <w:bidi w:val="0"/>
              <w:spacing w:before="0" w:after="0"/>
              <w:ind w:left="0" w:right="0"/>
            </w:pPr>
            <w:r>
              <w:t>设备名称</w:t>
            </w:r>
          </w:p>
        </w:tc>
        <w:tc>
          <w:tcPr>
            <w:tcW w:w="2630" w:type="dxa"/>
            <w:noWrap w:val="0"/>
            <w:vAlign w:val="center"/>
          </w:tcPr>
          <w:p>
            <w:pPr>
              <w:pStyle w:val="28"/>
              <w:suppressLineNumbers w:val="0"/>
              <w:bidi w:val="0"/>
              <w:spacing w:before="0" w:after="0"/>
              <w:ind w:left="0" w:right="0"/>
            </w:pPr>
            <w:r>
              <w:t>规格或参数</w:t>
            </w:r>
          </w:p>
        </w:tc>
        <w:tc>
          <w:tcPr>
            <w:tcW w:w="1712" w:type="dxa"/>
            <w:noWrap w:val="0"/>
            <w:vAlign w:val="center"/>
          </w:tcPr>
          <w:p>
            <w:pPr>
              <w:pStyle w:val="28"/>
              <w:suppressLineNumbers w:val="0"/>
              <w:bidi w:val="0"/>
              <w:spacing w:before="0" w:after="0"/>
              <w:ind w:left="0" w:right="0"/>
            </w:pPr>
            <w:r>
              <w:t>数量</w:t>
            </w:r>
          </w:p>
        </w:tc>
        <w:tc>
          <w:tcPr>
            <w:tcW w:w="1020" w:type="dxa"/>
            <w:noWrap w:val="0"/>
            <w:vAlign w:val="center"/>
          </w:tcPr>
          <w:p>
            <w:pPr>
              <w:pStyle w:val="28"/>
              <w:suppressLineNumbers w:val="0"/>
              <w:bidi w:val="0"/>
              <w:spacing w:before="0" w:after="0"/>
              <w:ind w:left="0" w:right="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pStyle w:val="28"/>
              <w:suppressLineNumbers w:val="0"/>
              <w:bidi w:val="0"/>
              <w:spacing w:before="0" w:after="0"/>
              <w:ind w:left="0" w:right="0"/>
            </w:pPr>
            <w:r>
              <w:t>1</w:t>
            </w:r>
          </w:p>
        </w:tc>
        <w:tc>
          <w:tcPr>
            <w:tcW w:w="3164" w:type="dxa"/>
            <w:noWrap w:val="0"/>
            <w:vAlign w:val="center"/>
          </w:tcPr>
          <w:p>
            <w:pPr>
              <w:pStyle w:val="28"/>
              <w:suppressLineNumbers w:val="0"/>
              <w:bidi w:val="0"/>
              <w:spacing w:before="0" w:after="0"/>
              <w:ind w:left="0" w:right="0"/>
            </w:pPr>
            <w:r>
              <w:t>袋式除尘器（G</w:t>
            </w:r>
            <w:r>
              <w:rPr>
                <w:vertAlign w:val="subscript"/>
              </w:rPr>
              <w:t>1-1</w:t>
            </w:r>
            <w:r>
              <w:t>）</w:t>
            </w:r>
          </w:p>
        </w:tc>
        <w:tc>
          <w:tcPr>
            <w:tcW w:w="2630" w:type="dxa"/>
            <w:noWrap w:val="0"/>
            <w:vAlign w:val="center"/>
          </w:tcPr>
          <w:p>
            <w:pPr>
              <w:pStyle w:val="28"/>
              <w:suppressLineNumbers w:val="0"/>
              <w:bidi w:val="0"/>
              <w:spacing w:before="0" w:after="0"/>
              <w:ind w:left="0" w:right="0"/>
            </w:pPr>
            <w:r>
              <w:t>设计风量2000m</w:t>
            </w:r>
            <w:r>
              <w:rPr>
                <w:vertAlign w:val="superscript"/>
              </w:rPr>
              <w:t>3</w:t>
            </w:r>
            <w:r>
              <w:t>/h</w:t>
            </w:r>
          </w:p>
        </w:tc>
        <w:tc>
          <w:tcPr>
            <w:tcW w:w="1712" w:type="dxa"/>
            <w:noWrap w:val="0"/>
            <w:vAlign w:val="center"/>
          </w:tcPr>
          <w:p>
            <w:pPr>
              <w:pStyle w:val="28"/>
              <w:suppressLineNumbers w:val="0"/>
              <w:bidi w:val="0"/>
              <w:spacing w:before="0" w:after="0"/>
              <w:ind w:left="0" w:right="0"/>
            </w:pPr>
            <w:r>
              <w:t>1台</w:t>
            </w:r>
          </w:p>
        </w:tc>
        <w:tc>
          <w:tcPr>
            <w:tcW w:w="1020" w:type="dxa"/>
            <w:vMerge w:val="restart"/>
            <w:noWrap w:val="0"/>
            <w:vAlign w:val="center"/>
          </w:tcPr>
          <w:p>
            <w:pPr>
              <w:pStyle w:val="28"/>
              <w:suppressLineNumbers w:val="0"/>
              <w:bidi w:val="0"/>
              <w:spacing w:before="0" w:after="0"/>
              <w:ind w:left="0" w:right="0"/>
            </w:pPr>
            <w: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pStyle w:val="28"/>
              <w:suppressLineNumbers w:val="0"/>
              <w:bidi w:val="0"/>
              <w:spacing w:before="0" w:after="0"/>
              <w:ind w:left="0" w:right="0"/>
            </w:pPr>
            <w:r>
              <w:t>2</w:t>
            </w:r>
          </w:p>
        </w:tc>
        <w:tc>
          <w:tcPr>
            <w:tcW w:w="3164" w:type="dxa"/>
            <w:noWrap w:val="0"/>
            <w:vAlign w:val="center"/>
          </w:tcPr>
          <w:p>
            <w:pPr>
              <w:pStyle w:val="28"/>
              <w:suppressLineNumbers w:val="0"/>
              <w:bidi w:val="0"/>
              <w:spacing w:before="0" w:after="0"/>
              <w:ind w:left="0" w:right="0"/>
            </w:pPr>
            <w:r>
              <w:t>袋式除尘器（G</w:t>
            </w:r>
            <w:r>
              <w:rPr>
                <w:vertAlign w:val="subscript"/>
              </w:rPr>
              <w:t>1-</w:t>
            </w:r>
            <w:r>
              <w:rPr>
                <w:rFonts w:hint="eastAsia"/>
                <w:vertAlign w:val="subscript"/>
                <w:lang w:val="en-US" w:eastAsia="zh-CN"/>
              </w:rPr>
              <w:t>3~</w:t>
            </w:r>
            <w:r>
              <w:t>G</w:t>
            </w:r>
            <w:r>
              <w:rPr>
                <w:vertAlign w:val="subscript"/>
              </w:rPr>
              <w:t>1-</w:t>
            </w:r>
            <w:r>
              <w:rPr>
                <w:rFonts w:hint="eastAsia"/>
                <w:vertAlign w:val="subscript"/>
                <w:lang w:val="en-US" w:eastAsia="zh-CN"/>
              </w:rPr>
              <w:t>7</w:t>
            </w:r>
            <w:r>
              <w:t>）</w:t>
            </w:r>
          </w:p>
        </w:tc>
        <w:tc>
          <w:tcPr>
            <w:tcW w:w="2630" w:type="dxa"/>
            <w:noWrap w:val="0"/>
            <w:vAlign w:val="center"/>
          </w:tcPr>
          <w:p>
            <w:pPr>
              <w:pStyle w:val="28"/>
              <w:suppressLineNumbers w:val="0"/>
              <w:bidi w:val="0"/>
              <w:spacing w:before="0" w:after="0"/>
              <w:ind w:left="0" w:right="0"/>
            </w:pPr>
            <w:r>
              <w:t>设计风量10000m</w:t>
            </w:r>
            <w:r>
              <w:rPr>
                <w:vertAlign w:val="superscript"/>
              </w:rPr>
              <w:t>3</w:t>
            </w:r>
            <w:r>
              <w:t>/h</w:t>
            </w:r>
          </w:p>
        </w:tc>
        <w:tc>
          <w:tcPr>
            <w:tcW w:w="1712" w:type="dxa"/>
            <w:noWrap w:val="0"/>
            <w:vAlign w:val="center"/>
          </w:tcPr>
          <w:p>
            <w:pPr>
              <w:pStyle w:val="28"/>
              <w:suppressLineNumbers w:val="0"/>
              <w:bidi w:val="0"/>
              <w:spacing w:before="0" w:after="0"/>
              <w:ind w:left="0" w:right="0"/>
            </w:pPr>
            <w:r>
              <w:t>1台</w:t>
            </w:r>
          </w:p>
        </w:tc>
        <w:tc>
          <w:tcPr>
            <w:tcW w:w="10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3</w:t>
            </w:r>
          </w:p>
        </w:tc>
        <w:tc>
          <w:tcPr>
            <w:tcW w:w="3164"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袋式除尘器（G</w:t>
            </w:r>
            <w:r>
              <w:rPr>
                <w:rFonts w:hint="eastAsia"/>
                <w:vertAlign w:val="subscript"/>
                <w:lang w:val="en-US" w:eastAsia="zh-CN"/>
              </w:rPr>
              <w:t>2</w:t>
            </w:r>
            <w:r>
              <w:rPr>
                <w:vertAlign w:val="subscript"/>
              </w:rPr>
              <w:t>-1</w:t>
            </w:r>
            <w:r>
              <w:t>）</w:t>
            </w:r>
          </w:p>
        </w:tc>
        <w:tc>
          <w:tcPr>
            <w:tcW w:w="2630"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设计风量2000m</w:t>
            </w:r>
            <w:r>
              <w:rPr>
                <w:vertAlign w:val="superscript"/>
              </w:rPr>
              <w:t>3</w:t>
            </w:r>
            <w:r>
              <w:t>/h</w:t>
            </w:r>
          </w:p>
        </w:tc>
        <w:tc>
          <w:tcPr>
            <w:tcW w:w="1712"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1台</w:t>
            </w:r>
          </w:p>
        </w:tc>
        <w:tc>
          <w:tcPr>
            <w:tcW w:w="1020" w:type="dxa"/>
            <w:vMerge w:val="restart"/>
            <w:noWrap w:val="0"/>
            <w:vAlign w:val="center"/>
          </w:tcPr>
          <w:p>
            <w:pPr>
              <w:pStyle w:val="28"/>
              <w:suppressLineNumbers w:val="0"/>
              <w:bidi w:val="0"/>
              <w:spacing w:before="0" w:after="0"/>
              <w:ind w:left="0" w:right="0"/>
            </w:pPr>
            <w:r>
              <w:rPr>
                <w:rFonts w:hint="eastAsia"/>
                <w:lang w:eastAsia="zh-CN"/>
              </w:rPr>
              <w:t>二</w:t>
            </w:r>
            <w: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4</w:t>
            </w:r>
          </w:p>
        </w:tc>
        <w:tc>
          <w:tcPr>
            <w:tcW w:w="3164"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袋式除尘器（G</w:t>
            </w:r>
            <w:r>
              <w:rPr>
                <w:rFonts w:hint="eastAsia"/>
                <w:vertAlign w:val="subscript"/>
                <w:lang w:val="en-US" w:eastAsia="zh-CN"/>
              </w:rPr>
              <w:t>2</w:t>
            </w:r>
            <w:r>
              <w:rPr>
                <w:vertAlign w:val="subscript"/>
              </w:rPr>
              <w:t>-</w:t>
            </w:r>
            <w:r>
              <w:rPr>
                <w:rFonts w:hint="eastAsia"/>
                <w:vertAlign w:val="subscript"/>
                <w:lang w:val="en-US" w:eastAsia="zh-CN"/>
              </w:rPr>
              <w:t>3</w:t>
            </w:r>
            <w:r>
              <w:rPr>
                <w:rFonts w:hint="eastAsia"/>
                <w:lang w:val="en-US" w:eastAsia="zh-CN"/>
              </w:rPr>
              <w:t>~</w:t>
            </w:r>
            <w:r>
              <w:t>G</w:t>
            </w:r>
            <w:r>
              <w:rPr>
                <w:rFonts w:hint="eastAsia"/>
                <w:vertAlign w:val="subscript"/>
                <w:lang w:val="en-US" w:eastAsia="zh-CN"/>
              </w:rPr>
              <w:t>2</w:t>
            </w:r>
            <w:r>
              <w:rPr>
                <w:vertAlign w:val="subscript"/>
              </w:rPr>
              <w:t>-</w:t>
            </w:r>
            <w:r>
              <w:rPr>
                <w:rFonts w:hint="eastAsia"/>
                <w:vertAlign w:val="subscript"/>
                <w:lang w:val="en-US" w:eastAsia="zh-CN"/>
              </w:rPr>
              <w:t>7</w:t>
            </w:r>
            <w:r>
              <w:t>）</w:t>
            </w:r>
          </w:p>
        </w:tc>
        <w:tc>
          <w:tcPr>
            <w:tcW w:w="2630"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设计风量10000m</w:t>
            </w:r>
            <w:r>
              <w:rPr>
                <w:vertAlign w:val="superscript"/>
              </w:rPr>
              <w:t>3</w:t>
            </w:r>
            <w:r>
              <w:t>/h</w:t>
            </w:r>
          </w:p>
        </w:tc>
        <w:tc>
          <w:tcPr>
            <w:tcW w:w="1712"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1台</w:t>
            </w:r>
          </w:p>
        </w:tc>
        <w:tc>
          <w:tcPr>
            <w:tcW w:w="1020" w:type="dxa"/>
            <w:vMerge w:val="continue"/>
            <w:noWrap w:val="0"/>
            <w:vAlign w:val="center"/>
          </w:tcPr>
          <w:p>
            <w:pPr>
              <w:pStyle w:val="28"/>
              <w:suppressLineNumbers w:val="0"/>
              <w:bidi w:val="0"/>
              <w:spacing w:before="0" w:after="0"/>
              <w:ind w:left="0" w:right="0"/>
              <w:outlineLvl w:val="9"/>
            </w:pPr>
          </w:p>
        </w:tc>
      </w:tr>
    </w:tbl>
    <w:p>
      <w:pPr>
        <w:pStyle w:val="5"/>
        <w:bidi w:val="0"/>
      </w:pPr>
      <w:bookmarkStart w:id="108" w:name="_Toc527486993"/>
      <w:bookmarkStart w:id="109" w:name="_Toc12076_WPSOffice_Level2"/>
      <w:bookmarkStart w:id="110" w:name="_Toc527394259"/>
      <w:r>
        <w:rPr>
          <w:rFonts w:hint="eastAsia"/>
          <w:lang w:val="en-US" w:eastAsia="zh-CN"/>
        </w:rPr>
        <w:t>6.1.2</w:t>
      </w:r>
      <w:r>
        <w:t>无组织废气</w:t>
      </w:r>
      <w:bookmarkEnd w:id="108"/>
      <w:bookmarkEnd w:id="109"/>
      <w:bookmarkEnd w:id="110"/>
    </w:p>
    <w:p>
      <w:pPr>
        <w:bidi w:val="0"/>
      </w:pPr>
      <w:r>
        <w:t>项目无组织排放的废气主要是</w:t>
      </w:r>
      <w:r>
        <w:rPr>
          <w:rFonts w:hint="eastAsia"/>
          <w:lang w:eastAsia="zh-CN"/>
        </w:rPr>
        <w:t>生产工艺</w:t>
      </w:r>
      <w:r>
        <w:t>未捕集的粉尘</w:t>
      </w:r>
      <w:r>
        <w:rPr>
          <w:rFonts w:hint="eastAsia"/>
          <w:lang w:eastAsia="zh-CN"/>
        </w:rPr>
        <w:t>废气</w:t>
      </w:r>
      <w:r>
        <w:t>等。项目已采用的控制对策如下：</w:t>
      </w:r>
    </w:p>
    <w:p>
      <w:pPr>
        <w:bidi w:val="0"/>
      </w:pPr>
      <w:r>
        <w:t>(1)</w:t>
      </w:r>
      <w:r>
        <w:rPr>
          <w:rFonts w:hint="eastAsia"/>
          <w:lang w:eastAsia="zh-CN"/>
        </w:rPr>
        <w:t>料仓和半成品仓</w:t>
      </w:r>
      <w:r>
        <w:rPr>
          <w:rFonts w:hint="eastAsia"/>
          <w:lang w:val="en-US" w:eastAsia="zh-CN"/>
        </w:rPr>
        <w:t>2</w:t>
      </w:r>
      <w:r>
        <w:rPr>
          <w:rFonts w:hint="eastAsia"/>
          <w:lang w:eastAsia="zh-CN"/>
        </w:rPr>
        <w:t>进料口两侧、中间包装机和包装机</w:t>
      </w:r>
      <w:r>
        <w:t>设有</w:t>
      </w:r>
      <w:r>
        <w:rPr>
          <w:rFonts w:hint="eastAsia"/>
          <w:lang w:eastAsia="zh-CN"/>
        </w:rPr>
        <w:t>集尘罩</w:t>
      </w:r>
      <w:r>
        <w:t>，产生的粉尘经负压收集后经布袋除尘处理后排放。</w:t>
      </w:r>
    </w:p>
    <w:p>
      <w:pPr>
        <w:bidi w:val="0"/>
      </w:pPr>
      <w:r>
        <w:t>(2)</w:t>
      </w:r>
      <w:r>
        <w:rPr>
          <w:rFonts w:hint="eastAsia"/>
          <w:lang w:eastAsia="zh-CN"/>
        </w:rPr>
        <w:t>排料、</w:t>
      </w:r>
      <w:r>
        <w:t>破碎、筛分生产过程采用密闭设备，不产生扬尘。</w:t>
      </w:r>
    </w:p>
    <w:p>
      <w:pPr>
        <w:bidi w:val="0"/>
      </w:pPr>
      <w:r>
        <w:t>(3)</w:t>
      </w:r>
      <w:r>
        <w:rPr>
          <w:rFonts w:hint="eastAsia"/>
          <w:lang w:eastAsia="zh-CN"/>
        </w:rPr>
        <w:t>无组织粉尘产生工序</w:t>
      </w:r>
      <w:r>
        <w:t>全部位于车间内进行，尽可能降低对环境的影响。</w:t>
      </w:r>
    </w:p>
    <w:p>
      <w:pPr>
        <w:bidi w:val="0"/>
      </w:pPr>
      <w:r>
        <w:t>(4)脱硫石膏在暂存过程中，保持15%~20%的含水率，</w:t>
      </w:r>
      <w:r>
        <w:rPr>
          <w:rFonts w:hint="eastAsia"/>
          <w:lang w:eastAsia="zh-CN"/>
        </w:rPr>
        <w:t>脱硫石膏在外售前暂存于脱硫石膏池内，</w:t>
      </w:r>
      <w:r>
        <w:t>石膏池设有三面围挡措施，以防止扬尘影响。</w:t>
      </w:r>
    </w:p>
    <w:p>
      <w:pPr>
        <w:bidi w:val="0"/>
      </w:pPr>
      <w:r>
        <w:rPr>
          <w:rFonts w:hint="eastAsia"/>
        </w:rPr>
        <w:t>⑸</w:t>
      </w:r>
      <w:r>
        <w:t>定期检查各生产工艺装备、废气收集系统、除尘设施等，确保设施密闭良好，无粉尘外逸。</w:t>
      </w:r>
    </w:p>
    <w:p>
      <w:pPr>
        <w:bidi w:val="0"/>
      </w:pPr>
      <w:r>
        <w:rPr>
          <w:rFonts w:hint="eastAsia"/>
        </w:rPr>
        <w:t>⑹</w:t>
      </w:r>
      <w:r>
        <w:t>厂区道路采取定期清扫、洒水等保持清洁。车辆</w:t>
      </w:r>
      <w:r>
        <w:rPr>
          <w:rFonts w:hint="eastAsia"/>
          <w:lang w:eastAsia="zh-CN"/>
        </w:rPr>
        <w:t>进出厂区应</w:t>
      </w:r>
      <w:r>
        <w:t>清洗车轮、清洁车身。</w:t>
      </w:r>
    </w:p>
    <w:p>
      <w:pPr>
        <w:bidi w:val="0"/>
      </w:pPr>
      <w:r>
        <w:t>需加强的控制对策：</w:t>
      </w:r>
    </w:p>
    <w:p>
      <w:pPr>
        <w:bidi w:val="0"/>
      </w:pPr>
      <w:r>
        <w:t>(1)加强操作工的培训和管理，减少人为造成的对环境的污染；</w:t>
      </w:r>
    </w:p>
    <w:p>
      <w:pPr>
        <w:bidi w:val="0"/>
      </w:pPr>
      <w:r>
        <w:t>(2)对于一些有可能导致废气事故排放的情况，车间配置集气收集装置收集无组织废气转为有组织废气，厂家必须加强管理，采取切实有效的措施以保障安全和防止污染环境；</w:t>
      </w:r>
    </w:p>
    <w:p>
      <w:pPr>
        <w:bidi w:val="0"/>
      </w:pPr>
      <w:r>
        <w:t>(3)加强非露天车间做好消防防火工作，严格按消防规章落实各项措施，杜绝爆炸、火灾引污染事故。</w:t>
      </w:r>
    </w:p>
    <w:p>
      <w:pPr>
        <w:bidi w:val="0"/>
      </w:pPr>
      <w:r>
        <w:t>(4)废气收集应遵循“应收尽收、分质收集”的原则。废气收集系统应根据气体性质、流量等因素综合设计，确保废气收集效果。</w:t>
      </w:r>
    </w:p>
    <w:p>
      <w:pPr>
        <w:pStyle w:val="5"/>
        <w:bidi w:val="0"/>
      </w:pPr>
      <w:bookmarkStart w:id="111" w:name="_Toc527394260"/>
      <w:bookmarkStart w:id="112" w:name="_Toc527486994"/>
      <w:bookmarkStart w:id="113" w:name="_Toc22259_WPSOffice_Level2"/>
      <w:r>
        <w:rPr>
          <w:rFonts w:hint="eastAsia"/>
          <w:lang w:val="en-US" w:eastAsia="zh-CN"/>
        </w:rPr>
        <w:t>6.1.3</w:t>
      </w:r>
      <w:r>
        <w:t xml:space="preserve"> 车间事故性排放应急措施与卫生防护</w:t>
      </w:r>
      <w:bookmarkEnd w:id="111"/>
      <w:bookmarkEnd w:id="112"/>
      <w:bookmarkEnd w:id="113"/>
    </w:p>
    <w:p>
      <w:pPr>
        <w:bidi w:val="0"/>
      </w:pPr>
      <w:r>
        <w:t>生产期间要防止管道和尾气收集系统的泄漏，避免事故性无组织排放。建立事故性排放的防护措施，在车间内要备有足够的通风设备。</w:t>
      </w:r>
    </w:p>
    <w:p>
      <w:pPr>
        <w:pStyle w:val="5"/>
        <w:bidi w:val="0"/>
      </w:pPr>
      <w:bookmarkStart w:id="114" w:name="_Toc22231_WPSOffice_Level2"/>
      <w:bookmarkStart w:id="115" w:name="_Toc527486995"/>
      <w:bookmarkStart w:id="116" w:name="_Toc527394261"/>
      <w:r>
        <w:rPr>
          <w:rFonts w:hint="eastAsia"/>
          <w:lang w:val="en-US" w:eastAsia="zh-CN"/>
        </w:rPr>
        <w:t>6.1.4</w:t>
      </w:r>
      <w:r>
        <w:t>大气污染防治措施效果分析</w:t>
      </w:r>
      <w:bookmarkEnd w:id="114"/>
      <w:bookmarkEnd w:id="115"/>
      <w:bookmarkEnd w:id="116"/>
    </w:p>
    <w:p>
      <w:pPr>
        <w:bidi w:val="0"/>
      </w:pPr>
      <w:r>
        <w:t>项目废气防治措施治理效果详见表</w:t>
      </w:r>
      <w:r>
        <w:rPr>
          <w:rFonts w:hint="eastAsia"/>
          <w:lang w:val="en-US" w:eastAsia="zh-CN"/>
        </w:rPr>
        <w:t>6.1.4-1</w:t>
      </w:r>
      <w:r>
        <w:t>。</w:t>
      </w:r>
    </w:p>
    <w:p>
      <w:pPr>
        <w:pStyle w:val="27"/>
        <w:bidi w:val="0"/>
      </w:pPr>
      <w:r>
        <w:t>表</w:t>
      </w:r>
      <w:r>
        <w:rPr>
          <w:rFonts w:hint="eastAsia"/>
          <w:lang w:val="en-US" w:eastAsia="zh-CN"/>
        </w:rPr>
        <w:t>6.1.4-1</w:t>
      </w:r>
      <w:r>
        <w:t>项目废气处理工艺及效果表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771"/>
        <w:gridCol w:w="1913"/>
        <w:gridCol w:w="989"/>
        <w:gridCol w:w="994"/>
        <w:gridCol w:w="641"/>
        <w:gridCol w:w="982"/>
        <w:gridCol w:w="663"/>
        <w:gridCol w:w="663"/>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工期</w:t>
            </w:r>
          </w:p>
        </w:tc>
        <w:tc>
          <w:tcPr>
            <w:tcW w:w="1771" w:type="dxa"/>
            <w:vMerge w:val="restart"/>
            <w:noWrap w:val="0"/>
            <w:vAlign w:val="center"/>
          </w:tcPr>
          <w:p>
            <w:pPr>
              <w:pStyle w:val="28"/>
              <w:suppressLineNumbers w:val="0"/>
              <w:bidi w:val="0"/>
              <w:spacing w:before="0" w:after="0"/>
              <w:ind w:left="0" w:right="0"/>
            </w:pPr>
            <w:r>
              <w:t>产污环节</w:t>
            </w:r>
          </w:p>
        </w:tc>
        <w:tc>
          <w:tcPr>
            <w:tcW w:w="1913" w:type="dxa"/>
            <w:vMerge w:val="restart"/>
            <w:noWrap w:val="0"/>
            <w:vAlign w:val="center"/>
          </w:tcPr>
          <w:p>
            <w:pPr>
              <w:pStyle w:val="28"/>
              <w:suppressLineNumbers w:val="0"/>
              <w:bidi w:val="0"/>
              <w:spacing w:before="0" w:after="0"/>
              <w:ind w:left="0" w:right="0"/>
            </w:pPr>
            <w:r>
              <w:t>处理措施</w:t>
            </w:r>
          </w:p>
        </w:tc>
        <w:tc>
          <w:tcPr>
            <w:tcW w:w="0" w:type="auto"/>
            <w:vMerge w:val="restart"/>
            <w:noWrap w:val="0"/>
            <w:vAlign w:val="center"/>
          </w:tcPr>
          <w:p>
            <w:pPr>
              <w:pStyle w:val="28"/>
              <w:suppressLineNumbers w:val="0"/>
              <w:bidi w:val="0"/>
              <w:spacing w:before="0" w:after="0"/>
              <w:ind w:left="0" w:right="0"/>
            </w:pPr>
            <w:r>
              <w:t>数量（套）</w:t>
            </w:r>
          </w:p>
        </w:tc>
        <w:tc>
          <w:tcPr>
            <w:tcW w:w="0" w:type="auto"/>
            <w:vMerge w:val="restart"/>
            <w:noWrap w:val="0"/>
            <w:vAlign w:val="center"/>
          </w:tcPr>
          <w:p>
            <w:pPr>
              <w:pStyle w:val="28"/>
              <w:suppressLineNumbers w:val="0"/>
              <w:bidi w:val="0"/>
              <w:spacing w:before="0" w:after="0"/>
              <w:ind w:left="0" w:right="0"/>
            </w:pPr>
            <w:r>
              <w:t>总投资（万元）</w:t>
            </w:r>
          </w:p>
        </w:tc>
        <w:tc>
          <w:tcPr>
            <w:tcW w:w="0" w:type="auto"/>
            <w:vMerge w:val="restart"/>
            <w:noWrap w:val="0"/>
            <w:vAlign w:val="center"/>
          </w:tcPr>
          <w:p>
            <w:pPr>
              <w:pStyle w:val="28"/>
              <w:suppressLineNumbers w:val="0"/>
              <w:bidi w:val="0"/>
              <w:spacing w:before="0" w:after="0"/>
              <w:ind w:left="0" w:right="0"/>
            </w:pPr>
            <w:r>
              <w:t>效果</w:t>
            </w:r>
          </w:p>
        </w:tc>
        <w:tc>
          <w:tcPr>
            <w:tcW w:w="0" w:type="auto"/>
            <w:vMerge w:val="restart"/>
            <w:noWrap w:val="0"/>
            <w:vAlign w:val="center"/>
          </w:tcPr>
          <w:p>
            <w:pPr>
              <w:pStyle w:val="28"/>
              <w:suppressLineNumbers w:val="0"/>
              <w:bidi w:val="0"/>
              <w:spacing w:before="0" w:after="0"/>
              <w:ind w:left="0" w:right="0"/>
            </w:pPr>
            <w:r>
              <w:t>排气筒编号</w:t>
            </w:r>
          </w:p>
        </w:tc>
        <w:tc>
          <w:tcPr>
            <w:tcW w:w="0" w:type="auto"/>
            <w:gridSpan w:val="3"/>
            <w:noWrap w:val="0"/>
            <w:vAlign w:val="center"/>
          </w:tcPr>
          <w:p>
            <w:pPr>
              <w:pStyle w:val="28"/>
              <w:suppressLineNumbers w:val="0"/>
              <w:bidi w:val="0"/>
              <w:spacing w:before="0" w:after="0"/>
              <w:ind w:left="0" w:right="0"/>
            </w:pPr>
            <w:r>
              <w:t>排放参数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28"/>
              <w:suppressLineNumbers w:val="0"/>
              <w:bidi w:val="0"/>
              <w:spacing w:before="0" w:after="0"/>
              <w:ind w:left="0" w:right="0"/>
              <w:outlineLvl w:val="9"/>
            </w:pPr>
          </w:p>
        </w:tc>
        <w:tc>
          <w:tcPr>
            <w:tcW w:w="1771" w:type="dxa"/>
            <w:vMerge w:val="continue"/>
            <w:noWrap w:val="0"/>
            <w:vAlign w:val="center"/>
          </w:tcPr>
          <w:p>
            <w:pPr>
              <w:pStyle w:val="28"/>
              <w:suppressLineNumbers w:val="0"/>
              <w:bidi w:val="0"/>
              <w:spacing w:before="0" w:after="0"/>
              <w:ind w:left="0" w:right="0"/>
              <w:outlineLvl w:val="9"/>
            </w:pPr>
          </w:p>
        </w:tc>
        <w:tc>
          <w:tcPr>
            <w:tcW w:w="1913"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pPr>
            <w:r>
              <w:t>高度(m)</w:t>
            </w:r>
          </w:p>
        </w:tc>
        <w:tc>
          <w:tcPr>
            <w:tcW w:w="0" w:type="auto"/>
            <w:noWrap w:val="0"/>
            <w:vAlign w:val="center"/>
          </w:tcPr>
          <w:p>
            <w:pPr>
              <w:pStyle w:val="28"/>
              <w:suppressLineNumbers w:val="0"/>
              <w:bidi w:val="0"/>
              <w:spacing w:before="0" w:after="0"/>
              <w:ind w:left="0" w:right="0"/>
            </w:pPr>
            <w:r>
              <w:t>直径(m)</w:t>
            </w:r>
          </w:p>
        </w:tc>
        <w:tc>
          <w:tcPr>
            <w:tcW w:w="0" w:type="auto"/>
            <w:noWrap w:val="0"/>
            <w:vAlign w:val="center"/>
          </w:tcPr>
          <w:p>
            <w:pPr>
              <w:pStyle w:val="28"/>
              <w:suppressLineNumbers w:val="0"/>
              <w:bidi w:val="0"/>
              <w:spacing w:before="0" w:after="0"/>
              <w:ind w:left="0" w:right="0"/>
            </w:pPr>
            <w:r>
              <w:t>温度(</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一期</w:t>
            </w:r>
          </w:p>
        </w:tc>
        <w:tc>
          <w:tcPr>
            <w:tcW w:w="1771" w:type="dxa"/>
            <w:noWrap w:val="0"/>
            <w:vAlign w:val="center"/>
          </w:tcPr>
          <w:p>
            <w:pPr>
              <w:pStyle w:val="28"/>
              <w:suppressLineNumbers w:val="0"/>
              <w:bidi w:val="0"/>
              <w:spacing w:before="0" w:after="0"/>
              <w:ind w:left="0" w:right="0"/>
              <w:rPr>
                <w:rFonts w:hint="eastAsia"/>
                <w:lang w:eastAsia="zh-CN"/>
              </w:rPr>
            </w:pPr>
            <w:r>
              <w:rPr>
                <w:rFonts w:hint="eastAsia"/>
                <w:lang w:eastAsia="zh-CN"/>
              </w:rPr>
              <w:t>进料</w:t>
            </w:r>
          </w:p>
        </w:tc>
        <w:tc>
          <w:tcPr>
            <w:tcW w:w="1913" w:type="dxa"/>
            <w:noWrap w:val="0"/>
            <w:vAlign w:val="center"/>
          </w:tcPr>
          <w:p>
            <w:pPr>
              <w:pStyle w:val="28"/>
              <w:suppressLineNumbers w:val="0"/>
              <w:bidi w:val="0"/>
              <w:spacing w:before="0" w:after="0"/>
              <w:ind w:left="0" w:right="0"/>
            </w:pPr>
            <w:r>
              <w:rPr>
                <w:rFonts w:hint="eastAsia"/>
                <w:lang w:eastAsia="zh-CN"/>
              </w:rPr>
              <w:t>集尘罩</w:t>
            </w:r>
            <w:r>
              <w:rPr>
                <w:rFonts w:hint="eastAsia"/>
                <w:lang w:val="en-US" w:eastAsia="zh-CN"/>
              </w:rPr>
              <w:t>+</w:t>
            </w:r>
            <w:r>
              <w:t>布袋除尘器</w:t>
            </w:r>
          </w:p>
        </w:tc>
        <w:tc>
          <w:tcPr>
            <w:tcW w:w="0" w:type="auto"/>
            <w:noWrap w:val="0"/>
            <w:vAlign w:val="center"/>
          </w:tcPr>
          <w:p>
            <w:pPr>
              <w:pStyle w:val="28"/>
              <w:suppressLineNumbers w:val="0"/>
              <w:bidi w:val="0"/>
              <w:spacing w:before="0" w:after="0"/>
              <w:ind w:left="0" w:right="0"/>
            </w:pPr>
            <w:r>
              <w:t>1</w:t>
            </w:r>
          </w:p>
        </w:tc>
        <w:tc>
          <w:tcPr>
            <w:tcW w:w="0" w:type="auto"/>
            <w:noWrap w:val="0"/>
            <w:vAlign w:val="center"/>
          </w:tcPr>
          <w:p>
            <w:pPr>
              <w:pStyle w:val="28"/>
              <w:suppressLineNumbers w:val="0"/>
              <w:bidi w:val="0"/>
              <w:spacing w:before="0" w:after="0"/>
              <w:ind w:left="0" w:right="0"/>
            </w:pPr>
            <w:r>
              <w:t>40</w:t>
            </w:r>
          </w:p>
        </w:tc>
        <w:tc>
          <w:tcPr>
            <w:tcW w:w="641" w:type="dxa"/>
            <w:vMerge w:val="restart"/>
            <w:noWrap w:val="0"/>
            <w:vAlign w:val="center"/>
          </w:tcPr>
          <w:p>
            <w:pPr>
              <w:pStyle w:val="28"/>
              <w:suppressLineNumbers w:val="0"/>
              <w:bidi w:val="0"/>
              <w:spacing w:before="0" w:after="0"/>
              <w:ind w:left="0" w:right="0"/>
            </w:pPr>
            <w:r>
              <w:t>达标排放</w:t>
            </w:r>
          </w:p>
        </w:tc>
        <w:tc>
          <w:tcPr>
            <w:tcW w:w="0" w:type="auto"/>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DA001</w:t>
            </w:r>
          </w:p>
        </w:tc>
        <w:tc>
          <w:tcPr>
            <w:tcW w:w="0" w:type="auto"/>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w:t>
            </w:r>
          </w:p>
        </w:tc>
        <w:tc>
          <w:tcPr>
            <w:tcW w:w="0" w:type="auto"/>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1.3</w:t>
            </w:r>
          </w:p>
        </w:tc>
        <w:tc>
          <w:tcPr>
            <w:tcW w:w="0" w:type="auto"/>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pPr>
              <w:pStyle w:val="28"/>
              <w:suppressLineNumbers w:val="0"/>
              <w:bidi w:val="0"/>
              <w:spacing w:before="0" w:after="0"/>
              <w:ind w:left="0" w:right="0"/>
              <w:outlineLvl w:val="9"/>
              <w:rPr>
                <w:rFonts w:hint="eastAsia"/>
                <w:lang w:eastAsia="zh-CN"/>
              </w:rPr>
            </w:pPr>
          </w:p>
        </w:tc>
        <w:tc>
          <w:tcPr>
            <w:tcW w:w="1771" w:type="dxa"/>
            <w:noWrap w:val="0"/>
            <w:vAlign w:val="center"/>
          </w:tcPr>
          <w:p>
            <w:pPr>
              <w:pStyle w:val="28"/>
              <w:suppressLineNumbers w:val="0"/>
              <w:bidi w:val="0"/>
              <w:spacing w:before="0" w:after="0"/>
              <w:ind w:left="0" w:right="0"/>
              <w:rPr>
                <w:rFonts w:hint="eastAsia"/>
                <w:lang w:eastAsia="zh-CN"/>
              </w:rPr>
            </w:pPr>
            <w:r>
              <w:rPr>
                <w:rFonts w:hint="eastAsia"/>
                <w:lang w:eastAsia="zh-CN"/>
              </w:rPr>
              <w:t>电煅</w:t>
            </w:r>
          </w:p>
        </w:tc>
        <w:tc>
          <w:tcPr>
            <w:tcW w:w="1913" w:type="dxa"/>
            <w:noWrap w:val="0"/>
            <w:vAlign w:val="center"/>
          </w:tcPr>
          <w:p>
            <w:pPr>
              <w:pStyle w:val="28"/>
              <w:suppressLineNumbers w:val="0"/>
              <w:bidi w:val="0"/>
              <w:spacing w:before="0" w:after="0"/>
              <w:ind w:left="0" w:right="0"/>
            </w:pPr>
            <w:r>
              <w:t>布袋除尘+氧化钙脱硫（</w:t>
            </w:r>
            <w:r>
              <w:rPr>
                <w:rFonts w:hint="eastAsia"/>
                <w:lang w:eastAsia="zh-CN"/>
              </w:rPr>
              <w:t>二</w:t>
            </w:r>
            <w:r>
              <w:t>级）</w:t>
            </w:r>
          </w:p>
        </w:tc>
        <w:tc>
          <w:tcPr>
            <w:tcW w:w="0" w:type="auto"/>
            <w:noWrap w:val="0"/>
            <w:vAlign w:val="center"/>
          </w:tcPr>
          <w:p>
            <w:pPr>
              <w:pStyle w:val="28"/>
              <w:suppressLineNumbers w:val="0"/>
              <w:bidi w:val="0"/>
              <w:spacing w:before="0" w:after="0"/>
              <w:ind w:left="0" w:right="0"/>
            </w:pPr>
            <w:r>
              <w:t>1</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200</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pPr>
              <w:pStyle w:val="28"/>
              <w:suppressLineNumbers w:val="0"/>
              <w:bidi w:val="0"/>
              <w:spacing w:before="0" w:after="0"/>
              <w:ind w:left="0" w:right="0"/>
              <w:outlineLvl w:val="9"/>
            </w:pPr>
          </w:p>
        </w:tc>
        <w:tc>
          <w:tcPr>
            <w:tcW w:w="1771" w:type="dxa"/>
            <w:noWrap w:val="0"/>
            <w:vAlign w:val="center"/>
          </w:tcPr>
          <w:p>
            <w:pPr>
              <w:pStyle w:val="28"/>
              <w:suppressLineNumbers w:val="0"/>
              <w:bidi w:val="0"/>
              <w:spacing w:before="0" w:after="0"/>
              <w:ind w:left="0" w:right="0"/>
              <w:rPr>
                <w:rFonts w:hint="eastAsia"/>
                <w:lang w:eastAsia="zh-CN"/>
              </w:rPr>
            </w:pPr>
            <w:r>
              <w:t>排料</w:t>
            </w:r>
            <w:r>
              <w:rPr>
                <w:rFonts w:hint="eastAsia"/>
                <w:lang w:eastAsia="zh-CN"/>
              </w:rPr>
              <w:t>、中间包装、半成品仓、破碎、筛分、包装</w:t>
            </w:r>
          </w:p>
        </w:tc>
        <w:tc>
          <w:tcPr>
            <w:tcW w:w="1913" w:type="dxa"/>
            <w:noWrap w:val="0"/>
            <w:vAlign w:val="center"/>
          </w:tcPr>
          <w:p>
            <w:pPr>
              <w:pStyle w:val="28"/>
              <w:suppressLineNumbers w:val="0"/>
              <w:bidi w:val="0"/>
              <w:spacing w:before="0" w:after="0"/>
              <w:ind w:left="0" w:right="0"/>
            </w:pPr>
            <w:r>
              <w:rPr>
                <w:rFonts w:hint="eastAsia"/>
                <w:lang w:eastAsia="zh-CN"/>
              </w:rPr>
              <w:t>集尘罩</w:t>
            </w:r>
            <w:r>
              <w:rPr>
                <w:rFonts w:hint="eastAsia"/>
                <w:lang w:val="en-US" w:eastAsia="zh-CN"/>
              </w:rPr>
              <w:t>、</w:t>
            </w:r>
            <w:r>
              <w:t>布袋除尘器</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60</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Merge w:val="continue"/>
            <w:noWrap w:val="0"/>
            <w:vAlign w:val="center"/>
          </w:tcPr>
          <w:p>
            <w:pPr>
              <w:pStyle w:val="28"/>
              <w:suppressLineNumbers w:val="0"/>
              <w:bidi w:val="0"/>
              <w:spacing w:before="0" w:after="0"/>
              <w:ind w:left="0" w:right="0"/>
              <w:outlineLvl w:val="9"/>
            </w:pPr>
          </w:p>
        </w:tc>
        <w:tc>
          <w:tcPr>
            <w:tcW w:w="1771" w:type="dxa"/>
            <w:noWrap w:val="0"/>
            <w:vAlign w:val="center"/>
          </w:tcPr>
          <w:p>
            <w:pPr>
              <w:pStyle w:val="28"/>
              <w:suppressLineNumbers w:val="0"/>
              <w:bidi w:val="0"/>
              <w:spacing w:before="0" w:after="0"/>
              <w:ind w:left="0" w:right="0"/>
              <w:rPr>
                <w:rFonts w:hint="eastAsia" w:eastAsia="宋体"/>
                <w:lang w:eastAsia="zh-CN"/>
              </w:rPr>
            </w:pPr>
            <w:r>
              <w:rPr>
                <w:rFonts w:hint="eastAsia"/>
                <w:lang w:eastAsia="zh-CN"/>
              </w:rPr>
              <w:t>厨房</w:t>
            </w:r>
          </w:p>
        </w:tc>
        <w:tc>
          <w:tcPr>
            <w:tcW w:w="1913" w:type="dxa"/>
            <w:noWrap w:val="0"/>
            <w:vAlign w:val="center"/>
          </w:tcPr>
          <w:p>
            <w:pPr>
              <w:pStyle w:val="28"/>
              <w:suppressLineNumbers w:val="0"/>
              <w:bidi w:val="0"/>
              <w:spacing w:before="0" w:after="0"/>
              <w:ind w:left="0" w:right="0"/>
              <w:rPr>
                <w:rFonts w:hint="eastAsia"/>
                <w:lang w:eastAsia="zh-CN"/>
              </w:rPr>
            </w:pPr>
            <w:r>
              <w:rPr>
                <w:rFonts w:hint="eastAsia"/>
                <w:lang w:eastAsia="zh-CN"/>
              </w:rPr>
              <w:t>烟气净化装置</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二期</w:t>
            </w:r>
          </w:p>
        </w:tc>
        <w:tc>
          <w:tcPr>
            <w:tcW w:w="1771" w:type="dxa"/>
            <w:noWrap w:val="0"/>
            <w:vAlign w:val="center"/>
          </w:tcPr>
          <w:p>
            <w:pPr>
              <w:pStyle w:val="28"/>
              <w:suppressLineNumbers w:val="0"/>
              <w:bidi w:val="0"/>
              <w:spacing w:before="0" w:after="0"/>
              <w:ind w:left="0" w:right="0"/>
              <w:rPr>
                <w:rFonts w:hint="eastAsia"/>
                <w:lang w:val="en-US" w:eastAsia="zh-CN"/>
              </w:rPr>
            </w:pPr>
            <w:r>
              <w:rPr>
                <w:rFonts w:hint="eastAsia"/>
                <w:lang w:eastAsia="zh-CN"/>
              </w:rPr>
              <w:t>进料</w:t>
            </w:r>
          </w:p>
        </w:tc>
        <w:tc>
          <w:tcPr>
            <w:tcW w:w="1913" w:type="dxa"/>
            <w:noWrap w:val="0"/>
            <w:vAlign w:val="center"/>
          </w:tcPr>
          <w:p>
            <w:pPr>
              <w:pStyle w:val="28"/>
              <w:suppressLineNumbers w:val="0"/>
              <w:bidi w:val="0"/>
              <w:spacing w:before="0" w:after="0"/>
              <w:ind w:left="0" w:right="0"/>
              <w:rPr>
                <w:lang w:val="en-US" w:eastAsia="zh-CN"/>
              </w:rPr>
            </w:pPr>
            <w:r>
              <w:rPr>
                <w:rFonts w:hint="eastAsia"/>
                <w:lang w:eastAsia="zh-CN"/>
              </w:rPr>
              <w:t>集尘罩</w:t>
            </w:r>
            <w:r>
              <w:rPr>
                <w:rFonts w:hint="eastAsia"/>
                <w:lang w:val="en-US" w:eastAsia="zh-CN"/>
              </w:rPr>
              <w:t>+</w:t>
            </w:r>
            <w:r>
              <w:t>布袋除尘器</w:t>
            </w:r>
          </w:p>
        </w:tc>
        <w:tc>
          <w:tcPr>
            <w:tcW w:w="0" w:type="auto"/>
            <w:noWrap w:val="0"/>
            <w:vAlign w:val="center"/>
          </w:tcPr>
          <w:p>
            <w:pPr>
              <w:pStyle w:val="28"/>
              <w:suppressLineNumbers w:val="0"/>
              <w:bidi w:val="0"/>
              <w:spacing w:before="0" w:after="0"/>
              <w:ind w:left="0" w:right="0"/>
              <w:rPr>
                <w:lang w:val="en-US" w:eastAsia="zh-CN"/>
              </w:rPr>
            </w:pPr>
            <w:r>
              <w:t>1</w:t>
            </w:r>
          </w:p>
        </w:tc>
        <w:tc>
          <w:tcPr>
            <w:tcW w:w="0" w:type="auto"/>
            <w:noWrap w:val="0"/>
            <w:vAlign w:val="center"/>
          </w:tcPr>
          <w:p>
            <w:pPr>
              <w:pStyle w:val="28"/>
              <w:suppressLineNumbers w:val="0"/>
              <w:bidi w:val="0"/>
              <w:spacing w:before="0" w:after="0"/>
              <w:ind w:left="0" w:right="0"/>
              <w:rPr>
                <w:lang w:val="en-US" w:eastAsia="zh-CN"/>
              </w:rPr>
            </w:pPr>
            <w:r>
              <w:t>40</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28"/>
              <w:suppressLineNumbers w:val="0"/>
              <w:bidi w:val="0"/>
              <w:spacing w:before="0" w:after="0"/>
              <w:ind w:left="0" w:right="0"/>
              <w:outlineLvl w:val="9"/>
            </w:pPr>
          </w:p>
        </w:tc>
        <w:tc>
          <w:tcPr>
            <w:tcW w:w="1771" w:type="dxa"/>
            <w:noWrap w:val="0"/>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1913" w:type="dxa"/>
            <w:noWrap w:val="0"/>
            <w:vAlign w:val="center"/>
          </w:tcPr>
          <w:p>
            <w:pPr>
              <w:pStyle w:val="28"/>
              <w:suppressLineNumbers w:val="0"/>
              <w:bidi w:val="0"/>
              <w:spacing w:before="0" w:after="0"/>
              <w:ind w:left="0" w:right="0"/>
              <w:rPr>
                <w:lang w:val="en-US" w:eastAsia="zh-CN"/>
              </w:rPr>
            </w:pPr>
            <w:r>
              <w:t>布袋除尘+氧化钙脱硫（</w:t>
            </w:r>
            <w:r>
              <w:rPr>
                <w:rFonts w:hint="eastAsia"/>
                <w:lang w:eastAsia="zh-CN"/>
              </w:rPr>
              <w:t>二</w:t>
            </w:r>
            <w:r>
              <w:t>级）</w:t>
            </w:r>
          </w:p>
        </w:tc>
        <w:tc>
          <w:tcPr>
            <w:tcW w:w="0" w:type="auto"/>
            <w:noWrap w:val="0"/>
            <w:vAlign w:val="center"/>
          </w:tcPr>
          <w:p>
            <w:pPr>
              <w:pStyle w:val="28"/>
              <w:suppressLineNumbers w:val="0"/>
              <w:bidi w:val="0"/>
              <w:spacing w:before="0" w:after="0"/>
              <w:ind w:left="0" w:right="0"/>
              <w:rPr>
                <w:lang w:val="en-US" w:eastAsia="zh-CN"/>
              </w:rPr>
            </w:pPr>
            <w:r>
              <w:t>1</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200</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pStyle w:val="28"/>
              <w:suppressLineNumbers w:val="0"/>
              <w:bidi w:val="0"/>
              <w:spacing w:before="0" w:after="0"/>
              <w:ind w:left="0" w:right="0"/>
              <w:outlineLvl w:val="9"/>
            </w:pPr>
          </w:p>
        </w:tc>
        <w:tc>
          <w:tcPr>
            <w:tcW w:w="1771" w:type="dxa"/>
            <w:noWrap w:val="0"/>
            <w:vAlign w:val="center"/>
          </w:tcPr>
          <w:p>
            <w:pPr>
              <w:pStyle w:val="28"/>
              <w:suppressLineNumbers w:val="0"/>
              <w:bidi w:val="0"/>
              <w:spacing w:before="0" w:after="0"/>
              <w:ind w:left="0" w:right="0"/>
              <w:rPr>
                <w:rFonts w:hint="eastAsia"/>
                <w:lang w:val="en-US" w:eastAsia="zh-CN"/>
              </w:rPr>
            </w:pPr>
            <w:r>
              <w:t>排料</w:t>
            </w:r>
            <w:r>
              <w:rPr>
                <w:rFonts w:hint="eastAsia"/>
                <w:lang w:eastAsia="zh-CN"/>
              </w:rPr>
              <w:t>、中间包装、半成品仓、破碎、筛分、包装</w:t>
            </w:r>
          </w:p>
        </w:tc>
        <w:tc>
          <w:tcPr>
            <w:tcW w:w="1913" w:type="dxa"/>
            <w:noWrap w:val="0"/>
            <w:vAlign w:val="center"/>
          </w:tcPr>
          <w:p>
            <w:pPr>
              <w:pStyle w:val="28"/>
              <w:suppressLineNumbers w:val="0"/>
              <w:bidi w:val="0"/>
              <w:spacing w:before="0" w:after="0"/>
              <w:ind w:left="0" w:right="0"/>
              <w:rPr>
                <w:lang w:val="en-US" w:eastAsia="zh-CN"/>
              </w:rPr>
            </w:pPr>
            <w:r>
              <w:rPr>
                <w:rFonts w:hint="eastAsia"/>
                <w:lang w:eastAsia="zh-CN"/>
              </w:rPr>
              <w:t>集尘罩</w:t>
            </w:r>
            <w:r>
              <w:rPr>
                <w:rFonts w:hint="eastAsia"/>
                <w:lang w:val="en-US" w:eastAsia="zh-CN"/>
              </w:rPr>
              <w:t>、</w:t>
            </w:r>
            <w:r>
              <w:t>布袋除尘器</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60</w:t>
            </w:r>
          </w:p>
        </w:tc>
        <w:tc>
          <w:tcPr>
            <w:tcW w:w="641" w:type="dxa"/>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c>
          <w:tcPr>
            <w:tcW w:w="0" w:type="auto"/>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noWrap w:val="0"/>
            <w:vAlign w:val="center"/>
          </w:tcPr>
          <w:p>
            <w:pPr>
              <w:pStyle w:val="28"/>
              <w:suppressLineNumbers w:val="0"/>
              <w:bidi w:val="0"/>
              <w:spacing w:before="0" w:after="0"/>
              <w:ind w:left="0" w:right="0"/>
            </w:pPr>
            <w:r>
              <w:t>排气筒及管道等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0" w:type="auto"/>
            <w:gridSpan w:val="4"/>
            <w:noWrap w:val="0"/>
            <w:vAlign w:val="center"/>
          </w:tcPr>
          <w:p>
            <w:pPr>
              <w:pStyle w:val="28"/>
              <w:suppressLineNumbers w:val="0"/>
              <w:bidi w:val="0"/>
              <w:spacing w:before="0" w:after="0"/>
              <w:ind w:left="0" w:right="0"/>
            </w:pPr>
            <w:r>
              <w:t>合计</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701</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c>
          <w:tcPr>
            <w:tcW w:w="0" w:type="auto"/>
            <w:noWrap w:val="0"/>
            <w:vAlign w:val="center"/>
          </w:tcPr>
          <w:p>
            <w:pPr>
              <w:pStyle w:val="28"/>
              <w:suppressLineNumbers w:val="0"/>
              <w:bidi w:val="0"/>
              <w:spacing w:before="0" w:after="0"/>
              <w:ind w:left="0" w:right="0"/>
            </w:pPr>
            <w:r>
              <w:t>-</w:t>
            </w:r>
          </w:p>
        </w:tc>
      </w:tr>
    </w:tbl>
    <w:p>
      <w:pPr>
        <w:pStyle w:val="5"/>
        <w:bidi w:val="0"/>
      </w:pPr>
      <w:bookmarkStart w:id="117" w:name="_Toc527486996"/>
      <w:bookmarkStart w:id="118" w:name="_Toc29556_WPSOffice_Level2"/>
      <w:bookmarkStart w:id="119" w:name="_Toc527394262"/>
      <w:r>
        <w:rPr>
          <w:rFonts w:hint="eastAsia"/>
          <w:lang w:val="en-US" w:eastAsia="zh-CN"/>
        </w:rPr>
        <w:t>6.1.5</w:t>
      </w:r>
      <w:r>
        <w:t>大气污染防治措施经济可行性分析</w:t>
      </w:r>
      <w:bookmarkEnd w:id="117"/>
      <w:bookmarkEnd w:id="118"/>
      <w:bookmarkEnd w:id="119"/>
    </w:p>
    <w:p>
      <w:pPr>
        <w:bidi w:val="0"/>
      </w:pPr>
      <w:r>
        <w:t>项目废气治理设施按车间设置，设备及构筑物总投资为</w:t>
      </w:r>
      <w:r>
        <w:rPr>
          <w:rFonts w:hint="eastAsia"/>
          <w:lang w:val="en-US" w:eastAsia="zh-CN"/>
        </w:rPr>
        <w:t>701</w:t>
      </w:r>
      <w:r>
        <w:t>万元，占项目总投资的</w:t>
      </w:r>
      <w:r>
        <w:rPr>
          <w:rFonts w:hint="eastAsia"/>
          <w:lang w:val="en-US" w:eastAsia="zh-CN"/>
        </w:rPr>
        <w:t>0.7</w:t>
      </w:r>
      <w:r>
        <w:t>%占比例较小；项目废气处理装置运行费用主要包括氧化钙等物料的更新及水电费、设备折旧及维修费、职工福利等，年运行费用合计约</w:t>
      </w:r>
      <w:r>
        <w:rPr>
          <w:rFonts w:hint="eastAsia"/>
          <w:lang w:val="en-US" w:eastAsia="zh-CN"/>
        </w:rPr>
        <w:t>200</w:t>
      </w:r>
      <w:r>
        <w:t>万元，占项目年平均利润总额（税前）的</w:t>
      </w:r>
      <w:r>
        <w:rPr>
          <w:rFonts w:hint="eastAsia"/>
          <w:lang w:val="en-US" w:eastAsia="zh-CN"/>
        </w:rPr>
        <w:t>2.22</w:t>
      </w:r>
      <w:r>
        <w:t>%，在企业的承受范围内。</w:t>
      </w:r>
    </w:p>
    <w:p>
      <w:pPr>
        <w:pStyle w:val="4"/>
        <w:bidi w:val="0"/>
        <w:rPr>
          <w:rFonts w:hint="eastAsia"/>
          <w:lang w:val="en-US" w:eastAsia="zh-CN"/>
        </w:rPr>
      </w:pPr>
      <w:bookmarkStart w:id="120" w:name="_Toc31588"/>
      <w:bookmarkStart w:id="121" w:name="_Toc527486998"/>
      <w:bookmarkStart w:id="122" w:name="_Toc527394264"/>
      <w:bookmarkStart w:id="123" w:name="_Toc13796_WPSOffice_Level2"/>
      <w:r>
        <w:rPr>
          <w:rFonts w:hint="eastAsia"/>
          <w:lang w:val="en-US" w:eastAsia="zh-CN"/>
        </w:rPr>
        <w:t>6.2水环境保护措施及其可行性论证</w:t>
      </w:r>
      <w:bookmarkEnd w:id="120"/>
    </w:p>
    <w:p>
      <w:pPr>
        <w:pStyle w:val="5"/>
        <w:bidi w:val="0"/>
      </w:pPr>
      <w:r>
        <w:rPr>
          <w:rFonts w:hint="eastAsia"/>
          <w:lang w:val="en-US" w:eastAsia="zh-CN"/>
        </w:rPr>
        <w:t>6.2.1</w:t>
      </w:r>
      <w:r>
        <w:t>水污染防治措施</w:t>
      </w:r>
      <w:bookmarkEnd w:id="121"/>
      <w:bookmarkEnd w:id="122"/>
      <w:bookmarkEnd w:id="123"/>
    </w:p>
    <w:p>
      <w:pPr>
        <w:bidi w:val="0"/>
      </w:pPr>
      <w:r>
        <w:t>本项目无工艺废水，车间地面不进行冲洗，主要为生活污水、</w:t>
      </w:r>
      <w:r>
        <w:rPr>
          <w:rFonts w:hint="eastAsia"/>
          <w:lang w:eastAsia="zh-CN"/>
        </w:rPr>
        <w:t>食堂废水、变压器冷却循环排水</w:t>
      </w:r>
      <w:r>
        <w:t>、</w:t>
      </w:r>
      <w:r>
        <w:rPr>
          <w:rFonts w:hint="eastAsia"/>
          <w:lang w:eastAsia="zh-CN"/>
        </w:rPr>
        <w:t>电煅炉冷却循环排水、</w:t>
      </w:r>
      <w:r>
        <w:t>软水制备的排水。</w:t>
      </w:r>
    </w:p>
    <w:p>
      <w:pPr>
        <w:bidi w:val="0"/>
        <w:rPr>
          <w:rFonts w:hint="eastAsia" w:eastAsia="宋体"/>
          <w:lang w:eastAsia="zh-CN"/>
        </w:rPr>
      </w:pPr>
      <w:r>
        <w:t>（1）生活污水</w:t>
      </w:r>
      <w:r>
        <w:rPr>
          <w:rFonts w:hint="eastAsia"/>
          <w:lang w:eastAsia="zh-CN"/>
        </w:rPr>
        <w:t>、食堂废水</w:t>
      </w:r>
    </w:p>
    <w:p>
      <w:pPr>
        <w:bidi w:val="0"/>
      </w:pPr>
      <w:r>
        <w:t>本项目生活污水</w:t>
      </w:r>
      <w:r>
        <w:rPr>
          <w:rFonts w:hint="eastAsia"/>
          <w:lang w:eastAsia="zh-CN"/>
        </w:rPr>
        <w:t>、食堂废水</w:t>
      </w:r>
      <w:r>
        <w:t>污染物比较简单，</w:t>
      </w:r>
      <w:r>
        <w:rPr>
          <w:rFonts w:hint="eastAsia"/>
          <w:lang w:eastAsia="zh-CN"/>
        </w:rPr>
        <w:t>经隔油池处理后的食堂废水与生活污水一起进</w:t>
      </w:r>
      <w:r>
        <w:t>经化粪池</w:t>
      </w:r>
      <w:r>
        <w:rPr>
          <w:rFonts w:hint="eastAsia"/>
          <w:lang w:eastAsia="zh-CN"/>
        </w:rPr>
        <w:t>进行处理，</w:t>
      </w:r>
      <w:r>
        <w:t>处理后可满足</w:t>
      </w:r>
      <w:r>
        <w:rPr>
          <w:rFonts w:hint="eastAsia"/>
          <w:lang w:eastAsia="zh-CN"/>
        </w:rPr>
        <w:t>青湖镇联村生活污水处理厂的</w:t>
      </w:r>
      <w:r>
        <w:t>接管标准，直接接</w:t>
      </w:r>
      <w:r>
        <w:rPr>
          <w:rFonts w:hint="eastAsia"/>
          <w:lang w:eastAsia="zh-CN"/>
        </w:rPr>
        <w:t>青湖镇联村生活污水处理厂</w:t>
      </w:r>
      <w:r>
        <w:t>。</w:t>
      </w:r>
    </w:p>
    <w:p>
      <w:pPr>
        <w:bidi w:val="0"/>
      </w:pPr>
      <w:r>
        <w:t>（2）</w:t>
      </w:r>
      <w:r>
        <w:rPr>
          <w:rFonts w:hint="eastAsia"/>
          <w:lang w:eastAsia="zh-CN"/>
        </w:rPr>
        <w:t>变压器冷却循环排水</w:t>
      </w:r>
      <w:r>
        <w:t>、</w:t>
      </w:r>
      <w:r>
        <w:rPr>
          <w:rFonts w:hint="eastAsia"/>
          <w:lang w:eastAsia="zh-CN"/>
        </w:rPr>
        <w:t>电煅炉冷却循环排水</w:t>
      </w:r>
    </w:p>
    <w:p>
      <w:pPr>
        <w:bidi w:val="0"/>
      </w:pPr>
      <w:r>
        <w:t>项目循环冷却系统排水水质比较简单，污染物含量较少，可作为清下水排放</w:t>
      </w:r>
      <w:r>
        <w:rPr>
          <w:rFonts w:hint="eastAsia"/>
          <w:lang w:eastAsia="zh-CN"/>
        </w:rPr>
        <w:t>，部分用于厂区绿化</w:t>
      </w:r>
      <w:r>
        <w:t>。</w:t>
      </w:r>
    </w:p>
    <w:p>
      <w:pPr>
        <w:bidi w:val="0"/>
      </w:pPr>
      <w:r>
        <w:t>（3）软水制备系统排水</w:t>
      </w:r>
    </w:p>
    <w:p>
      <w:pPr>
        <w:bidi w:val="0"/>
      </w:pPr>
      <w:r>
        <w:t>项目软水制备系统排水水质比较简单，主要为盐分，</w:t>
      </w:r>
      <w:r>
        <w:rPr>
          <w:rFonts w:hint="eastAsia"/>
          <w:lang w:eastAsia="zh-CN"/>
        </w:rPr>
        <w:t>部分</w:t>
      </w:r>
      <w:r>
        <w:t>通过清下水排口排放</w:t>
      </w:r>
      <w:r>
        <w:rPr>
          <w:rFonts w:hint="eastAsia"/>
          <w:lang w:eastAsia="zh-CN"/>
        </w:rPr>
        <w:t>，部分用于厂区绿化和脱硫系统补充用水</w:t>
      </w:r>
      <w:r>
        <w:t>。</w:t>
      </w:r>
    </w:p>
    <w:p>
      <w:pPr>
        <w:pStyle w:val="5"/>
        <w:bidi w:val="0"/>
      </w:pPr>
      <w:bookmarkStart w:id="124" w:name="_Toc527394265"/>
      <w:bookmarkStart w:id="125" w:name="_Toc1139_WPSOffice_Level2"/>
      <w:bookmarkStart w:id="126" w:name="_Toc527486999"/>
      <w:r>
        <w:rPr>
          <w:rFonts w:hint="eastAsia"/>
          <w:lang w:val="en-US" w:eastAsia="zh-CN"/>
        </w:rPr>
        <w:t>6.3.2青湖镇</w:t>
      </w:r>
      <w:r>
        <w:rPr>
          <w:rFonts w:hint="eastAsia"/>
          <w:lang w:eastAsia="zh-CN"/>
        </w:rPr>
        <w:t>联村生活</w:t>
      </w:r>
      <w:r>
        <w:t>污水处理厂接纳可行性分析</w:t>
      </w:r>
      <w:bookmarkEnd w:id="124"/>
      <w:bookmarkEnd w:id="125"/>
      <w:bookmarkEnd w:id="126"/>
    </w:p>
    <w:p>
      <w:pPr>
        <w:bidi w:val="0"/>
      </w:pPr>
      <w:r>
        <w:t>（1）</w:t>
      </w:r>
      <w:r>
        <w:rPr>
          <w:rFonts w:hint="eastAsia"/>
          <w:lang w:eastAsia="zh-CN"/>
        </w:rPr>
        <w:t>经隔油池处理后的食堂废水与生活污水一起进</w:t>
      </w:r>
      <w:r>
        <w:t>经化粪池</w:t>
      </w:r>
      <w:r>
        <w:rPr>
          <w:rFonts w:hint="eastAsia"/>
          <w:lang w:eastAsia="zh-CN"/>
        </w:rPr>
        <w:t>进行处理，</w:t>
      </w:r>
      <w:r>
        <w:t>出水水质能够达到</w:t>
      </w:r>
      <w:r>
        <w:rPr>
          <w:rFonts w:hint="eastAsia"/>
          <w:lang w:eastAsia="zh-CN"/>
        </w:rPr>
        <w:t>青湖镇联村生活</w:t>
      </w:r>
      <w:r>
        <w:t>污水处理厂的接管要求。</w:t>
      </w:r>
    </w:p>
    <w:p>
      <w:pPr>
        <w:bidi w:val="0"/>
        <w:rPr>
          <w:rFonts w:hint="eastAsia"/>
          <w:lang w:eastAsia="zh-CN"/>
        </w:rPr>
      </w:pPr>
      <w:r>
        <w:t>（2）</w:t>
      </w:r>
      <w:r>
        <w:rPr>
          <w:rFonts w:hint="eastAsia"/>
          <w:lang w:eastAsia="zh-CN"/>
        </w:rPr>
        <w:t>青湖镇联村污水处理厂，规模为0.15万t/d。</w:t>
      </w:r>
      <w:r>
        <w:t>采用“</w:t>
      </w:r>
      <w:r>
        <w:rPr>
          <w:rFonts w:hint="eastAsia"/>
        </w:rPr>
        <w:t>格栅+沉砂池+ A2/O+二沉池+消毒</w:t>
      </w:r>
      <w:r>
        <w:t>”处理工艺。</w:t>
      </w:r>
      <w:r>
        <w:rPr>
          <w:rFonts w:hint="eastAsia"/>
          <w:lang w:eastAsia="zh-CN"/>
        </w:rPr>
        <w:t>污水处理厂服务范围为：整个工业集中区工业废水及生活污水、远期收集附近村庄生活污水，尾水经处理达到《城镇污水处理厂污染物排放标准》（GB18918-2002）表1一级B标准后排入乌龙河。</w:t>
      </w:r>
    </w:p>
    <w:p>
      <w:pPr>
        <w:bidi w:val="0"/>
        <w:rPr>
          <w:rFonts w:hint="eastAsia"/>
          <w:lang w:eastAsia="zh-CN"/>
        </w:rPr>
      </w:pPr>
      <w:r>
        <w:rPr>
          <w:rFonts w:hint="eastAsia"/>
          <w:lang w:eastAsia="zh-CN"/>
        </w:rPr>
        <w:t>污水主干管敷设管径</w:t>
      </w:r>
      <w:r>
        <w:rPr>
          <w:rFonts w:hint="eastAsia"/>
          <w:lang w:val="en-US" w:eastAsia="zh-CN"/>
        </w:rPr>
        <w:t>D</w:t>
      </w:r>
      <w:r>
        <w:rPr>
          <w:rFonts w:hint="eastAsia"/>
          <w:lang w:eastAsia="zh-CN"/>
        </w:rPr>
        <w:t>600毫米。其它道路敷设污水支管，管径</w:t>
      </w:r>
      <w:r>
        <w:rPr>
          <w:rFonts w:hint="eastAsia"/>
          <w:lang w:val="en-US" w:eastAsia="zh-CN"/>
        </w:rPr>
        <w:t>D</w:t>
      </w:r>
      <w:r>
        <w:rPr>
          <w:rFonts w:hint="eastAsia"/>
          <w:lang w:eastAsia="zh-CN"/>
        </w:rPr>
        <w:t>400毫米。污水管道在道路下位置，以车行道中间偏西侧、北侧为主。污水干管起始端覆土深度不小于1.5米。污水管道采用PVC-U双壁波纹管、HDPE双壁波纹管或承插式钢筋混凝土管。</w:t>
      </w:r>
    </w:p>
    <w:p>
      <w:pPr>
        <w:bidi w:val="0"/>
        <w:rPr>
          <w:rFonts w:hint="eastAsia"/>
          <w:lang w:eastAsia="zh-CN"/>
        </w:rPr>
      </w:pPr>
      <w:r>
        <w:rPr>
          <w:rFonts w:hint="eastAsia"/>
          <w:lang w:eastAsia="zh-CN"/>
        </w:rPr>
        <w:t>A2/O工艺是通过厌氧、缺氧和好氧交替变化的环境完成除磷与脱氮反应的。 A2/O工艺的特点是把除磷、脱氮和降解有机物三个生化过程结合起来，在厌氧 段和缺氧段为除磷和脱氮提供各自不同的反应条件，在最后的好氧段为三个指标 的处理提供了共同的反应条件。这就能够用简单的流程完成复杂的处理过程。一 般能保持对BOD有90%的去除率，对氨氮的去除率也能保持在80%以上，对总磷的去除率能保持在60%以上。</w:t>
      </w:r>
    </w:p>
    <w:p>
      <w:pPr>
        <w:bidi w:val="0"/>
        <w:rPr>
          <w:rFonts w:hint="eastAsia"/>
          <w:lang w:eastAsia="zh-CN"/>
        </w:rPr>
      </w:pPr>
      <w:r>
        <w:rPr>
          <w:rFonts w:hint="eastAsia"/>
          <w:lang w:eastAsia="zh-CN"/>
        </w:rPr>
        <w:t>青湖镇联村污水处理厂处理工艺流程图见图</w:t>
      </w:r>
      <w:r>
        <w:rPr>
          <w:rFonts w:hint="eastAsia"/>
          <w:lang w:val="en-US" w:eastAsia="zh-CN"/>
        </w:rPr>
        <w:t>6.3.2-1</w:t>
      </w:r>
      <w:r>
        <w:rPr>
          <w:rFonts w:hint="eastAsia"/>
          <w:lang w:eastAsia="zh-CN"/>
        </w:rPr>
        <w:t>。</w: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ind w:left="0" w:leftChars="0" w:firstLine="0" w:firstLineChars="0"/>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r>
        <w:drawing>
          <wp:anchor distT="0" distB="0" distL="114300" distR="114300" simplePos="0" relativeHeight="251865088" behindDoc="0" locked="0" layoutInCell="1" allowOverlap="1">
            <wp:simplePos x="0" y="0"/>
            <wp:positionH relativeFrom="column">
              <wp:posOffset>170180</wp:posOffset>
            </wp:positionH>
            <wp:positionV relativeFrom="paragraph">
              <wp:posOffset>151765</wp:posOffset>
            </wp:positionV>
            <wp:extent cx="4942840" cy="2480310"/>
            <wp:effectExtent l="0" t="0" r="10160" b="15240"/>
            <wp:wrapNone/>
            <wp:docPr id="127" name="图片 2" descr="污水处理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descr="污水处理厂工艺"/>
                    <pic:cNvPicPr>
                      <a:picLocks noChangeAspect="1"/>
                    </pic:cNvPicPr>
                  </pic:nvPicPr>
                  <pic:blipFill>
                    <a:blip r:embed="rId46"/>
                    <a:stretch>
                      <a:fillRect/>
                    </a:stretch>
                  </pic:blipFill>
                  <pic:spPr>
                    <a:xfrm>
                      <a:off x="0" y="0"/>
                      <a:ext cx="4942840" cy="24803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lang w:eastAsia="zh-CN"/>
        </w:rPr>
      </w:pPr>
    </w:p>
    <w:p>
      <w:pPr>
        <w:snapToGrid w:val="0"/>
        <w:spacing w:line="360" w:lineRule="auto"/>
        <w:rPr>
          <w:rFonts w:hint="eastAsia"/>
          <w:lang w:eastAsia="zh-CN"/>
        </w:rPr>
      </w:pPr>
    </w:p>
    <w:p>
      <w:pPr>
        <w:snapToGrid w:val="0"/>
        <w:spacing w:line="360" w:lineRule="auto"/>
        <w:ind w:firstLine="560" w:firstLineChars="200"/>
        <w:rPr>
          <w:rFonts w:hint="eastAsia" w:hAnsi="宋体"/>
          <w:lang w:eastAsia="zh-CN"/>
        </w:rPr>
      </w:pPr>
    </w:p>
    <w:p>
      <w:pPr>
        <w:snapToGrid w:val="0"/>
        <w:spacing w:line="360" w:lineRule="auto"/>
        <w:ind w:firstLine="560" w:firstLineChars="200"/>
        <w:rPr>
          <w:rFonts w:hint="eastAsia" w:hAnsi="宋体"/>
          <w:lang w:eastAsia="zh-CN"/>
        </w:rPr>
      </w:pPr>
      <w:r>
        <mc:AlternateContent>
          <mc:Choice Requires="wps">
            <w:drawing>
              <wp:anchor distT="0" distB="0" distL="114300" distR="114300" simplePos="0" relativeHeight="251760640" behindDoc="0" locked="0" layoutInCell="1" allowOverlap="1">
                <wp:simplePos x="0" y="0"/>
                <wp:positionH relativeFrom="column">
                  <wp:posOffset>918845</wp:posOffset>
                </wp:positionH>
                <wp:positionV relativeFrom="paragraph">
                  <wp:posOffset>1270</wp:posOffset>
                </wp:positionV>
                <wp:extent cx="3867150" cy="3429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867150" cy="342900"/>
                        </a:xfrm>
                        <a:prstGeom prst="rect">
                          <a:avLst/>
                        </a:prstGeom>
                        <a:solidFill>
                          <a:srgbClr val="FFFFFF">
                            <a:alpha val="0"/>
                          </a:srgbClr>
                        </a:solidFill>
                        <a:ln>
                          <a:noFill/>
                        </a:ln>
                      </wps:spPr>
                      <wps:txbx>
                        <w:txbxContent>
                          <w:p>
                            <w:pPr>
                              <w:pStyle w:val="53"/>
                              <w:adjustRightInd w:val="0"/>
                              <w:spacing w:beforeLines="0" w:afterLines="0" w:line="240" w:lineRule="auto"/>
                              <w:ind w:left="482" w:hanging="482"/>
                              <w:rPr>
                                <w:rFonts w:eastAsia="宋体"/>
                                <w:sz w:val="24"/>
                              </w:rPr>
                            </w:pPr>
                            <w:r>
                              <w:rPr>
                                <w:rFonts w:hAnsi="宋体" w:eastAsia="宋体"/>
                                <w:sz w:val="24"/>
                              </w:rPr>
                              <w:t>图</w:t>
                            </w:r>
                            <w:r>
                              <w:rPr>
                                <w:rFonts w:hint="eastAsia" w:eastAsia="宋体"/>
                                <w:sz w:val="24"/>
                                <w:lang w:val="en-US" w:eastAsia="zh-CN"/>
                              </w:rPr>
                              <w:t>6.3.2-1</w:t>
                            </w:r>
                            <w:r>
                              <w:rPr>
                                <w:rFonts w:hint="eastAsia" w:eastAsia="宋体"/>
                                <w:sz w:val="24"/>
                              </w:rPr>
                              <w:t xml:space="preserve"> 青湖镇联村污水处理厂</w:t>
                            </w:r>
                            <w:r>
                              <w:rPr>
                                <w:rFonts w:hint="eastAsia" w:hAnsi="宋体" w:eastAsia="宋体"/>
                                <w:sz w:val="24"/>
                              </w:rPr>
                              <w:t>污</w:t>
                            </w:r>
                            <w:r>
                              <w:rPr>
                                <w:rFonts w:hAnsi="宋体" w:eastAsia="宋体"/>
                                <w:sz w:val="24"/>
                              </w:rPr>
                              <w:t>水处理工艺流程图</w:t>
                            </w:r>
                          </w:p>
                          <w:p>
                            <w:pPr>
                              <w:jc w:val="center"/>
                              <w:rPr>
                                <w:lang w:eastAsia="zh-CN"/>
                              </w:rPr>
                            </w:pPr>
                          </w:p>
                        </w:txbxContent>
                      </wps:txbx>
                      <wps:bodyPr upright="1"/>
                    </wps:wsp>
                  </a:graphicData>
                </a:graphic>
              </wp:anchor>
            </w:drawing>
          </mc:Choice>
          <mc:Fallback>
            <w:pict>
              <v:shape id="_x0000_s1026" o:spid="_x0000_s1026" o:spt="202" type="#_x0000_t202" style="position:absolute;left:0pt;margin-left:72.35pt;margin-top:0.1pt;height:27pt;width:304.5pt;z-index:251760640;mso-width-relative:page;mso-height-relative:page;" fillcolor="#FFFFFF" filled="t" stroked="f" coordsize="21600,21600" o:gfxdata="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IQA&#10;y9UAAAAHAQAADwAAAAAAAAABACAAAAAiAAAAZHJzL2Rvd25yZXYueG1sUEsBAhQAFAAAAAgAh07i&#10;QP9SE0azAQAASgMAAA4AAAAAAAAAAQAgAAAAJAEAAGRycy9lMm9Eb2MueG1sUEsFBgAAAAAGAAYA&#10;WQEAAEkFAAAAAA==&#10;">
                <v:fill on="t" opacity="0f" focussize="0,0"/>
                <v:stroke on="f"/>
                <v:imagedata o:title=""/>
                <o:lock v:ext="edit" aspectratio="f"/>
                <v:textbox>
                  <w:txbxContent>
                    <w:p>
                      <w:pPr>
                        <w:pStyle w:val="53"/>
                        <w:adjustRightInd w:val="0"/>
                        <w:spacing w:beforeLines="0" w:afterLines="0" w:line="240" w:lineRule="auto"/>
                        <w:ind w:left="482" w:hanging="482"/>
                        <w:rPr>
                          <w:rFonts w:eastAsia="宋体"/>
                          <w:sz w:val="24"/>
                        </w:rPr>
                      </w:pPr>
                      <w:r>
                        <w:rPr>
                          <w:rFonts w:hAnsi="宋体" w:eastAsia="宋体"/>
                          <w:sz w:val="24"/>
                        </w:rPr>
                        <w:t>图</w:t>
                      </w:r>
                      <w:r>
                        <w:rPr>
                          <w:rFonts w:hint="eastAsia" w:eastAsia="宋体"/>
                          <w:sz w:val="24"/>
                          <w:lang w:val="en-US" w:eastAsia="zh-CN"/>
                        </w:rPr>
                        <w:t>6.3.2-1</w:t>
                      </w:r>
                      <w:r>
                        <w:rPr>
                          <w:rFonts w:hint="eastAsia" w:eastAsia="宋体"/>
                          <w:sz w:val="24"/>
                        </w:rPr>
                        <w:t xml:space="preserve"> 青湖镇联村污水处理厂</w:t>
                      </w:r>
                      <w:r>
                        <w:rPr>
                          <w:rFonts w:hint="eastAsia" w:hAnsi="宋体" w:eastAsia="宋体"/>
                          <w:sz w:val="24"/>
                        </w:rPr>
                        <w:t>污</w:t>
                      </w:r>
                      <w:r>
                        <w:rPr>
                          <w:rFonts w:hAnsi="宋体" w:eastAsia="宋体"/>
                          <w:sz w:val="24"/>
                        </w:rPr>
                        <w:t>水处理工艺流程图</w:t>
                      </w:r>
                    </w:p>
                    <w:p>
                      <w:pPr>
                        <w:jc w:val="center"/>
                        <w:rPr>
                          <w:lang w:eastAsia="zh-CN"/>
                        </w:rPr>
                      </w:pPr>
                    </w:p>
                  </w:txbxContent>
                </v:textbox>
              </v:shape>
            </w:pict>
          </mc:Fallback>
        </mc:AlternateContent>
      </w:r>
    </w:p>
    <w:p>
      <w:pPr>
        <w:snapToGrid w:val="0"/>
        <w:spacing w:line="360" w:lineRule="auto"/>
        <w:ind w:firstLine="560" w:firstLineChars="200"/>
        <w:rPr>
          <w:rFonts w:ascii="Times New Roman" w:hAnsi="Times New Roman"/>
          <w:lang w:eastAsia="zh-CN"/>
        </w:rPr>
      </w:pPr>
    </w:p>
    <w:p>
      <w:pPr>
        <w:spacing w:line="360" w:lineRule="auto"/>
        <w:ind w:firstLine="560" w:firstLineChars="200"/>
        <w:rPr>
          <w:lang w:eastAsia="zh-CN"/>
        </w:rPr>
      </w:pPr>
      <w:r>
        <w:rPr>
          <w:rFonts w:ascii="Times New Roman" w:hAnsi="Times New Roman"/>
          <w:lang w:eastAsia="zh-CN"/>
        </w:rPr>
        <w:t>接管水质分析：</w:t>
      </w:r>
      <w:r>
        <w:rPr>
          <w:lang w:eastAsia="zh-CN"/>
        </w:rPr>
        <w:t>由工程分析及上节的污水排放情况可以看出，本项目外排废水主要为生活污水、</w:t>
      </w:r>
      <w:r>
        <w:rPr>
          <w:rFonts w:hint="eastAsia"/>
          <w:lang w:eastAsia="zh-CN"/>
        </w:rPr>
        <w:t>食堂废水</w:t>
      </w:r>
      <w:r>
        <w:rPr>
          <w:lang w:eastAsia="zh-CN"/>
        </w:rPr>
        <w:t>，水质简单，污染物浓度低，能够满足污水处理厂的进水水质要求。</w:t>
      </w:r>
    </w:p>
    <w:p>
      <w:pPr>
        <w:bidi w:val="0"/>
        <w:rPr>
          <w:lang w:eastAsia="zh-CN"/>
        </w:rPr>
      </w:pPr>
      <w:r>
        <w:rPr>
          <w:rFonts w:hint="eastAsia"/>
          <w:lang w:eastAsia="zh-CN"/>
        </w:rPr>
        <w:t>纳管</w:t>
      </w:r>
      <w:r>
        <w:rPr>
          <w:lang w:eastAsia="zh-CN"/>
        </w:rPr>
        <w:t>分析，本项目位于</w:t>
      </w:r>
      <w:r>
        <w:rPr>
          <w:rFonts w:hint="eastAsia"/>
          <w:lang w:eastAsia="zh-CN"/>
        </w:rPr>
        <w:t>青湖镇工业集中区内</w:t>
      </w:r>
      <w:r>
        <w:rPr>
          <w:lang w:eastAsia="zh-CN"/>
        </w:rPr>
        <w:t>，属于污水处理厂的收水范围。</w:t>
      </w:r>
    </w:p>
    <w:p>
      <w:pPr>
        <w:bidi w:val="0"/>
        <w:rPr>
          <w:rFonts w:hint="eastAsia"/>
          <w:lang w:eastAsia="zh-CN"/>
        </w:rPr>
      </w:pPr>
      <w:r>
        <w:rPr>
          <w:rFonts w:hint="eastAsia"/>
          <w:lang w:eastAsia="zh-CN"/>
        </w:rPr>
        <w:t>水量分析：</w:t>
      </w:r>
      <w:r>
        <w:rPr>
          <w:lang w:eastAsia="zh-CN"/>
        </w:rPr>
        <w:t>排水量相对较小</w:t>
      </w:r>
      <w:r>
        <w:rPr>
          <w:rFonts w:hint="eastAsia"/>
          <w:lang w:eastAsia="zh-CN"/>
        </w:rPr>
        <w:t>，仅占污水站处理能力的</w:t>
      </w:r>
      <w:r>
        <w:rPr>
          <w:rFonts w:hint="eastAsia"/>
          <w:lang w:val="en-US" w:eastAsia="zh-CN"/>
        </w:rPr>
        <w:t>0.33%</w:t>
      </w:r>
      <w:r>
        <w:rPr>
          <w:rFonts w:hint="eastAsia"/>
          <w:lang w:eastAsia="zh-CN"/>
        </w:rPr>
        <w:t>。</w:t>
      </w:r>
    </w:p>
    <w:p>
      <w:pPr>
        <w:bidi w:val="0"/>
        <w:rPr>
          <w:lang w:eastAsia="zh-CN"/>
        </w:rPr>
      </w:pPr>
      <w:r>
        <w:rPr>
          <w:rFonts w:hint="eastAsia"/>
          <w:lang w:eastAsia="zh-CN"/>
        </w:rPr>
        <w:t>达标排放分析：</w:t>
      </w:r>
      <w:r>
        <w:rPr>
          <w:lang w:eastAsia="zh-CN"/>
        </w:rPr>
        <w:t>排水水质能够满足相应标准要求，不会对</w:t>
      </w:r>
      <w:r>
        <w:rPr>
          <w:rFonts w:hint="eastAsia"/>
          <w:lang w:eastAsia="zh-CN"/>
        </w:rPr>
        <w:t>青湖镇联村污水处理厂</w:t>
      </w:r>
      <w:r>
        <w:rPr>
          <w:lang w:eastAsia="zh-CN"/>
        </w:rPr>
        <w:t>运行造成负荷冲击和不良影响。</w:t>
      </w:r>
    </w:p>
    <w:p>
      <w:pPr>
        <w:bidi w:val="0"/>
        <w:rPr>
          <w:rFonts w:hint="eastAsia"/>
          <w:lang w:eastAsia="zh-CN"/>
        </w:rPr>
      </w:pPr>
      <w:r>
        <w:rPr>
          <w:lang w:eastAsia="zh-CN"/>
        </w:rPr>
        <w:t>综上，拟建项目废水在污水厂纳污计划范围内，水质符合</w:t>
      </w:r>
      <w:r>
        <w:rPr>
          <w:rFonts w:hint="eastAsia"/>
          <w:lang w:eastAsia="zh-CN"/>
        </w:rPr>
        <w:t>青湖镇联村污水处理厂</w:t>
      </w:r>
      <w:r>
        <w:rPr>
          <w:lang w:eastAsia="zh-CN"/>
        </w:rPr>
        <w:t>的接管要求，通过污水管网进入污水厂后不会对厂内设备正常运行造成影响。因此，拟建项目废水接入</w:t>
      </w:r>
      <w:r>
        <w:rPr>
          <w:rFonts w:hint="eastAsia"/>
          <w:lang w:eastAsia="zh-CN"/>
        </w:rPr>
        <w:t>青湖镇联村污水处理厂</w:t>
      </w:r>
      <w:r>
        <w:rPr>
          <w:lang w:eastAsia="zh-CN"/>
        </w:rPr>
        <w:t>进行深度处理后达标外排是可行的。</w:t>
      </w:r>
    </w:p>
    <w:p>
      <w:pPr>
        <w:pStyle w:val="4"/>
        <w:bidi w:val="0"/>
        <w:rPr>
          <w:rFonts w:hint="default"/>
          <w:lang w:val="en-US" w:eastAsia="zh-CN"/>
        </w:rPr>
      </w:pPr>
      <w:bookmarkStart w:id="127" w:name="_Toc27847"/>
      <w:r>
        <w:rPr>
          <w:rFonts w:hint="eastAsia"/>
          <w:lang w:val="en-US" w:eastAsia="zh-CN"/>
        </w:rPr>
        <w:t>6.3噪声环境保护措施及其可行性论证</w:t>
      </w:r>
      <w:bookmarkEnd w:id="127"/>
    </w:p>
    <w:p>
      <w:pPr>
        <w:pStyle w:val="5"/>
        <w:bidi w:val="0"/>
      </w:pPr>
      <w:bookmarkStart w:id="128" w:name="_Toc527394270"/>
      <w:bookmarkStart w:id="129" w:name="_Toc26450_WPSOffice_Level2"/>
      <w:bookmarkStart w:id="130" w:name="_Toc527487004"/>
      <w:r>
        <w:rPr>
          <w:rFonts w:hint="eastAsia"/>
          <w:lang w:val="en-US" w:eastAsia="zh-CN"/>
        </w:rPr>
        <w:t>6.3.1</w:t>
      </w:r>
      <w:r>
        <w:t xml:space="preserve"> 从噪声源上采取的治理措施</w:t>
      </w:r>
      <w:bookmarkEnd w:id="128"/>
      <w:bookmarkEnd w:id="129"/>
      <w:bookmarkEnd w:id="130"/>
      <w:r>
        <w:t xml:space="preserve"> </w:t>
      </w:r>
    </w:p>
    <w:p>
      <w:pPr>
        <w:bidi w:val="0"/>
        <w:rPr>
          <w:rFonts w:hint="default" w:eastAsia="宋体"/>
          <w:lang w:val="en-US" w:eastAsia="zh-CN"/>
        </w:rPr>
      </w:pPr>
      <w:r>
        <w:t>项目主要噪声设备为破碎机、</w:t>
      </w:r>
      <w:r>
        <w:rPr>
          <w:rFonts w:hint="eastAsia"/>
          <w:lang w:eastAsia="zh-CN"/>
        </w:rPr>
        <w:t>筛分机</w:t>
      </w:r>
      <w:r>
        <w:t>、风机、泵类、冷却塔</w:t>
      </w:r>
      <w:r>
        <w:rPr>
          <w:rFonts w:hint="eastAsia"/>
          <w:lang w:eastAsia="zh-CN"/>
        </w:rPr>
        <w:t>、埋弧电煅炉</w:t>
      </w:r>
      <w:r>
        <w:t>等，在设计和设备采购阶段，应优先选用低噪声设备，从而从声源上降低设备本身的噪声。除此之外，应采取声学控制措施，对噪声源进行治理，根据各噪声源的特征，采取的具体治理措施见表</w:t>
      </w:r>
      <w:r>
        <w:rPr>
          <w:rFonts w:hint="eastAsia"/>
          <w:lang w:val="en-US" w:eastAsia="zh-CN"/>
        </w:rPr>
        <w:t>6.3.1-1。</w:t>
      </w:r>
    </w:p>
    <w:p>
      <w:pPr>
        <w:pStyle w:val="27"/>
        <w:bidi w:val="0"/>
      </w:pPr>
      <w:r>
        <w:t>表</w:t>
      </w:r>
      <w:r>
        <w:rPr>
          <w:rFonts w:hint="eastAsia"/>
          <w:lang w:val="en-US" w:eastAsia="zh-CN"/>
        </w:rPr>
        <w:t>6.3.1-1</w:t>
      </w:r>
      <w:r>
        <w:t>各噪声源的具体治理措施</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43"/>
        <w:gridCol w:w="2355"/>
        <w:gridCol w:w="6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设备名称</w:t>
            </w:r>
          </w:p>
        </w:tc>
        <w:tc>
          <w:tcPr>
            <w:tcW w:w="1201" w:type="pct"/>
            <w:noWrap w:val="0"/>
            <w:vAlign w:val="center"/>
          </w:tcPr>
          <w:p>
            <w:pPr>
              <w:pStyle w:val="28"/>
              <w:suppressLineNumbers w:val="0"/>
              <w:bidi w:val="0"/>
              <w:spacing w:before="0" w:after="0"/>
              <w:ind w:left="0" w:right="0"/>
            </w:pPr>
            <w:r>
              <w:t>设计降噪量dB(A)</w:t>
            </w:r>
          </w:p>
        </w:tc>
        <w:tc>
          <w:tcPr>
            <w:tcW w:w="3163" w:type="pct"/>
            <w:noWrap w:val="0"/>
            <w:vAlign w:val="center"/>
          </w:tcPr>
          <w:p>
            <w:pPr>
              <w:pStyle w:val="28"/>
              <w:suppressLineNumbers w:val="0"/>
              <w:bidi w:val="0"/>
              <w:spacing w:before="0" w:after="0"/>
              <w:ind w:left="0" w:right="0"/>
            </w:pPr>
            <w: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风机</w:t>
            </w:r>
          </w:p>
        </w:tc>
        <w:tc>
          <w:tcPr>
            <w:tcW w:w="1201" w:type="pct"/>
            <w:noWrap w:val="0"/>
            <w:vAlign w:val="center"/>
          </w:tcPr>
          <w:p>
            <w:pPr>
              <w:pStyle w:val="28"/>
              <w:suppressLineNumbers w:val="0"/>
              <w:bidi w:val="0"/>
              <w:spacing w:before="0" w:after="0"/>
              <w:ind w:left="0" w:right="0"/>
            </w:pPr>
            <w:r>
              <w:t>25</w:t>
            </w:r>
          </w:p>
        </w:tc>
        <w:tc>
          <w:tcPr>
            <w:tcW w:w="3163" w:type="pct"/>
            <w:noWrap w:val="0"/>
            <w:vAlign w:val="center"/>
          </w:tcPr>
          <w:p>
            <w:pPr>
              <w:pStyle w:val="28"/>
              <w:suppressLineNumbers w:val="0"/>
              <w:bidi w:val="0"/>
              <w:spacing w:before="0" w:after="0"/>
              <w:ind w:left="0" w:right="0"/>
            </w:pPr>
            <w:r>
              <w:t>通风进出口设置进出风消音器，安装减振装置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破碎机</w:t>
            </w:r>
          </w:p>
        </w:tc>
        <w:tc>
          <w:tcPr>
            <w:tcW w:w="1201" w:type="pct"/>
            <w:noWrap w:val="0"/>
            <w:vAlign w:val="center"/>
          </w:tcPr>
          <w:p>
            <w:pPr>
              <w:pStyle w:val="28"/>
              <w:suppressLineNumbers w:val="0"/>
              <w:bidi w:val="0"/>
              <w:spacing w:before="0" w:after="0"/>
              <w:ind w:left="0" w:right="0"/>
            </w:pPr>
            <w:r>
              <w:t>20</w:t>
            </w:r>
          </w:p>
        </w:tc>
        <w:tc>
          <w:tcPr>
            <w:tcW w:w="3163" w:type="pct"/>
            <w:noWrap w:val="0"/>
            <w:vAlign w:val="center"/>
          </w:tcPr>
          <w:p>
            <w:pPr>
              <w:pStyle w:val="28"/>
              <w:suppressLineNumbers w:val="0"/>
              <w:bidi w:val="0"/>
              <w:spacing w:before="0" w:after="0"/>
              <w:ind w:left="0" w:right="0"/>
            </w:pPr>
            <w:r>
              <w:t>安装减振装置，厂房隔声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振动筛</w:t>
            </w:r>
          </w:p>
        </w:tc>
        <w:tc>
          <w:tcPr>
            <w:tcW w:w="1201" w:type="pct"/>
            <w:noWrap w:val="0"/>
            <w:vAlign w:val="center"/>
          </w:tcPr>
          <w:p>
            <w:pPr>
              <w:pStyle w:val="28"/>
              <w:suppressLineNumbers w:val="0"/>
              <w:bidi w:val="0"/>
              <w:spacing w:before="0" w:after="0"/>
              <w:ind w:left="0" w:right="0"/>
            </w:pPr>
            <w:r>
              <w:t>20</w:t>
            </w:r>
          </w:p>
        </w:tc>
        <w:tc>
          <w:tcPr>
            <w:tcW w:w="3163" w:type="pct"/>
            <w:noWrap w:val="0"/>
            <w:vAlign w:val="top"/>
          </w:tcPr>
          <w:p>
            <w:pPr>
              <w:pStyle w:val="28"/>
              <w:suppressLineNumbers w:val="0"/>
              <w:bidi w:val="0"/>
              <w:spacing w:before="0" w:after="0"/>
              <w:ind w:left="0" w:right="0"/>
            </w:pPr>
            <w:r>
              <w:t>安装减振装置，厂房隔声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冷却塔</w:t>
            </w:r>
          </w:p>
        </w:tc>
        <w:tc>
          <w:tcPr>
            <w:tcW w:w="1201" w:type="pct"/>
            <w:noWrap w:val="0"/>
            <w:vAlign w:val="center"/>
          </w:tcPr>
          <w:p>
            <w:pPr>
              <w:pStyle w:val="28"/>
              <w:suppressLineNumbers w:val="0"/>
              <w:bidi w:val="0"/>
              <w:spacing w:before="0" w:after="0"/>
              <w:ind w:left="0" w:right="0"/>
            </w:pPr>
            <w:r>
              <w:t>20</w:t>
            </w:r>
          </w:p>
        </w:tc>
        <w:tc>
          <w:tcPr>
            <w:tcW w:w="3163" w:type="pct"/>
            <w:noWrap w:val="0"/>
            <w:vAlign w:val="top"/>
          </w:tcPr>
          <w:p>
            <w:pPr>
              <w:pStyle w:val="28"/>
              <w:suppressLineNumbers w:val="0"/>
              <w:bidi w:val="0"/>
              <w:spacing w:before="0" w:after="0"/>
              <w:ind w:left="0" w:right="0"/>
            </w:pPr>
            <w:r>
              <w:t>受水盘铺设消声垫，安装减振装置，设隔声围封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t>泵类</w:t>
            </w:r>
          </w:p>
        </w:tc>
        <w:tc>
          <w:tcPr>
            <w:tcW w:w="1201" w:type="pct"/>
            <w:noWrap w:val="0"/>
            <w:vAlign w:val="center"/>
          </w:tcPr>
          <w:p>
            <w:pPr>
              <w:pStyle w:val="28"/>
              <w:suppressLineNumbers w:val="0"/>
              <w:bidi w:val="0"/>
              <w:spacing w:before="0" w:after="0"/>
              <w:ind w:left="0" w:right="0"/>
            </w:pPr>
            <w:r>
              <w:t>20</w:t>
            </w:r>
          </w:p>
        </w:tc>
        <w:tc>
          <w:tcPr>
            <w:tcW w:w="3163" w:type="pct"/>
            <w:noWrap w:val="0"/>
            <w:vAlign w:val="top"/>
          </w:tcPr>
          <w:p>
            <w:pPr>
              <w:pStyle w:val="28"/>
              <w:suppressLineNumbers w:val="0"/>
              <w:bidi w:val="0"/>
              <w:spacing w:before="0" w:after="0"/>
              <w:ind w:left="0" w:right="0"/>
            </w:pPr>
            <w:r>
              <w:t>安装减振装置，厂房隔声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34" w:type="pct"/>
            <w:noWrap w:val="0"/>
            <w:vAlign w:val="center"/>
          </w:tcPr>
          <w:p>
            <w:pPr>
              <w:pStyle w:val="28"/>
              <w:suppressLineNumbers w:val="0"/>
              <w:bidi w:val="0"/>
              <w:spacing w:before="0" w:after="0"/>
              <w:ind w:left="0" w:right="0"/>
            </w:pPr>
            <w:r>
              <w:rPr>
                <w:rFonts w:hint="eastAsia"/>
                <w:lang w:eastAsia="zh-CN"/>
              </w:rPr>
              <w:t>埋弧电煅炉</w:t>
            </w:r>
          </w:p>
        </w:tc>
        <w:tc>
          <w:tcPr>
            <w:tcW w:w="1201"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25</w:t>
            </w:r>
          </w:p>
        </w:tc>
        <w:tc>
          <w:tcPr>
            <w:tcW w:w="3163" w:type="pct"/>
            <w:noWrap w:val="0"/>
            <w:vAlign w:val="top"/>
          </w:tcPr>
          <w:p>
            <w:pPr>
              <w:pStyle w:val="28"/>
              <w:suppressLineNumbers w:val="0"/>
              <w:bidi w:val="0"/>
              <w:spacing w:before="0" w:after="0"/>
              <w:ind w:left="0" w:right="0"/>
            </w:pPr>
            <w:r>
              <w:t>安装减振装置，厂房隔声</w:t>
            </w:r>
          </w:p>
        </w:tc>
      </w:tr>
    </w:tbl>
    <w:p>
      <w:pPr>
        <w:bidi w:val="0"/>
      </w:pPr>
      <w:r>
        <w:t>(1)风机</w:t>
      </w:r>
    </w:p>
    <w:p>
      <w:pPr>
        <w:bidi w:val="0"/>
      </w:pPr>
      <w:r>
        <w:t>在风机管道入口安装排气消音器，对出入口管道安装隔音设施，严格按照要求进行安装，安装前检查基础及地脚螺栓，必要时采取安装橡胶塑料垫等减振、隔振措施，消除机器与基础之间的刚性连接，减少震动，加装隔声罩，将风机置于独立的风机隔声间内。通过以上措施，达到25dB(A)隔声量是可行的。</w:t>
      </w:r>
    </w:p>
    <w:p>
      <w:pPr>
        <w:bidi w:val="0"/>
      </w:pPr>
      <w:r>
        <w:t>(2)破碎机、振动筛</w:t>
      </w:r>
    </w:p>
    <w:p>
      <w:pPr>
        <w:bidi w:val="0"/>
      </w:pPr>
      <w:r>
        <w:t xml:space="preserve">选用低噪声设备，提高机械加工及装配精度，解决好破碎机配件之间的间隙问题，合适的间隙既可减少机器的发热也在一定程度上大大降低噪声。采用泡沫塑料垫等减振、隔振措施，机器定期添加润滑剂，保护机械，减少自身噪声。投料口扩大，入口进行遮盖，另外可采用内涂吸声材料、外覆吸声材料方式处理以及厂房个隔声，降噪量可达20dB(A)。 </w:t>
      </w:r>
    </w:p>
    <w:p>
      <w:pPr>
        <w:bidi w:val="0"/>
      </w:pPr>
      <w:r>
        <w:t>(3)冷却塔</w:t>
      </w:r>
    </w:p>
    <w:p>
      <w:pPr>
        <w:bidi w:val="0"/>
      </w:pPr>
      <w:r>
        <w:t>冷却塔设置于水池上方，通过选用振动、噪声符合国家标准的水泵设备与冷却塔，在出风口设置阻性消声器，在冷却塔底部设置吸声隔声组合式屏障，吸收低频噪声；在冷却塔中部设置阻尼隔声板和宽频带组合式吸声材料，提高中低频吸声效果；控制冷却塔的淋水噪声，采用超细玻璃棉材料吸收高频噪声，一般可降低噪声20dB(A)。</w:t>
      </w:r>
    </w:p>
    <w:p>
      <w:pPr>
        <w:bidi w:val="0"/>
      </w:pPr>
      <w:r>
        <w:t>(4)泵类</w:t>
      </w:r>
    </w:p>
    <w:p>
      <w:pPr>
        <w:bidi w:val="0"/>
      </w:pPr>
      <w:r>
        <w:t>采用泡沫塑料垫等减振、隔振措施，内涂吸声材料、外覆吸声材料方式处理以及厂房隔声，降噪量可达20dB(A)。</w:t>
      </w:r>
    </w:p>
    <w:p>
      <w:pPr>
        <w:numPr>
          <w:ilvl w:val="0"/>
          <w:numId w:val="0"/>
        </w:numPr>
        <w:bidi w:val="0"/>
        <w:ind w:leftChars="200"/>
        <w:rPr>
          <w:rFonts w:hint="eastAsia"/>
          <w:lang w:eastAsia="zh-CN"/>
        </w:rPr>
      </w:pPr>
      <w:r>
        <w:t>(</w:t>
      </w:r>
      <w:r>
        <w:rPr>
          <w:rFonts w:hint="eastAsia"/>
          <w:lang w:val="en-US" w:eastAsia="zh-CN"/>
        </w:rPr>
        <w:t>5</w:t>
      </w:r>
      <w:r>
        <w:t>)</w:t>
      </w:r>
      <w:r>
        <w:rPr>
          <w:rFonts w:hint="eastAsia"/>
          <w:lang w:eastAsia="zh-CN"/>
        </w:rPr>
        <w:t>埋弧电煅炉</w:t>
      </w:r>
    </w:p>
    <w:p>
      <w:pPr>
        <w:bidi w:val="0"/>
      </w:pPr>
      <w:r>
        <w:t>严格按照要求进行安装，安装前检查基础及地脚螺栓，必要时采取安装橡胶塑料垫等减振、隔振措施，以及厂房隔声，降噪量可达2</w:t>
      </w:r>
      <w:r>
        <w:rPr>
          <w:rFonts w:hint="eastAsia"/>
          <w:lang w:val="en-US" w:eastAsia="zh-CN"/>
        </w:rPr>
        <w:t>5</w:t>
      </w:r>
      <w:r>
        <w:t>dB(A)。</w:t>
      </w:r>
    </w:p>
    <w:p>
      <w:pPr>
        <w:pStyle w:val="5"/>
        <w:bidi w:val="0"/>
      </w:pPr>
      <w:bookmarkStart w:id="131" w:name="_Toc527394271"/>
      <w:bookmarkStart w:id="132" w:name="_Toc527487005"/>
      <w:bookmarkStart w:id="133" w:name="_Toc16039_WPSOffice_Level2"/>
      <w:r>
        <w:rPr>
          <w:rFonts w:hint="eastAsia"/>
          <w:lang w:val="en-US" w:eastAsia="zh-CN"/>
        </w:rPr>
        <w:t>6.3.2</w:t>
      </w:r>
      <w:r>
        <w:t>从噪声传播途径上采取的治理措施</w:t>
      </w:r>
      <w:bookmarkEnd w:id="131"/>
      <w:bookmarkEnd w:id="132"/>
      <w:bookmarkEnd w:id="133"/>
    </w:p>
    <w:p>
      <w:pPr>
        <w:bidi w:val="0"/>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t>采用“闹静分开”和合理布局的设施原则，尽量将高噪声源远离噪声敏感区域或厂界。</w:t>
      </w:r>
    </w:p>
    <w:p>
      <w:pPr>
        <w:bidi w:val="0"/>
      </w:pPr>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t xml:space="preserve"> 在主要噪声源设备及厂房周围，宜布置对噪声较不敏感的、有利于隔声的建筑物、构筑物，如辅助车间、仓库等。</w:t>
      </w:r>
    </w:p>
    <w:p>
      <w:pPr>
        <w:bidi w:val="0"/>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t>在满足工艺流程要求的前提下，高噪声设备宜相对集中，并尽量布置在厂房内。</w:t>
      </w:r>
    </w:p>
    <w:p>
      <w:pPr>
        <w:bidi w:val="0"/>
      </w:pPr>
      <w:r>
        <w:rPr>
          <w:rFonts w:hint="eastAsia"/>
        </w:rPr>
        <w:fldChar w:fldCharType="begin"/>
      </w:r>
      <w:r>
        <w:rPr>
          <w:rFonts w:hint="eastAsia"/>
        </w:rPr>
        <w:instrText xml:space="preserve"> = 4 \* GB2 \* MERGEFORMAT </w:instrText>
      </w:r>
      <w:r>
        <w:rPr>
          <w:rFonts w:hint="eastAsia"/>
        </w:rPr>
        <w:fldChar w:fldCharType="separate"/>
      </w:r>
      <w:r>
        <w:t>⑷</w:t>
      </w:r>
      <w:r>
        <w:rPr>
          <w:rFonts w:hint="eastAsia"/>
        </w:rPr>
        <w:fldChar w:fldCharType="end"/>
      </w:r>
      <w:r>
        <w:t>充分利用地形、地物隔挡噪声，主要噪声源低位布置。</w:t>
      </w:r>
    </w:p>
    <w:p>
      <w:pPr>
        <w:bidi w:val="0"/>
      </w:pPr>
      <w:r>
        <w:rPr>
          <w:rFonts w:hint="eastAsia"/>
        </w:rPr>
        <w:fldChar w:fldCharType="begin"/>
      </w:r>
      <w:r>
        <w:rPr>
          <w:rFonts w:hint="eastAsia"/>
        </w:rPr>
        <w:instrText xml:space="preserve"> = 5 \* GB2 \* MERGEFORMAT </w:instrText>
      </w:r>
      <w:r>
        <w:rPr>
          <w:rFonts w:hint="eastAsia"/>
        </w:rPr>
        <w:fldChar w:fldCharType="separate"/>
      </w:r>
      <w:r>
        <w:t>⑸</w:t>
      </w:r>
      <w:r>
        <w:rPr>
          <w:rFonts w:hint="eastAsia"/>
        </w:rPr>
        <w:fldChar w:fldCharType="end"/>
      </w:r>
      <w:r>
        <w:t>有强烈振动的设备，不布置在楼板或平台上。</w:t>
      </w:r>
    </w:p>
    <w:p>
      <w:pPr>
        <w:bidi w:val="0"/>
      </w:pPr>
      <w:r>
        <w:fldChar w:fldCharType="begin"/>
      </w:r>
      <w:r>
        <w:instrText xml:space="preserve"> = 6 \* GB2 \* MERGEFORMAT </w:instrText>
      </w:r>
      <w:r>
        <w:fldChar w:fldCharType="separate"/>
      </w:r>
      <w:r>
        <w:t>⑹</w:t>
      </w:r>
      <w:r>
        <w:fldChar w:fldCharType="end"/>
      </w:r>
      <w:r>
        <w:t>设备布置时，充分考虑与其配用的噪声控制专用设备的安装和维修空间。</w:t>
      </w:r>
    </w:p>
    <w:p>
      <w:pPr>
        <w:pStyle w:val="5"/>
        <w:bidi w:val="0"/>
      </w:pPr>
      <w:bookmarkStart w:id="134" w:name="_Toc2549_WPSOffice_Level2"/>
      <w:bookmarkStart w:id="135" w:name="_Toc527394272"/>
      <w:bookmarkStart w:id="136" w:name="_Toc527487006"/>
      <w:r>
        <w:rPr>
          <w:rFonts w:hint="eastAsia"/>
          <w:lang w:val="en-US" w:eastAsia="zh-CN"/>
        </w:rPr>
        <w:t>6.3.3</w:t>
      </w:r>
      <w:r>
        <w:t xml:space="preserve"> 其它治理措施</w:t>
      </w:r>
      <w:bookmarkEnd w:id="134"/>
      <w:bookmarkEnd w:id="135"/>
      <w:bookmarkEnd w:id="136"/>
    </w:p>
    <w:p>
      <w:pPr>
        <w:bidi w:val="0"/>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t xml:space="preserve"> 在管理人员集中的控制室，其门窗等应进行隔声处理，使环境达到相应的噪声标准；在高噪音场所，值班人员或检修人员应加强个体防护，配戴防噪耳塞、耳罩等。</w:t>
      </w:r>
    </w:p>
    <w:p>
      <w:pPr>
        <w:bidi w:val="0"/>
      </w:pPr>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t>厂区加强绿化。</w:t>
      </w:r>
    </w:p>
    <w:p>
      <w:pPr>
        <w:bidi w:val="0"/>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t>加强设备维护，确保设备处于良好的运转状态，杜绝因设备不正常运转时产生的高噪声现象。</w:t>
      </w:r>
    </w:p>
    <w:p>
      <w:pPr>
        <w:bidi w:val="0"/>
      </w:pPr>
      <w:r>
        <w:t>经采取上述措施，加上距离衰减，可使项目厂界噪声达到《工业企业厂界环境噪声排放标准》（GB12348-2008）中的3类标准，满足环境保护的要求。</w:t>
      </w:r>
    </w:p>
    <w:p>
      <w:pPr>
        <w:pStyle w:val="4"/>
        <w:bidi w:val="0"/>
      </w:pPr>
      <w:bookmarkStart w:id="137" w:name="_Toc502301788"/>
      <w:bookmarkStart w:id="138" w:name="_Toc320129451"/>
      <w:bookmarkStart w:id="139" w:name="_Toc527487008"/>
      <w:bookmarkStart w:id="140" w:name="_Toc6073_WPSOffice_Level1"/>
      <w:bookmarkStart w:id="141" w:name="_Toc527394274"/>
      <w:bookmarkStart w:id="142" w:name="_Toc8253"/>
      <w:r>
        <w:rPr>
          <w:rFonts w:hint="eastAsia"/>
          <w:lang w:val="en-US" w:eastAsia="zh-CN"/>
        </w:rPr>
        <w:t>6.4</w:t>
      </w:r>
      <w:r>
        <w:t>地下水和土壤污染防治措施</w:t>
      </w:r>
      <w:bookmarkEnd w:id="137"/>
      <w:bookmarkEnd w:id="138"/>
      <w:bookmarkEnd w:id="139"/>
      <w:bookmarkEnd w:id="140"/>
      <w:bookmarkEnd w:id="141"/>
      <w:bookmarkEnd w:id="142"/>
    </w:p>
    <w:p>
      <w:pPr>
        <w:bidi w:val="0"/>
      </w:pPr>
      <w:r>
        <w:t>本项目采取的地下水及土壤污染防治措施主要包括：</w:t>
      </w:r>
    </w:p>
    <w:p>
      <w:pPr>
        <w:bidi w:val="0"/>
      </w:pPr>
      <w:bookmarkStart w:id="143" w:name="_Toc20899_WPSOffice_Level2"/>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t>从源头控制</w:t>
      </w:r>
      <w:bookmarkEnd w:id="143"/>
    </w:p>
    <w:p>
      <w:pPr>
        <w:bidi w:val="0"/>
      </w:pPr>
      <w:r>
        <w:t>项目以清洁生产和循环利用为宗旨，减少污染物的产、排量；在运行过程中，对各设备、管道、贮运装置及处理构筑物均采取适当有效的防护措施，防止污染物跑、冒、滴、漏，将污染物泄漏的环境风险降到最低。</w:t>
      </w:r>
    </w:p>
    <w:p>
      <w:pPr>
        <w:bidi w:val="0"/>
      </w:pPr>
      <w:bookmarkStart w:id="144" w:name="_Toc5302_WPSOffice_Level2"/>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t>分区防治措施</w:t>
      </w:r>
      <w:bookmarkEnd w:id="144"/>
    </w:p>
    <w:p>
      <w:pPr>
        <w:bidi w:val="0"/>
      </w:pPr>
      <w:r>
        <w:t>重点防渗区采取严格的防渗措施：脱硫装置区域</w:t>
      </w:r>
      <w:r>
        <w:rPr>
          <w:rFonts w:hint="eastAsia"/>
          <w:lang w:eastAsia="zh-CN"/>
        </w:rPr>
        <w:t>、危废暂存间</w:t>
      </w:r>
      <w:r>
        <w:t>为重点防渗区，应设置抗渗混凝土地坪。厂区其他地面为一般</w:t>
      </w:r>
      <w:r>
        <w:rPr>
          <w:rFonts w:hint="eastAsia"/>
          <w:lang w:eastAsia="zh-CN"/>
        </w:rPr>
        <w:t>地面</w:t>
      </w:r>
      <w:r>
        <w:t>硬化。</w:t>
      </w:r>
    </w:p>
    <w:p>
      <w:pPr>
        <w:bidi w:val="0"/>
      </w:pPr>
      <w:r>
        <w:t>项目各类固废在产生、收集和运输过程中应采取有效的措施防止固废散失，确保废物不泄漏或者渗透进入地下水。</w:t>
      </w:r>
    </w:p>
    <w:p>
      <w:pPr>
        <w:pStyle w:val="4"/>
        <w:bidi w:val="0"/>
        <w:rPr>
          <w:rFonts w:hint="default"/>
          <w:lang w:val="en-US" w:eastAsia="zh-CN"/>
        </w:rPr>
      </w:pPr>
      <w:bookmarkStart w:id="145" w:name="_Toc18350"/>
      <w:r>
        <w:rPr>
          <w:rFonts w:hint="eastAsia"/>
          <w:lang w:val="en-US" w:eastAsia="zh-CN"/>
        </w:rPr>
        <w:t>6.5 环境风险防范措施</w:t>
      </w:r>
      <w:bookmarkEnd w:id="145"/>
    </w:p>
    <w:p>
      <w:pPr>
        <w:pStyle w:val="5"/>
        <w:bidi w:val="0"/>
      </w:pPr>
      <w:bookmarkStart w:id="146" w:name="_Toc20951_WPSOffice_Level2"/>
      <w:bookmarkStart w:id="147" w:name="_Toc527394276"/>
      <w:bookmarkStart w:id="148" w:name="_Toc527487010"/>
      <w:r>
        <w:rPr>
          <w:rFonts w:hint="eastAsia"/>
          <w:lang w:val="en-US" w:eastAsia="zh-CN"/>
        </w:rPr>
        <w:t>6.5.1</w:t>
      </w:r>
      <w:r>
        <w:t>总平面布置要求</w:t>
      </w:r>
      <w:bookmarkEnd w:id="146"/>
      <w:bookmarkEnd w:id="147"/>
      <w:bookmarkEnd w:id="148"/>
    </w:p>
    <w:p>
      <w:pPr>
        <w:bidi w:val="0"/>
      </w:pPr>
      <w:r>
        <w:t>项目厂区总平布置根据生产特点和安全卫生要求，按照功能分区进行布置。主生产装置区分区布置，远离厂前区。分区内部和分区之间的间距按有关防火和消防要求确定，并按规定设计消防通道，工业区内设有消防站，满足全厂消防要求。主体生产装置根据生产工艺要求，不管采用敞开式或半敞开式建（构）筑物，还是采用封闭式建（构）筑物，都必须确保生产装置安全和作业场所有害物质的浓度符合安全卫生标准。</w:t>
      </w:r>
    </w:p>
    <w:p>
      <w:pPr>
        <w:pStyle w:val="5"/>
        <w:bidi w:val="0"/>
      </w:pPr>
      <w:bookmarkStart w:id="149" w:name="_Toc527394277"/>
      <w:bookmarkStart w:id="150" w:name="_Toc21676_WPSOffice_Level2"/>
      <w:bookmarkStart w:id="151" w:name="_Toc527487011"/>
      <w:r>
        <w:rPr>
          <w:rFonts w:hint="eastAsia"/>
          <w:lang w:val="en-US" w:eastAsia="zh-CN"/>
        </w:rPr>
        <w:t>6.5.2</w:t>
      </w:r>
      <w:r>
        <w:t>智能报警系统要求</w:t>
      </w:r>
      <w:bookmarkEnd w:id="149"/>
      <w:bookmarkEnd w:id="150"/>
      <w:bookmarkEnd w:id="151"/>
    </w:p>
    <w:p>
      <w:pPr>
        <w:bidi w:val="0"/>
      </w:pPr>
      <w:r>
        <w:t>根据工程实际情况，项目消防控制室拟设在办公区内，应采用耐火极限分别不低于2h的隔墙和1.5h的楼板，应设置直通室外的安全出口，需有人24小时值班。项目在办公区设置集中火灾自动报警联动控制器，监视原料</w:t>
      </w:r>
      <w:r>
        <w:rPr>
          <w:rFonts w:hint="eastAsia"/>
          <w:lang w:eastAsia="zh-CN"/>
        </w:rPr>
        <w:t>区域</w:t>
      </w:r>
      <w:r>
        <w:t>、</w:t>
      </w:r>
      <w:r>
        <w:rPr>
          <w:rFonts w:hint="eastAsia"/>
          <w:lang w:eastAsia="zh-CN"/>
        </w:rPr>
        <w:t>电煅炉装置区</w:t>
      </w:r>
      <w:r>
        <w:t>、包装车间等有关车间配电室、控制室、车间的火灾情况。在有关房间及走廊拟设光电感烟探测器、感温探测器；在车间适当位置设置手动报警按钮、火灾声光警报器、消防专用电话。根据给排水专业要求，在室内消火栓附近设置消火栓报警按钮。</w:t>
      </w:r>
    </w:p>
    <w:p>
      <w:pPr>
        <w:pStyle w:val="5"/>
        <w:bidi w:val="0"/>
      </w:pPr>
      <w:bookmarkStart w:id="152" w:name="_Toc527487012"/>
      <w:bookmarkStart w:id="153" w:name="_Toc3295_WPSOffice_Level2"/>
      <w:bookmarkStart w:id="154" w:name="_Toc527394278"/>
      <w:r>
        <w:rPr>
          <w:rFonts w:hint="eastAsia"/>
          <w:lang w:val="en-US" w:eastAsia="zh-CN"/>
        </w:rPr>
        <w:t>6.5.3</w:t>
      </w:r>
      <w:r>
        <w:t>电气、仪表要求</w:t>
      </w:r>
      <w:bookmarkEnd w:id="152"/>
      <w:bookmarkEnd w:id="153"/>
      <w:bookmarkEnd w:id="154"/>
    </w:p>
    <w:p>
      <w:pPr>
        <w:bidi w:val="0"/>
      </w:pPr>
      <w:r>
        <w:t>为保证电气设备安全可靠的运行及操作人员的人身安全，项目遵守国家有关规范，设有必要的防雷、防爆、防触电装置。各用电设备均设有短路和过载保护。</w:t>
      </w:r>
    </w:p>
    <w:p>
      <w:pPr>
        <w:bidi w:val="0"/>
      </w:pPr>
      <w:r>
        <w:t>根据生产的重要程度和危险性及预计雷击次数、雷击后果的严重性，划定建筑物的防雷类别，设计防雷装置。</w:t>
      </w:r>
    </w:p>
    <w:p>
      <w:pPr>
        <w:bidi w:val="0"/>
      </w:pPr>
      <w:r>
        <w:t>全部高压电器设备均采用保护性安全接地措施，建筑物进户线作重复接地。</w:t>
      </w:r>
    </w:p>
    <w:p>
      <w:pPr>
        <w:bidi w:val="0"/>
      </w:pPr>
      <w:r>
        <w:t>电气设备不带电的可导电金属外壳部分，与接地装置有可靠的电气连接。</w:t>
      </w:r>
    </w:p>
    <w:p>
      <w:pPr>
        <w:bidi w:val="0"/>
      </w:pPr>
      <w:r>
        <w:t>配电室高压开关柜等电气设备设有“五防”装置。固定式高压开关柜的母线分段处装设隔板。</w:t>
      </w:r>
    </w:p>
    <w:p>
      <w:pPr>
        <w:bidi w:val="0"/>
      </w:pPr>
      <w:r>
        <w:t>为防止小动物钻入变压器室造成短路，在进风口加金属网进行保护。</w:t>
      </w:r>
    </w:p>
    <w:p>
      <w:pPr>
        <w:pStyle w:val="5"/>
        <w:bidi w:val="0"/>
      </w:pPr>
      <w:bookmarkStart w:id="155" w:name="_Toc527394279"/>
      <w:bookmarkStart w:id="156" w:name="_Toc1697_WPSOffice_Level2"/>
      <w:bookmarkStart w:id="157" w:name="_Toc527487013"/>
      <w:r>
        <w:rPr>
          <w:rFonts w:hint="eastAsia"/>
          <w:lang w:val="en-US" w:eastAsia="zh-CN"/>
        </w:rPr>
        <w:t>6.5.4</w:t>
      </w:r>
      <w:r>
        <w:t>安全管理措施要求</w:t>
      </w:r>
      <w:bookmarkEnd w:id="155"/>
      <w:bookmarkEnd w:id="156"/>
      <w:bookmarkEnd w:id="157"/>
    </w:p>
    <w:p>
      <w:pPr>
        <w:bidi w:val="0"/>
      </w:pPr>
      <w:r>
        <w:t>严格执行安全生产岗位责任制、安全技术操作规程、安全生产教育制度、安全生产检查制度以及设备安全管理制度等各种规章制度。</w:t>
      </w:r>
    </w:p>
    <w:p>
      <w:pPr>
        <w:pStyle w:val="5"/>
        <w:bidi w:val="0"/>
      </w:pPr>
      <w:bookmarkStart w:id="158" w:name="_Toc527394280"/>
      <w:bookmarkStart w:id="159" w:name="_Toc527487014"/>
      <w:bookmarkStart w:id="160" w:name="_Toc24823_WPSOffice_Level2"/>
      <w:r>
        <w:rPr>
          <w:rFonts w:hint="eastAsia"/>
          <w:lang w:val="en-US" w:eastAsia="zh-CN"/>
        </w:rPr>
        <w:t>6.5.5</w:t>
      </w:r>
      <w:r>
        <w:t>火灾爆炸预防措施要求</w:t>
      </w:r>
      <w:bookmarkEnd w:id="158"/>
      <w:bookmarkEnd w:id="159"/>
      <w:bookmarkEnd w:id="160"/>
    </w:p>
    <w:p>
      <w:pPr>
        <w:bidi w:val="0"/>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t xml:space="preserve"> 控制与消除火源，应按照厂区防火相关规定进行。</w:t>
      </w:r>
    </w:p>
    <w:p>
      <w:pPr>
        <w:bidi w:val="0"/>
      </w:pPr>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t xml:space="preserve">  生产设备，通风管道，采取防静电措施；使用防爆电气设备；有泄爆，阻爆，隔爆装置。</w:t>
      </w:r>
    </w:p>
    <w:p>
      <w:pPr>
        <w:bidi w:val="0"/>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t xml:space="preserve"> 加强管理、严格工艺纪律。粉尘作业人员进行培训专项考核，能够识别并正确应对粉尘爆炸危险。</w:t>
      </w:r>
    </w:p>
    <w:p>
      <w:pPr>
        <w:bidi w:val="0"/>
      </w:pPr>
      <w:r>
        <w:rPr>
          <w:rFonts w:hint="eastAsia"/>
        </w:rPr>
        <w:fldChar w:fldCharType="begin"/>
      </w:r>
      <w:r>
        <w:rPr>
          <w:rFonts w:hint="eastAsia"/>
        </w:rPr>
        <w:instrText xml:space="preserve"> = 4 \* GB2 \* MERGEFORMAT </w:instrText>
      </w:r>
      <w:r>
        <w:rPr>
          <w:rFonts w:hint="eastAsia"/>
        </w:rPr>
        <w:fldChar w:fldCharType="separate"/>
      </w:r>
      <w:r>
        <w:t>⑷</w:t>
      </w:r>
      <w:r>
        <w:rPr>
          <w:rFonts w:hint="eastAsia"/>
        </w:rPr>
        <w:fldChar w:fldCharType="end"/>
      </w:r>
      <w:r>
        <w:t>完善安全措施，制定粉尘火灾防爆管理制度和动火作业管理制度。</w:t>
      </w:r>
    </w:p>
    <w:p>
      <w:pPr>
        <w:bidi w:val="0"/>
      </w:pPr>
      <w:r>
        <w:rPr>
          <w:rFonts w:hint="eastAsia"/>
        </w:rPr>
        <w:fldChar w:fldCharType="begin"/>
      </w:r>
      <w:r>
        <w:rPr>
          <w:rFonts w:hint="eastAsia"/>
        </w:rPr>
        <w:instrText xml:space="preserve"> = 5 \* GB2 \* MERGEFORMAT </w:instrText>
      </w:r>
      <w:r>
        <w:rPr>
          <w:rFonts w:hint="eastAsia"/>
        </w:rPr>
        <w:fldChar w:fldCharType="separate"/>
      </w:r>
      <w:r>
        <w:t>⑸</w:t>
      </w:r>
      <w:r>
        <w:rPr>
          <w:rFonts w:hint="eastAsia"/>
        </w:rPr>
        <w:fldChar w:fldCharType="end"/>
      </w:r>
      <w:r>
        <w:t xml:space="preserve"> 粉尘作业场所与其他建筑物保持安全距离。</w:t>
      </w:r>
    </w:p>
    <w:p>
      <w:pPr>
        <w:bidi w:val="0"/>
      </w:pPr>
      <w:r>
        <w:fldChar w:fldCharType="begin"/>
      </w:r>
      <w:r>
        <w:instrText xml:space="preserve"> = 6 \* GB2 \* MERGEFORMAT </w:instrText>
      </w:r>
      <w:r>
        <w:fldChar w:fldCharType="separate"/>
      </w:r>
      <w:r>
        <w:t>⑹</w:t>
      </w:r>
      <w:r>
        <w:fldChar w:fldCharType="end"/>
      </w:r>
      <w:r>
        <w:t>所有产尘点均应装设吸尘罩。所有可能积累粉尘的生产车间和库区的设备、地面定期清理，不应使用压缩空气进行吹扫。</w:t>
      </w:r>
    </w:p>
    <w:p>
      <w:pPr>
        <w:bidi w:val="0"/>
      </w:pPr>
      <w:r>
        <w:fldChar w:fldCharType="begin"/>
      </w:r>
      <w:r>
        <w:instrText xml:space="preserve"> = 7 \* GB2 \* MERGEFORMAT </w:instrText>
      </w:r>
      <w:r>
        <w:fldChar w:fldCharType="separate"/>
      </w:r>
      <w:r>
        <w:t>⑺</w:t>
      </w:r>
      <w:r>
        <w:fldChar w:fldCharType="end"/>
      </w:r>
      <w:r>
        <w:t>每月至少一次对通风系统进行除尘清理。</w:t>
      </w:r>
    </w:p>
    <w:p>
      <w:pPr>
        <w:bidi w:val="0"/>
      </w:pPr>
      <w:r>
        <w:fldChar w:fldCharType="begin"/>
      </w:r>
      <w:r>
        <w:instrText xml:space="preserve"> = 8 \* GB2 \* MERGEFORMAT </w:instrText>
      </w:r>
      <w:r>
        <w:fldChar w:fldCharType="separate"/>
      </w:r>
      <w:r>
        <w:t>⑻</w:t>
      </w:r>
      <w:r>
        <w:fldChar w:fldCharType="end"/>
      </w:r>
      <w:r>
        <w:t>每年至少组织一次应急救援演练。</w:t>
      </w:r>
    </w:p>
    <w:p>
      <w:pPr>
        <w:pStyle w:val="5"/>
        <w:bidi w:val="0"/>
      </w:pPr>
      <w:bookmarkStart w:id="161" w:name="_Toc527487015"/>
      <w:bookmarkStart w:id="162" w:name="_Toc527394281"/>
      <w:bookmarkStart w:id="163" w:name="_Toc12051_WPSOffice_Level2"/>
      <w:r>
        <w:rPr>
          <w:rFonts w:hint="eastAsia"/>
          <w:lang w:val="en-US" w:eastAsia="zh-CN"/>
        </w:rPr>
        <w:t>6.5</w:t>
      </w:r>
      <w:r>
        <w:t>.6 工艺安全措施</w:t>
      </w:r>
      <w:bookmarkEnd w:id="161"/>
      <w:bookmarkEnd w:id="162"/>
      <w:bookmarkEnd w:id="163"/>
    </w:p>
    <w:p>
      <w:pPr>
        <w:bidi w:val="0"/>
      </w:pPr>
      <w:r>
        <w:t>大型运转设备的传动部分均加安全罩，转动设备均设有安全网，传送带设皮带廊，操作平台设护栏。各车间内的沟、坑、井等，在设计上都考虑了盖板。所有贮槽顶部下料口、人孔设护栏、护盖板和必要的照明，以保证安全操作、防止人员跌落。对裸露的传动设备，如开启式的齿轮、皮带轮等均设有安全网。加料平台、检修平台和行人楼梯等均设有扶梯和防护栏杆。</w:t>
      </w:r>
    </w:p>
    <w:p>
      <w:pPr>
        <w:bidi w:val="0"/>
      </w:pPr>
      <w:r>
        <w:t>车间内部设备之间，设备与建筑物之间设置足够的安全通道和操作距离。</w:t>
      </w:r>
    </w:p>
    <w:p>
      <w:pPr>
        <w:pStyle w:val="5"/>
        <w:bidi w:val="0"/>
      </w:pPr>
      <w:bookmarkStart w:id="164" w:name="_Toc20893_WPSOffice_Level2"/>
      <w:bookmarkStart w:id="165" w:name="_Toc527487016"/>
      <w:bookmarkStart w:id="166" w:name="_Toc527394282"/>
      <w:r>
        <w:rPr>
          <w:rFonts w:hint="eastAsia"/>
          <w:lang w:val="en-US" w:eastAsia="zh-CN"/>
        </w:rPr>
        <w:t>6.5.7</w:t>
      </w:r>
      <w:r>
        <w:t xml:space="preserve"> 防止事故污染物向环境转移的防范措施</w:t>
      </w:r>
      <w:bookmarkEnd w:id="164"/>
      <w:bookmarkEnd w:id="165"/>
      <w:bookmarkEnd w:id="166"/>
    </w:p>
    <w:p>
      <w:pPr>
        <w:bidi w:val="0"/>
      </w:pPr>
      <w:r>
        <w:fldChar w:fldCharType="begin"/>
      </w:r>
      <w:r>
        <w:instrText xml:space="preserve"> = 1 \* GB2 </w:instrText>
      </w:r>
      <w:r>
        <w:fldChar w:fldCharType="separate"/>
      </w:r>
      <w:r>
        <w:rPr>
          <w:rFonts w:hint="eastAsia"/>
        </w:rPr>
        <w:t>⑴</w:t>
      </w:r>
      <w:r>
        <w:fldChar w:fldCharType="end"/>
      </w:r>
      <w:r>
        <w:t>防止气态污染物向环境转移的防范措施</w:t>
      </w:r>
    </w:p>
    <w:p>
      <w:pPr>
        <w:bidi w:val="0"/>
      </w:pPr>
      <w:r>
        <w:t>对于因泄漏事故已经进入空气的气态污染物，采取架设应急引风管线，用风机将泄漏处附近高浓度气态污染物送附近的废气处理系统处置。</w:t>
      </w:r>
    </w:p>
    <w:p>
      <w:pPr>
        <w:bidi w:val="0"/>
      </w:pPr>
      <w:r>
        <w:t>首先切断污染物料泄漏，通知下风向生产装置采取有效措施，防止事故进一步恶化；通知下风向人员，按污染情况及时疏散人口，防止人身事故发生。</w:t>
      </w:r>
    </w:p>
    <w:p>
      <w:pPr>
        <w:bidi w:val="0"/>
      </w:pPr>
      <w:r>
        <w:t>启动污染源监测设施，快速测定受污染范围，确定污染物质。</w:t>
      </w:r>
    </w:p>
    <w:p>
      <w:pPr>
        <w:bidi w:val="0"/>
      </w:pPr>
      <w:r>
        <w:fldChar w:fldCharType="begin"/>
      </w:r>
      <w:r>
        <w:instrText xml:space="preserve"> = 2 \* GB2 </w:instrText>
      </w:r>
      <w:r>
        <w:fldChar w:fldCharType="separate"/>
      </w:r>
      <w:r>
        <w:rPr>
          <w:rFonts w:hint="eastAsia"/>
        </w:rPr>
        <w:t>⑵</w:t>
      </w:r>
      <w:r>
        <w:fldChar w:fldCharType="end"/>
      </w:r>
      <w:r>
        <w:t>消防水排放防范应急措施</w:t>
      </w:r>
    </w:p>
    <w:p>
      <w:pPr>
        <w:bidi w:val="0"/>
      </w:pPr>
      <w:r>
        <w:rPr>
          <w:rFonts w:hint="eastAsia"/>
        </w:rPr>
        <w:t>本次重点考察</w:t>
      </w:r>
      <w:r>
        <w:rPr>
          <w:rFonts w:hint="eastAsia"/>
          <w:lang w:eastAsia="zh-CN"/>
        </w:rPr>
        <w:t>车间</w:t>
      </w:r>
      <w:r>
        <w:rPr>
          <w:rFonts w:hint="eastAsia"/>
        </w:rPr>
        <w:t>发生火灾时产生的消防废水，参考《建筑设计防火规范》（</w:t>
      </w:r>
      <w:r>
        <w:t>GB50016-2014</w:t>
      </w:r>
      <w:r>
        <w:rPr>
          <w:rFonts w:hint="eastAsia"/>
        </w:rPr>
        <w:t>）（</w:t>
      </w:r>
      <w:r>
        <w:t>2018</w:t>
      </w:r>
      <w:r>
        <w:rPr>
          <w:rFonts w:hint="eastAsia"/>
        </w:rPr>
        <w:t>年版）和《消防给水及消火栓系统技术规范》</w:t>
      </w:r>
      <w:r>
        <w:t>(GB50974-2014)</w:t>
      </w:r>
      <w:r>
        <w:rPr>
          <w:rFonts w:hint="eastAsia"/>
        </w:rPr>
        <w:t>。车间消防用水量为</w:t>
      </w:r>
      <w:r>
        <w:t>35L/s</w:t>
      </w:r>
      <w:r>
        <w:rPr>
          <w:rFonts w:hint="eastAsia"/>
        </w:rPr>
        <w:t>，火灾延续时间参照</w:t>
      </w:r>
      <w:r>
        <w:rPr>
          <w:rFonts w:hint="eastAsia"/>
          <w:lang w:eastAsia="zh-CN"/>
        </w:rPr>
        <w:t>丁</w:t>
      </w:r>
      <w:r>
        <w:rPr>
          <w:rFonts w:hint="eastAsia"/>
        </w:rPr>
        <w:t>类厂房，取</w:t>
      </w:r>
      <w:r>
        <w:rPr>
          <w:rFonts w:hint="eastAsia"/>
          <w:lang w:val="en-US" w:eastAsia="zh-CN"/>
        </w:rPr>
        <w:t>2</w:t>
      </w:r>
      <w:r>
        <w:t>h</w:t>
      </w:r>
      <w:r>
        <w:rPr>
          <w:rFonts w:hint="eastAsia"/>
        </w:rPr>
        <w:t>，计算得</w:t>
      </w:r>
      <w:r>
        <w:rPr>
          <w:rFonts w:hint="eastAsia"/>
          <w:lang w:val="en-US" w:eastAsia="zh-CN"/>
        </w:rPr>
        <w:t>252</w:t>
      </w:r>
      <w:r>
        <w:t>m</w:t>
      </w:r>
      <w:r>
        <w:rPr>
          <w:vertAlign w:val="superscript"/>
        </w:rPr>
        <w:t>3</w:t>
      </w:r>
      <w:r>
        <w:rPr>
          <w:rFonts w:hint="eastAsia"/>
          <w:lang w:eastAsia="zh-CN"/>
        </w:rPr>
        <w:t>，</w:t>
      </w:r>
      <w:r>
        <w:t>消防尾水产生系数取0.9，消防尾水产生量</w:t>
      </w:r>
      <w:r>
        <w:rPr>
          <w:rFonts w:hint="eastAsia"/>
          <w:lang w:val="en-US" w:eastAsia="zh-CN"/>
        </w:rPr>
        <w:t>226.8</w:t>
      </w:r>
      <w:r>
        <w:t>m</w:t>
      </w:r>
      <w:r>
        <w:rPr>
          <w:vertAlign w:val="superscript"/>
        </w:rPr>
        <w:t>3</w:t>
      </w:r>
      <w:r>
        <w:t>。</w:t>
      </w:r>
    </w:p>
    <w:p>
      <w:pPr>
        <w:bidi w:val="0"/>
      </w:pPr>
      <w:r>
        <w:t>因此项目设置的</w:t>
      </w:r>
      <w:r>
        <w:rPr>
          <w:rFonts w:hint="eastAsia"/>
          <w:lang w:val="en-US" w:eastAsia="zh-CN"/>
        </w:rPr>
        <w:t>242</w:t>
      </w:r>
      <w:r>
        <w:t>m</w:t>
      </w:r>
      <w:r>
        <w:rPr>
          <w:vertAlign w:val="superscript"/>
        </w:rPr>
        <w:t>3</w:t>
      </w:r>
      <w:r>
        <w:t>消防尾水池能够满足项目的使用要求。</w:t>
      </w:r>
    </w:p>
    <w:p>
      <w:pPr>
        <w:bidi w:val="0"/>
      </w:pPr>
      <w:r>
        <w:fldChar w:fldCharType="begin"/>
      </w:r>
      <w:r>
        <w:instrText xml:space="preserve"> = 1 \* GB3 </w:instrText>
      </w:r>
      <w:r>
        <w:fldChar w:fldCharType="separate"/>
      </w:r>
      <w:r>
        <w:rPr>
          <w:rFonts w:hint="eastAsia"/>
        </w:rPr>
        <w:t>①</w:t>
      </w:r>
      <w:r>
        <w:fldChar w:fldCharType="end"/>
      </w:r>
      <w:r>
        <w:t>厂区所有清下水管道的进口均设置封闭阀，能够及时阻断被污染的消防水或其它废水进入清下水道。</w:t>
      </w:r>
    </w:p>
    <w:p>
      <w:pPr>
        <w:bidi w:val="0"/>
      </w:pPr>
      <w:r>
        <w:rPr>
          <w:rFonts w:hint="eastAsia"/>
        </w:rPr>
        <w:t>②</w:t>
      </w:r>
      <w:r>
        <w:t>厂区实行严格的“清污分流”。</w:t>
      </w:r>
    </w:p>
    <w:p>
      <w:pPr>
        <w:bidi w:val="0"/>
        <w:rPr>
          <w:rFonts w:hint="eastAsia"/>
          <w:lang w:eastAsia="zh-CN"/>
        </w:rPr>
      </w:pPr>
      <w:r>
        <w:t>一旦事故发生后，立即切断雨水排口</w:t>
      </w:r>
      <w:r>
        <w:rPr>
          <w:rFonts w:hint="eastAsia"/>
          <w:lang w:eastAsia="zh-CN"/>
        </w:rPr>
        <w:t>阀门</w:t>
      </w:r>
      <w:r>
        <w:t>，打开</w:t>
      </w:r>
      <w:r>
        <w:rPr>
          <w:rFonts w:hint="eastAsia"/>
          <w:lang w:eastAsia="zh-CN"/>
        </w:rPr>
        <w:t>消防尾水收集池阀门</w:t>
      </w:r>
      <w:r>
        <w:t>，使厂区内所有事故废水，包括消防</w:t>
      </w:r>
      <w:r>
        <w:rPr>
          <w:rFonts w:hint="eastAsia"/>
          <w:lang w:eastAsia="zh-CN"/>
        </w:rPr>
        <w:t>尾水</w:t>
      </w:r>
      <w:r>
        <w:t>，全部汇入消防尾水池</w:t>
      </w:r>
      <w:r>
        <w:rPr>
          <w:rFonts w:hint="eastAsia"/>
          <w:lang w:eastAsia="zh-CN"/>
        </w:rPr>
        <w:t>。</w:t>
      </w:r>
    </w:p>
    <w:p>
      <w:pPr>
        <w:bidi w:val="0"/>
      </w:pPr>
      <w:r>
        <w:t>采取上述相应措施后，由于消防</w:t>
      </w:r>
      <w:r>
        <w:rPr>
          <w:rFonts w:hint="eastAsia"/>
          <w:lang w:eastAsia="zh-CN"/>
        </w:rPr>
        <w:t>尾水</w:t>
      </w:r>
      <w:r>
        <w:t>排放而发生的周围地表水污染事故的可能性极小，因此本报告中对项目消防</w:t>
      </w:r>
      <w:r>
        <w:rPr>
          <w:rFonts w:hint="eastAsia"/>
          <w:lang w:eastAsia="zh-CN"/>
        </w:rPr>
        <w:t>尾水</w:t>
      </w:r>
      <w:r>
        <w:t>排放对周围水环境的污染后果不作预测分析。</w:t>
      </w:r>
    </w:p>
    <w:p>
      <w:pPr>
        <w:pStyle w:val="4"/>
        <w:bidi w:val="0"/>
      </w:pPr>
      <w:bookmarkStart w:id="167" w:name="_Toc527394268"/>
      <w:bookmarkStart w:id="168" w:name="_Toc527487002"/>
      <w:bookmarkStart w:id="169" w:name="_Toc16845"/>
      <w:bookmarkStart w:id="170" w:name="_Toc24178_WPSOffice_Level1"/>
      <w:r>
        <w:rPr>
          <w:rFonts w:hint="eastAsia"/>
          <w:lang w:val="en-US" w:eastAsia="zh-CN"/>
        </w:rPr>
        <w:t>6.6</w:t>
      </w:r>
      <w:r>
        <w:t>固废（液）污染防治措施及经济技术论证</w:t>
      </w:r>
      <w:bookmarkEnd w:id="167"/>
      <w:bookmarkEnd w:id="168"/>
      <w:bookmarkEnd w:id="169"/>
      <w:bookmarkEnd w:id="170"/>
    </w:p>
    <w:p>
      <w:pPr>
        <w:pStyle w:val="5"/>
        <w:bidi w:val="0"/>
      </w:pPr>
      <w:bookmarkStart w:id="171" w:name="_Toc3392_WPSOffice_Level2"/>
      <w:r>
        <w:rPr>
          <w:rFonts w:hint="eastAsia"/>
          <w:lang w:val="en-US" w:eastAsia="zh-CN"/>
        </w:rPr>
        <w:t>6.6.1</w:t>
      </w:r>
      <w:r>
        <w:t xml:space="preserve"> 固废产生及处置情况</w:t>
      </w:r>
      <w:bookmarkEnd w:id="171"/>
    </w:p>
    <w:p>
      <w:pPr>
        <w:bidi w:val="0"/>
      </w:pPr>
      <w:r>
        <w:t>本项目营运期产生的固体废物主要为</w:t>
      </w:r>
      <w:r>
        <w:rPr>
          <w:rFonts w:hint="eastAsia"/>
          <w:lang w:eastAsia="zh-CN"/>
        </w:rPr>
        <w:t>电煅</w:t>
      </w:r>
      <w:r>
        <w:t>布袋除尘器收集的粉尘、</w:t>
      </w:r>
      <w:r>
        <w:rPr>
          <w:rFonts w:hint="eastAsia"/>
          <w:lang w:eastAsia="zh-CN"/>
        </w:rPr>
        <w:t>废原料包装袋、废树脂、脱硫石膏、化验室废液、废试剂瓶、隔油池废油、生活垃圾、餐厨垃圾</w:t>
      </w:r>
      <w:r>
        <w:t>等，项目营运期固体废物产生及利用处置方式见表</w:t>
      </w:r>
      <w:r>
        <w:rPr>
          <w:rFonts w:hint="eastAsia"/>
          <w:lang w:val="en-US" w:eastAsia="zh-CN"/>
        </w:rPr>
        <w:t>6.6.1-1</w:t>
      </w:r>
      <w:r>
        <w:t>。</w:t>
      </w:r>
    </w:p>
    <w:p>
      <w:pPr>
        <w:pStyle w:val="27"/>
        <w:bidi w:val="0"/>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27"/>
        <w:bidi w:val="0"/>
      </w:pPr>
      <w:r>
        <w:t>表</w:t>
      </w:r>
      <w:r>
        <w:rPr>
          <w:rFonts w:hint="eastAsia"/>
          <w:lang w:val="en-US" w:eastAsia="zh-CN"/>
        </w:rPr>
        <w:t>6.6.1-1</w:t>
      </w:r>
      <w:r>
        <w:t xml:space="preserve"> 项目营运期固废产生及利用处置方式汇总表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34"/>
        <w:gridCol w:w="1030"/>
        <w:gridCol w:w="598"/>
        <w:gridCol w:w="1705"/>
        <w:gridCol w:w="545"/>
        <w:gridCol w:w="677"/>
        <w:gridCol w:w="1205"/>
        <w:gridCol w:w="750"/>
        <w:gridCol w:w="814"/>
        <w:gridCol w:w="1196"/>
        <w:gridCol w:w="594"/>
        <w:gridCol w:w="91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527" w:type="dxa"/>
            <w:vAlign w:val="center"/>
          </w:tcPr>
          <w:p>
            <w:pPr>
              <w:pStyle w:val="28"/>
              <w:suppressLineNumbers w:val="0"/>
              <w:bidi w:val="0"/>
              <w:spacing w:before="0" w:after="0"/>
              <w:ind w:left="0" w:right="0"/>
              <w:rPr>
                <w:rFonts w:hint="eastAsia"/>
                <w:lang w:eastAsia="zh-CN"/>
              </w:rPr>
            </w:pPr>
            <w:r>
              <w:rPr>
                <w:rFonts w:hint="eastAsia"/>
                <w:lang w:eastAsia="zh-CN"/>
              </w:rPr>
              <w:t>序号</w:t>
            </w:r>
          </w:p>
        </w:tc>
        <w:tc>
          <w:tcPr>
            <w:tcW w:w="1534" w:type="dxa"/>
            <w:vAlign w:val="center"/>
          </w:tcPr>
          <w:p>
            <w:pPr>
              <w:pStyle w:val="28"/>
              <w:suppressLineNumbers w:val="0"/>
              <w:bidi w:val="0"/>
              <w:spacing w:before="0" w:after="0"/>
              <w:ind w:left="0" w:right="0"/>
              <w:rPr>
                <w:rFonts w:hint="eastAsia"/>
                <w:lang w:eastAsia="zh-CN"/>
              </w:rPr>
            </w:pPr>
            <w:r>
              <w:rPr>
                <w:rFonts w:hint="eastAsia"/>
                <w:lang w:eastAsia="zh-CN"/>
              </w:rPr>
              <w:t>固废名称</w:t>
            </w:r>
          </w:p>
        </w:tc>
        <w:tc>
          <w:tcPr>
            <w:tcW w:w="1030" w:type="dxa"/>
            <w:vAlign w:val="center"/>
          </w:tcPr>
          <w:p>
            <w:pPr>
              <w:pStyle w:val="28"/>
              <w:suppressLineNumbers w:val="0"/>
              <w:bidi w:val="0"/>
              <w:spacing w:before="0" w:after="0"/>
              <w:ind w:left="0" w:right="0"/>
              <w:rPr>
                <w:rFonts w:hint="eastAsia"/>
                <w:lang w:eastAsia="zh-CN"/>
              </w:rPr>
            </w:pPr>
            <w:r>
              <w:rPr>
                <w:rFonts w:hint="eastAsia"/>
                <w:lang w:eastAsia="zh-CN"/>
              </w:rPr>
              <w:t>产生工序及装置</w:t>
            </w:r>
          </w:p>
        </w:tc>
        <w:tc>
          <w:tcPr>
            <w:tcW w:w="598" w:type="dxa"/>
            <w:vAlign w:val="center"/>
          </w:tcPr>
          <w:p>
            <w:pPr>
              <w:pStyle w:val="28"/>
              <w:suppressLineNumbers w:val="0"/>
              <w:bidi w:val="0"/>
              <w:spacing w:before="0" w:after="0"/>
              <w:ind w:left="0" w:right="0"/>
              <w:rPr>
                <w:rFonts w:hint="eastAsia"/>
                <w:lang w:eastAsia="zh-CN"/>
              </w:rPr>
            </w:pPr>
            <w:r>
              <w:rPr>
                <w:rFonts w:hint="eastAsia"/>
                <w:lang w:eastAsia="zh-CN"/>
              </w:rPr>
              <w:t>形态</w:t>
            </w:r>
          </w:p>
        </w:tc>
        <w:tc>
          <w:tcPr>
            <w:tcW w:w="1705" w:type="dxa"/>
            <w:vAlign w:val="center"/>
          </w:tcPr>
          <w:p>
            <w:pPr>
              <w:pStyle w:val="28"/>
              <w:suppressLineNumbers w:val="0"/>
              <w:bidi w:val="0"/>
              <w:spacing w:before="0" w:after="0"/>
              <w:ind w:left="0" w:right="0"/>
              <w:rPr>
                <w:rFonts w:hint="eastAsia"/>
                <w:lang w:eastAsia="zh-CN"/>
              </w:rPr>
            </w:pPr>
            <w:r>
              <w:rPr>
                <w:rFonts w:hint="eastAsia"/>
                <w:lang w:eastAsia="zh-CN"/>
              </w:rPr>
              <w:t>主要成分</w:t>
            </w:r>
          </w:p>
        </w:tc>
        <w:tc>
          <w:tcPr>
            <w:tcW w:w="545" w:type="dxa"/>
            <w:vAlign w:val="center"/>
          </w:tcPr>
          <w:p>
            <w:pPr>
              <w:pStyle w:val="28"/>
              <w:suppressLineNumbers w:val="0"/>
              <w:bidi w:val="0"/>
              <w:spacing w:before="0" w:after="0"/>
              <w:ind w:left="0" w:right="0"/>
              <w:rPr>
                <w:rFonts w:hint="eastAsia"/>
                <w:lang w:eastAsia="zh-CN"/>
              </w:rPr>
            </w:pPr>
            <w:r>
              <w:rPr>
                <w:rFonts w:hint="eastAsia"/>
                <w:lang w:eastAsia="zh-CN"/>
              </w:rPr>
              <w:t>有害成分</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产废周期</w:t>
            </w:r>
          </w:p>
        </w:tc>
        <w:tc>
          <w:tcPr>
            <w:tcW w:w="1205" w:type="dxa"/>
            <w:vAlign w:val="center"/>
          </w:tcPr>
          <w:p>
            <w:pPr>
              <w:pStyle w:val="28"/>
              <w:suppressLineNumbers w:val="0"/>
              <w:bidi w:val="0"/>
              <w:spacing w:before="0" w:after="0"/>
              <w:ind w:left="0" w:right="0"/>
              <w:rPr>
                <w:rFonts w:hint="eastAsia"/>
                <w:lang w:eastAsia="zh-CN"/>
              </w:rPr>
            </w:pPr>
            <w:r>
              <w:rPr>
                <w:rFonts w:hint="eastAsia"/>
                <w:lang w:eastAsia="zh-CN"/>
              </w:rPr>
              <w:t>危险特性鉴别方法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属性</w:t>
            </w:r>
          </w:p>
        </w:tc>
        <w:tc>
          <w:tcPr>
            <w:tcW w:w="814" w:type="dxa"/>
            <w:vAlign w:val="center"/>
          </w:tcPr>
          <w:p>
            <w:pPr>
              <w:pStyle w:val="28"/>
              <w:suppressLineNumbers w:val="0"/>
              <w:bidi w:val="0"/>
              <w:spacing w:before="0" w:after="0"/>
              <w:ind w:left="0" w:right="0"/>
              <w:rPr>
                <w:rFonts w:hint="eastAsia"/>
                <w:lang w:val="en-US" w:eastAsia="zh-CN"/>
              </w:rPr>
            </w:pPr>
            <w:r>
              <w:rPr>
                <w:rFonts w:hint="eastAsia"/>
                <w:lang w:eastAsia="zh-CN"/>
              </w:rPr>
              <w:t>废物类别</w:t>
            </w:r>
          </w:p>
        </w:tc>
        <w:tc>
          <w:tcPr>
            <w:tcW w:w="1196" w:type="dxa"/>
            <w:vAlign w:val="center"/>
          </w:tcPr>
          <w:p>
            <w:pPr>
              <w:pStyle w:val="28"/>
              <w:suppressLineNumbers w:val="0"/>
              <w:bidi w:val="0"/>
              <w:spacing w:before="0" w:after="0"/>
              <w:ind w:left="0" w:right="0"/>
              <w:rPr>
                <w:rFonts w:hint="eastAsia"/>
                <w:lang w:val="en-US" w:eastAsia="zh-CN"/>
              </w:rPr>
            </w:pPr>
            <w:r>
              <w:rPr>
                <w:rFonts w:hint="eastAsia"/>
                <w:lang w:eastAsia="zh-CN"/>
              </w:rPr>
              <w:t>废物代码</w:t>
            </w:r>
          </w:p>
        </w:tc>
        <w:tc>
          <w:tcPr>
            <w:tcW w:w="594" w:type="dxa"/>
            <w:vAlign w:val="center"/>
          </w:tcPr>
          <w:p>
            <w:pPr>
              <w:pStyle w:val="28"/>
              <w:suppressLineNumbers w:val="0"/>
              <w:bidi w:val="0"/>
              <w:spacing w:before="0" w:after="0"/>
              <w:ind w:left="0" w:right="0"/>
              <w:rPr>
                <w:rFonts w:hint="eastAsia"/>
                <w:lang w:eastAsia="zh-CN"/>
              </w:rPr>
            </w:pPr>
            <w:r>
              <w:rPr>
                <w:rFonts w:hint="eastAsia"/>
                <w:lang w:eastAsia="zh-CN"/>
              </w:rPr>
              <w:t>危险特性</w:t>
            </w:r>
          </w:p>
        </w:tc>
        <w:tc>
          <w:tcPr>
            <w:tcW w:w="914" w:type="dxa"/>
            <w:vAlign w:val="center"/>
          </w:tcPr>
          <w:p>
            <w:pPr>
              <w:pStyle w:val="28"/>
              <w:suppressLineNumbers w:val="0"/>
              <w:bidi w:val="0"/>
              <w:spacing w:before="0" w:after="0"/>
              <w:ind w:left="0" w:right="0"/>
              <w:rPr>
                <w:rFonts w:hint="default"/>
                <w:lang w:val="en-US" w:eastAsia="zh-CN"/>
              </w:rPr>
            </w:pPr>
            <w:r>
              <w:rPr>
                <w:rFonts w:hint="eastAsia"/>
                <w:lang w:eastAsia="zh-CN"/>
              </w:rPr>
              <w:t>估算产生量</w:t>
            </w:r>
            <w:r>
              <w:rPr>
                <w:rFonts w:hint="eastAsia"/>
                <w:lang w:val="en-US" w:eastAsia="zh-CN"/>
              </w:rPr>
              <w:t>t/a</w:t>
            </w:r>
          </w:p>
        </w:tc>
        <w:tc>
          <w:tcPr>
            <w:tcW w:w="2085" w:type="dxa"/>
            <w:vAlign w:val="center"/>
          </w:tcPr>
          <w:p>
            <w:pPr>
              <w:pStyle w:val="28"/>
              <w:suppressLineNumbers w:val="0"/>
              <w:bidi w:val="0"/>
              <w:spacing w:before="0" w:after="0"/>
              <w:ind w:left="0" w:right="0"/>
              <w:rPr>
                <w:rFonts w:hint="eastAsia"/>
                <w:lang w:eastAsia="zh-CN"/>
              </w:rPr>
            </w:pPr>
            <w:r>
              <w:rPr>
                <w:rFonts w:hint="eastAsia"/>
                <w:lang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vAlign w:val="center"/>
          </w:tcPr>
          <w:p>
            <w:pPr>
              <w:pStyle w:val="28"/>
              <w:suppressLineNumbers w:val="0"/>
              <w:bidi w:val="0"/>
              <w:spacing w:before="0" w:after="0"/>
              <w:ind w:left="0" w:right="0"/>
              <w:rPr>
                <w:rFonts w:hint="eastAsia"/>
                <w:lang w:eastAsia="zh-CN"/>
              </w:rPr>
            </w:pPr>
            <w:r>
              <w:rPr>
                <w:rFonts w:hint="eastAsia"/>
                <w:lang w:eastAsia="zh-CN"/>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1534" w:type="dxa"/>
            <w:vAlign w:val="center"/>
          </w:tcPr>
          <w:p>
            <w:pPr>
              <w:pStyle w:val="28"/>
              <w:suppressLineNumbers w:val="0"/>
              <w:bidi w:val="0"/>
              <w:spacing w:before="0" w:after="0"/>
              <w:ind w:left="0" w:right="0"/>
            </w:pPr>
            <w:r>
              <w:rPr>
                <w:rFonts w:hint="eastAsia"/>
                <w:lang w:eastAsia="zh-CN"/>
              </w:rPr>
              <w:t>电煅炉布袋除尘器除尘下灰</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598" w:type="dxa"/>
            <w:vAlign w:val="center"/>
          </w:tcPr>
          <w:p>
            <w:pPr>
              <w:pStyle w:val="28"/>
              <w:suppressLineNumbers w:val="0"/>
              <w:bidi w:val="0"/>
              <w:spacing w:before="0" w:after="0"/>
              <w:ind w:left="0" w:right="0"/>
              <w:rPr>
                <w:rFonts w:hint="default"/>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default"/>
                <w:lang w:val="en-US" w:eastAsia="zh-CN"/>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rPr>
                <w:rFonts w:hint="default"/>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一般废物</w:t>
            </w:r>
          </w:p>
        </w:tc>
        <w:tc>
          <w:tcPr>
            <w:tcW w:w="81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196" w:type="dxa"/>
            <w:vAlign w:val="center"/>
          </w:tcPr>
          <w:p>
            <w:pPr>
              <w:pStyle w:val="28"/>
              <w:suppressLineNumbers w:val="0"/>
              <w:bidi w:val="0"/>
              <w:spacing w:before="0" w:after="0"/>
              <w:ind w:left="0" w:right="0"/>
              <w:rPr>
                <w:rFonts w:hint="default"/>
                <w:lang w:val="en-US" w:eastAsia="zh-CN"/>
              </w:rPr>
            </w:pPr>
            <w:r>
              <w:rPr>
                <w:rFonts w:hint="eastAsia"/>
                <w:lang w:val="en-US" w:eastAsia="zh-CN"/>
              </w:rPr>
              <w:t>84</w:t>
            </w:r>
          </w:p>
        </w:tc>
        <w:tc>
          <w:tcPr>
            <w:tcW w:w="59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184.16</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废原料包装袋</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原料包装</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eastAsia"/>
                <w:lang w:eastAsia="zh-CN"/>
              </w:rPr>
            </w:pPr>
            <w:r>
              <w:rPr>
                <w:rFonts w:hint="eastAsia"/>
                <w:lang w:eastAsia="zh-CN"/>
              </w:rPr>
              <w:t>包装织物</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1196" w:type="dxa"/>
            <w:vAlign w:val="center"/>
          </w:tcPr>
          <w:p>
            <w:pPr>
              <w:pStyle w:val="28"/>
              <w:suppressLineNumbers w:val="0"/>
              <w:bidi w:val="0"/>
              <w:spacing w:before="0" w:after="0"/>
              <w:ind w:left="0" w:right="0"/>
              <w:rPr>
                <w:rFonts w:hint="default"/>
                <w:lang w:val="en-US" w:eastAsia="zh-CN"/>
              </w:rPr>
            </w:pPr>
            <w:r>
              <w:rPr>
                <w:rFonts w:hint="eastAsia"/>
                <w:lang w:val="en-US" w:eastAsia="zh-CN"/>
              </w:rPr>
              <w:t>86</w:t>
            </w:r>
          </w:p>
        </w:tc>
        <w:tc>
          <w:tcPr>
            <w:tcW w:w="594" w:type="dxa"/>
            <w:vAlign w:val="center"/>
          </w:tcPr>
          <w:p>
            <w:pPr>
              <w:pStyle w:val="28"/>
              <w:suppressLineNumbers w:val="0"/>
              <w:bidi w:val="0"/>
              <w:spacing w:before="0" w:after="0"/>
              <w:ind w:left="0" w:right="0"/>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3</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废树脂</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自来水净化</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eastAsia="zh-CN"/>
              </w:rPr>
              <w:t>离子交换树脂、杂质等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eastAsia="zh-CN"/>
              </w:rPr>
            </w:pPr>
            <w:r>
              <w:rPr>
                <w:rFonts w:hint="eastAsia"/>
                <w:lang w:eastAsia="zh-CN"/>
              </w:rPr>
              <w:t>危险废物</w:t>
            </w:r>
          </w:p>
        </w:tc>
        <w:tc>
          <w:tcPr>
            <w:tcW w:w="814" w:type="dxa"/>
            <w:vAlign w:val="center"/>
          </w:tcPr>
          <w:p>
            <w:pPr>
              <w:pStyle w:val="28"/>
              <w:suppressLineNumbers w:val="0"/>
              <w:bidi w:val="0"/>
              <w:spacing w:before="0" w:after="0"/>
              <w:ind w:left="0" w:right="0"/>
              <w:rPr>
                <w:rFonts w:hint="default"/>
                <w:lang w:val="en-US" w:eastAsia="zh-CN"/>
              </w:rPr>
            </w:pPr>
            <w:r>
              <w:rPr>
                <w:rFonts w:hint="eastAsia"/>
                <w:lang w:val="en-US" w:eastAsia="zh-CN"/>
              </w:rPr>
              <w:t>HW13</w:t>
            </w:r>
          </w:p>
        </w:tc>
        <w:tc>
          <w:tcPr>
            <w:tcW w:w="1196" w:type="dxa"/>
            <w:vAlign w:val="center"/>
          </w:tcPr>
          <w:p>
            <w:pPr>
              <w:pStyle w:val="28"/>
              <w:suppressLineNumbers w:val="0"/>
              <w:bidi w:val="0"/>
              <w:spacing w:before="0" w:after="0"/>
              <w:ind w:left="0" w:right="0"/>
            </w:pPr>
            <w:r>
              <w:rPr>
                <w:rFonts w:hint="default"/>
              </w:rPr>
              <w:t>900-015-13</w:t>
            </w:r>
          </w:p>
        </w:tc>
        <w:tc>
          <w:tcPr>
            <w:tcW w:w="594" w:type="dxa"/>
            <w:vAlign w:val="center"/>
          </w:tcPr>
          <w:p>
            <w:pPr>
              <w:pStyle w:val="28"/>
              <w:suppressLineNumbers w:val="0"/>
              <w:bidi w:val="0"/>
              <w:spacing w:before="0" w:after="0"/>
              <w:ind w:left="0" w:right="0"/>
              <w:rPr>
                <w:rFonts w:hint="eastAsia"/>
                <w:lang w:val="en-US" w:eastAsia="zh-CN"/>
              </w:rPr>
            </w:pPr>
            <w:r>
              <w:rPr>
                <w:rFonts w:hint="eastAsia"/>
                <w:lang w:val="en-US" w:eastAsia="zh-CN"/>
              </w:rPr>
              <w:t>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4</w:t>
            </w:r>
          </w:p>
        </w:tc>
        <w:tc>
          <w:tcPr>
            <w:tcW w:w="1534" w:type="dxa"/>
            <w:vAlign w:val="center"/>
          </w:tcPr>
          <w:p>
            <w:pPr>
              <w:pStyle w:val="28"/>
              <w:suppressLineNumbers w:val="0"/>
              <w:bidi w:val="0"/>
              <w:spacing w:before="0" w:after="0"/>
              <w:ind w:left="0" w:right="0"/>
              <w:rPr>
                <w:rFonts w:hint="eastAsia"/>
                <w:lang w:val="en-US" w:eastAsia="zh-CN"/>
              </w:rPr>
            </w:pPr>
            <w:r>
              <w:rPr>
                <w:rFonts w:hint="eastAsia"/>
                <w:lang w:eastAsia="zh-CN"/>
              </w:rPr>
              <w:t>脱硫石膏</w:t>
            </w:r>
          </w:p>
        </w:tc>
        <w:tc>
          <w:tcPr>
            <w:tcW w:w="1030" w:type="dxa"/>
            <w:vAlign w:val="center"/>
          </w:tcPr>
          <w:p>
            <w:pPr>
              <w:pStyle w:val="28"/>
              <w:suppressLineNumbers w:val="0"/>
              <w:bidi w:val="0"/>
              <w:spacing w:before="0" w:after="0"/>
              <w:ind w:left="0" w:right="0"/>
              <w:rPr>
                <w:rFonts w:hint="eastAsia"/>
                <w:lang w:val="en-US" w:eastAsia="zh-CN"/>
              </w:rPr>
            </w:pPr>
            <w:r>
              <w:rPr>
                <w:rFonts w:hint="eastAsia"/>
                <w:lang w:eastAsia="zh-CN"/>
              </w:rPr>
              <w:t>废气净化</w:t>
            </w:r>
          </w:p>
        </w:tc>
        <w:tc>
          <w:tcPr>
            <w:tcW w:w="598" w:type="dxa"/>
            <w:vAlign w:val="center"/>
          </w:tcPr>
          <w:p>
            <w:pPr>
              <w:pStyle w:val="28"/>
              <w:suppressLineNumbers w:val="0"/>
              <w:bidi w:val="0"/>
              <w:spacing w:before="0" w:after="0"/>
              <w:ind w:left="0" w:right="0"/>
              <w:rPr>
                <w:rFonts w:hint="eastAsia"/>
                <w:lang w:val="en-US" w:eastAsia="zh-CN"/>
              </w:rPr>
            </w:pPr>
            <w:r>
              <w:rPr>
                <w:rFonts w:hint="eastAsia"/>
                <w:lang w:eastAsia="zh-CN"/>
              </w:rPr>
              <w:t>固</w:t>
            </w:r>
          </w:p>
        </w:tc>
        <w:tc>
          <w:tcPr>
            <w:tcW w:w="1705" w:type="dxa"/>
            <w:vAlign w:val="center"/>
          </w:tcPr>
          <w:p>
            <w:pPr>
              <w:pStyle w:val="28"/>
              <w:suppressLineNumbers w:val="0"/>
              <w:bidi w:val="0"/>
              <w:spacing w:before="0" w:after="0"/>
              <w:ind w:left="0" w:right="0"/>
              <w:rPr>
                <w:rFonts w:hint="default"/>
                <w:lang w:val="en-US" w:eastAsia="zh-CN"/>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pPr>
            <w:r>
              <w:rPr>
                <w:rFonts w:hint="eastAsia"/>
                <w:lang w:val="en-US" w:eastAsia="zh-CN"/>
              </w:rPr>
              <w:t>/</w:t>
            </w:r>
          </w:p>
        </w:tc>
        <w:tc>
          <w:tcPr>
            <w:tcW w:w="1196" w:type="dxa"/>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51</w:t>
            </w:r>
          </w:p>
        </w:tc>
        <w:tc>
          <w:tcPr>
            <w:tcW w:w="594" w:type="dxa"/>
            <w:vAlign w:val="center"/>
          </w:tcPr>
          <w:p>
            <w:pPr>
              <w:pStyle w:val="28"/>
              <w:suppressLineNumbers w:val="0"/>
              <w:bidi w:val="0"/>
              <w:spacing w:before="0" w:after="0"/>
              <w:ind w:left="0" w:right="0"/>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642.58</w:t>
            </w:r>
          </w:p>
        </w:tc>
        <w:tc>
          <w:tcPr>
            <w:tcW w:w="2085" w:type="dxa"/>
            <w:vAlign w:val="center"/>
          </w:tcPr>
          <w:p>
            <w:pPr>
              <w:pStyle w:val="28"/>
              <w:suppressLineNumbers w:val="0"/>
              <w:bidi w:val="0"/>
              <w:spacing w:before="0" w:after="0"/>
              <w:ind w:left="0" w:right="0"/>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5</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化验室废液</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实验</w:t>
            </w:r>
          </w:p>
        </w:tc>
        <w:tc>
          <w:tcPr>
            <w:tcW w:w="598" w:type="dxa"/>
            <w:vAlign w:val="center"/>
          </w:tcPr>
          <w:p>
            <w:pPr>
              <w:pStyle w:val="28"/>
              <w:suppressLineNumbers w:val="0"/>
              <w:bidi w:val="0"/>
              <w:spacing w:before="0" w:after="0"/>
              <w:ind w:left="0" w:right="0"/>
              <w:rPr>
                <w:rFonts w:hint="eastAsia"/>
                <w:lang w:val="en-US" w:eastAsia="zh-CN"/>
              </w:rPr>
            </w:pPr>
            <w:r>
              <w:rPr>
                <w:rFonts w:hint="eastAsia"/>
              </w:rPr>
              <w:t>液</w:t>
            </w:r>
          </w:p>
        </w:tc>
        <w:tc>
          <w:tcPr>
            <w:tcW w:w="1705" w:type="dxa"/>
            <w:vAlign w:val="center"/>
          </w:tcPr>
          <w:p>
            <w:pPr>
              <w:pStyle w:val="28"/>
              <w:suppressLineNumbers w:val="0"/>
              <w:bidi w:val="0"/>
              <w:spacing w:before="0" w:after="0"/>
              <w:ind w:left="0" w:right="0"/>
              <w:rPr>
                <w:rFonts w:hint="eastAsia"/>
                <w:lang w:val="en-US" w:eastAsia="zh-CN"/>
              </w:rPr>
            </w:pPr>
            <w:r>
              <w:rPr>
                <w:rFonts w:hint="eastAsia"/>
              </w:rPr>
              <w:t>/</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814" w:type="dxa"/>
            <w:vAlign w:val="center"/>
          </w:tcPr>
          <w:p>
            <w:pPr>
              <w:pStyle w:val="28"/>
              <w:suppressLineNumbers w:val="0"/>
              <w:bidi w:val="0"/>
              <w:spacing w:before="0" w:after="0"/>
              <w:ind w:left="0" w:right="0"/>
              <w:rPr>
                <w:lang w:val="en-US" w:eastAsia="zh-CN"/>
              </w:rPr>
            </w:pPr>
            <w:r>
              <w:t>HW49</w:t>
            </w:r>
          </w:p>
        </w:tc>
        <w:tc>
          <w:tcPr>
            <w:tcW w:w="1196" w:type="dxa"/>
            <w:vAlign w:val="center"/>
          </w:tcPr>
          <w:p>
            <w:pPr>
              <w:pStyle w:val="28"/>
              <w:suppressLineNumbers w:val="0"/>
              <w:bidi w:val="0"/>
              <w:spacing w:before="0" w:after="0"/>
              <w:ind w:left="0" w:right="0"/>
              <w:rPr>
                <w:lang w:val="en-US" w:eastAsia="zh-CN"/>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outlineLvl w:val="9"/>
              <w:rPr>
                <w:rFonts w:hint="default"/>
                <w:lang w:val="en-US" w:eastAsia="zh-CN"/>
              </w:rPr>
            </w:pP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6</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废试剂瓶</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实验</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rPr>
              <w:t>/</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814" w:type="dxa"/>
            <w:vAlign w:val="center"/>
          </w:tcPr>
          <w:p>
            <w:pPr>
              <w:pStyle w:val="28"/>
              <w:suppressLineNumbers w:val="0"/>
              <w:bidi w:val="0"/>
              <w:spacing w:before="0" w:after="0"/>
              <w:ind w:left="0" w:right="0"/>
              <w:rPr>
                <w:lang w:val="en-US" w:eastAsia="zh-CN"/>
              </w:rPr>
            </w:pPr>
            <w:r>
              <w:t>HW49</w:t>
            </w:r>
          </w:p>
        </w:tc>
        <w:tc>
          <w:tcPr>
            <w:tcW w:w="1196" w:type="dxa"/>
            <w:vAlign w:val="center"/>
          </w:tcPr>
          <w:p>
            <w:pPr>
              <w:pStyle w:val="28"/>
              <w:suppressLineNumbers w:val="0"/>
              <w:bidi w:val="0"/>
              <w:spacing w:before="0" w:after="0"/>
              <w:ind w:left="0" w:right="0"/>
              <w:rPr>
                <w:lang w:val="en-US" w:eastAsia="zh-CN"/>
              </w:rPr>
            </w:pPr>
            <w:r>
              <w:t>900-041-49</w:t>
            </w:r>
          </w:p>
        </w:tc>
        <w:tc>
          <w:tcPr>
            <w:tcW w:w="594" w:type="dxa"/>
            <w:vAlign w:val="center"/>
          </w:tcPr>
          <w:p>
            <w:pPr>
              <w:pStyle w:val="28"/>
              <w:suppressLineNumbers w:val="0"/>
              <w:bidi w:val="0"/>
              <w:spacing w:before="0" w:after="0"/>
              <w:ind w:left="0" w:right="0"/>
              <w:rPr>
                <w:rFonts w:hint="default"/>
                <w:lang w:val="en-US" w:eastAsia="zh-CN"/>
              </w:rPr>
            </w:pPr>
            <w:r>
              <w:rPr>
                <w:rFonts w:hint="eastAsia"/>
                <w:lang w:val="en-US" w:eastAsia="zh-CN"/>
              </w:rPr>
              <w:t>T/In</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2085" w:type="dxa"/>
            <w:vAlign w:val="center"/>
          </w:tcPr>
          <w:p>
            <w:pPr>
              <w:pStyle w:val="28"/>
              <w:suppressLineNumbers w:val="0"/>
              <w:bidi w:val="0"/>
              <w:spacing w:before="0" w:after="0"/>
              <w:ind w:left="0" w:right="0"/>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7</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隔油池废油</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食堂废水隔油</w:t>
            </w:r>
          </w:p>
        </w:tc>
        <w:tc>
          <w:tcPr>
            <w:tcW w:w="598" w:type="dxa"/>
            <w:vAlign w:val="center"/>
          </w:tcPr>
          <w:p>
            <w:pPr>
              <w:pStyle w:val="28"/>
              <w:suppressLineNumbers w:val="0"/>
              <w:bidi w:val="0"/>
              <w:spacing w:before="0" w:after="0"/>
              <w:ind w:left="0" w:right="0"/>
              <w:rPr>
                <w:rFonts w:hint="eastAsia"/>
                <w:lang w:val="en-US" w:eastAsia="zh-CN"/>
              </w:rPr>
            </w:pPr>
            <w:r>
              <w:rPr>
                <w:rFonts w:hint="eastAsia"/>
              </w:rPr>
              <w:t>液</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rPr>
              <w:t>0.</w:t>
            </w:r>
            <w:r>
              <w:rPr>
                <w:rFonts w:hint="eastAsia"/>
                <w:lang w:val="en-US" w:eastAsia="zh-CN"/>
              </w:rPr>
              <w:t>011</w:t>
            </w:r>
          </w:p>
        </w:tc>
        <w:tc>
          <w:tcPr>
            <w:tcW w:w="2085" w:type="dxa"/>
            <w:vAlign w:val="center"/>
          </w:tcPr>
          <w:p>
            <w:pPr>
              <w:pStyle w:val="28"/>
              <w:suppressLineNumbers w:val="0"/>
              <w:bidi w:val="0"/>
              <w:spacing w:before="0" w:after="0"/>
              <w:ind w:left="0" w:right="0"/>
              <w:rPr>
                <w:rFonts w:hint="eastAsia" w:eastAsia="宋体"/>
                <w:lang w:eastAsia="zh-CN"/>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tcPr>
          <w:p>
            <w:pPr>
              <w:pStyle w:val="28"/>
              <w:suppressLineNumbers w:val="0"/>
              <w:bidi w:val="0"/>
              <w:spacing w:before="0" w:after="0"/>
              <w:ind w:left="0" w:right="0"/>
              <w:rPr>
                <w:rFonts w:hint="eastAsia" w:eastAsia="宋体"/>
                <w:lang w:val="en-US" w:eastAsia="zh-CN"/>
              </w:rPr>
            </w:pPr>
            <w:r>
              <w:rPr>
                <w:rFonts w:hint="eastAsia"/>
                <w:lang w:val="en-US" w:eastAsia="zh-CN"/>
              </w:rPr>
              <w:t>8</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生活垃圾</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办公</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val="en-US" w:eastAsia="zh-CN"/>
              </w:rPr>
              <w:t>废纸等</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tcPr>
          <w:p>
            <w:pPr>
              <w:pStyle w:val="28"/>
              <w:suppressLineNumbers w:val="0"/>
              <w:bidi w:val="0"/>
              <w:spacing w:before="0" w:after="0"/>
              <w:ind w:left="0" w:right="0"/>
              <w:rPr>
                <w:rFonts w:hint="eastAsia" w:eastAsia="宋体"/>
                <w:lang w:val="en-US" w:eastAsia="zh-CN"/>
              </w:rPr>
            </w:pPr>
            <w:r>
              <w:rPr>
                <w:rFonts w:hint="eastAsia"/>
                <w:lang w:val="en-US" w:eastAsia="zh-CN"/>
              </w:rPr>
              <w:t>9</w:t>
            </w:r>
          </w:p>
        </w:tc>
        <w:tc>
          <w:tcPr>
            <w:tcW w:w="1534" w:type="dxa"/>
            <w:vAlign w:val="center"/>
          </w:tcPr>
          <w:p>
            <w:pPr>
              <w:pStyle w:val="28"/>
              <w:suppressLineNumbers w:val="0"/>
              <w:bidi w:val="0"/>
              <w:spacing w:before="0" w:after="0"/>
              <w:ind w:left="0" w:right="0"/>
              <w:rPr>
                <w:rFonts w:hint="eastAsia"/>
                <w:lang w:val="en-US" w:eastAsia="zh-CN"/>
              </w:rPr>
            </w:pPr>
            <w:r>
              <w:rPr>
                <w:rFonts w:hint="eastAsia"/>
              </w:rPr>
              <w:t>餐厨垃圾</w:t>
            </w:r>
          </w:p>
        </w:tc>
        <w:tc>
          <w:tcPr>
            <w:tcW w:w="1030" w:type="dxa"/>
            <w:vAlign w:val="center"/>
          </w:tcPr>
          <w:p>
            <w:pPr>
              <w:pStyle w:val="28"/>
              <w:suppressLineNumbers w:val="0"/>
              <w:bidi w:val="0"/>
              <w:spacing w:before="0" w:after="0"/>
              <w:ind w:left="0" w:right="0"/>
              <w:rPr>
                <w:rFonts w:hint="eastAsia"/>
                <w:lang w:val="en-US" w:eastAsia="zh-CN"/>
              </w:rPr>
            </w:pPr>
            <w:r>
              <w:rPr>
                <w:rFonts w:hint="eastAsia"/>
              </w:rPr>
              <w:t>食堂</w:t>
            </w:r>
          </w:p>
        </w:tc>
        <w:tc>
          <w:tcPr>
            <w:tcW w:w="598" w:type="dxa"/>
            <w:vAlign w:val="center"/>
          </w:tcPr>
          <w:p>
            <w:pPr>
              <w:pStyle w:val="28"/>
              <w:suppressLineNumbers w:val="0"/>
              <w:bidi w:val="0"/>
              <w:spacing w:before="0" w:after="0"/>
              <w:ind w:left="0" w:right="0"/>
              <w:rPr>
                <w:rFonts w:hint="eastAsia"/>
                <w:lang w:val="en-US" w:eastAsia="zh-CN"/>
              </w:rPr>
            </w:pPr>
            <w:r>
              <w:rPr>
                <w:rFonts w:hint="eastAsia"/>
              </w:rPr>
              <w:t>半固</w:t>
            </w:r>
          </w:p>
        </w:tc>
        <w:tc>
          <w:tcPr>
            <w:tcW w:w="1705" w:type="dxa"/>
            <w:vAlign w:val="center"/>
          </w:tcPr>
          <w:p>
            <w:pPr>
              <w:pStyle w:val="28"/>
              <w:suppressLineNumbers w:val="0"/>
              <w:bidi w:val="0"/>
              <w:spacing w:before="0" w:after="0"/>
              <w:ind w:left="0" w:right="0"/>
              <w:rPr>
                <w:rFonts w:hint="eastAsia"/>
                <w:lang w:val="en-US" w:eastAsia="zh-CN"/>
              </w:rPr>
            </w:pPr>
            <w:r>
              <w:rPr>
                <w:rFonts w:hint="eastAsia"/>
                <w:lang w:val="en-US" w:eastAsia="zh-CN"/>
              </w:rPr>
              <w:t>动植物残渣</w:t>
            </w:r>
          </w:p>
        </w:tc>
        <w:tc>
          <w:tcPr>
            <w:tcW w:w="545" w:type="dxa"/>
            <w:vAlign w:val="center"/>
          </w:tcPr>
          <w:p>
            <w:pPr>
              <w:pStyle w:val="28"/>
              <w:suppressLineNumbers w:val="0"/>
              <w:bidi w:val="0"/>
              <w:spacing w:before="0" w:after="0"/>
              <w:ind w:left="0" w:right="0"/>
              <w:rPr>
                <w:rFonts w:hint="eastAsia"/>
                <w:lang w:val="en-US" w:eastAsia="zh-CN"/>
              </w:rPr>
            </w:pPr>
            <w:r>
              <w:rPr>
                <w:rFonts w:hint="eastAsia"/>
                <w:lang w:val="en-US" w:eastAsia="zh-CN"/>
              </w:rPr>
              <w:t>/</w:t>
            </w:r>
          </w:p>
        </w:tc>
        <w:tc>
          <w:tcPr>
            <w:tcW w:w="677" w:type="dxa"/>
            <w:vAlign w:val="center"/>
          </w:tcPr>
          <w:p>
            <w:pPr>
              <w:pStyle w:val="28"/>
              <w:suppressLineNumbers w:val="0"/>
              <w:bidi w:val="0"/>
              <w:spacing w:before="0" w:after="0"/>
              <w:ind w:left="0" w:right="0"/>
              <w:rPr>
                <w:rFonts w:hint="eastAsia"/>
                <w:lang w:val="en-US" w:eastAsia="zh-CN"/>
              </w:rPr>
            </w:pPr>
            <w:r>
              <w:rPr>
                <w:rFonts w:hint="eastAsia"/>
                <w:lang w:eastAsia="zh-CN"/>
              </w:rPr>
              <w:t>年</w:t>
            </w:r>
          </w:p>
        </w:tc>
        <w:tc>
          <w:tcPr>
            <w:tcW w:w="1205" w:type="dxa"/>
            <w:vAlign w:val="center"/>
          </w:tcPr>
          <w:p>
            <w:pPr>
              <w:pStyle w:val="28"/>
              <w:suppressLineNumbers w:val="0"/>
              <w:bidi w:val="0"/>
              <w:spacing w:before="0" w:after="0"/>
              <w:ind w:left="0" w:right="0"/>
              <w:rPr>
                <w:rFonts w:hint="eastAsia"/>
                <w:lang w:val="en-US" w:eastAsia="zh-CN"/>
              </w:rPr>
            </w:pPr>
            <w:r>
              <w:rPr>
                <w:rFonts w:hint="eastAsia"/>
                <w:lang w:eastAsia="zh-CN"/>
              </w:rPr>
              <w:t>危险废物名录</w:t>
            </w:r>
          </w:p>
        </w:tc>
        <w:tc>
          <w:tcPr>
            <w:tcW w:w="750" w:type="dxa"/>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tcPr>
          <w:p>
            <w:pPr>
              <w:pStyle w:val="28"/>
              <w:suppressLineNumbers w:val="0"/>
              <w:bidi w:val="0"/>
              <w:spacing w:before="0" w:after="0"/>
              <w:ind w:left="0" w:right="0"/>
              <w:rPr>
                <w:rFonts w:hint="eastAsia" w:eastAsia="宋体"/>
                <w:lang w:eastAsia="zh-CN"/>
              </w:rPr>
            </w:pPr>
            <w:r>
              <w:rPr>
                <w:rFonts w:hint="eastAsia"/>
                <w:lang w:eastAsia="zh-CN"/>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84</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184.16</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包装织物</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86</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HW13</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default"/>
              </w:rPr>
              <w:t>900-015-13</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51</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642.58</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900-041-49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T/In</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动植物油</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0.</w:t>
            </w:r>
            <w:r>
              <w:rPr>
                <w:rFonts w:hint="eastAsia"/>
                <w:lang w:val="en-US" w:eastAsia="zh-CN"/>
              </w:rPr>
              <w:t>011</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废纸等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2.14</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动植物残渣</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2.14</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gridSpan w:val="14"/>
          </w:tcPr>
          <w:p>
            <w:pPr>
              <w:pStyle w:val="28"/>
              <w:suppressLineNumbers w:val="0"/>
              <w:bidi w:val="0"/>
              <w:spacing w:before="0" w:after="0"/>
              <w:ind w:left="0" w:right="0"/>
              <w:rPr>
                <w:rFonts w:hint="eastAsia" w:eastAsia="宋体"/>
                <w:lang w:eastAsia="zh-CN"/>
              </w:rPr>
            </w:pPr>
            <w:r>
              <w:rPr>
                <w:rFonts w:hint="eastAsia"/>
                <w:lang w:eastAsia="zh-CN"/>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1</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煅后焦、新型增碳剂</w:t>
            </w:r>
            <w:r>
              <w:rPr>
                <w:rFonts w:hint="eastAsia"/>
              </w:rPr>
              <w:t>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84</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368.32</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2</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废原料包装袋</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原料包装</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包装织物</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86</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3</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废树脂</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自来水净化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离子交换树脂、杂质等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HW13</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default"/>
              </w:rPr>
              <w:t>900-015-13</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4</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脱硫石膏</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废气净化</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硫酸钙、氢氧化钙、水等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51</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default"/>
                <w:lang w:val="en-US" w:eastAsia="zh-CN"/>
              </w:rPr>
            </w:pPr>
            <w:r>
              <w:rPr>
                <w:rFonts w:hint="eastAsia"/>
                <w:lang w:val="en-US" w:eastAsia="zh-CN"/>
              </w:rPr>
              <w:t>1285.17</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5</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化验室废液</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w:t>
            </w:r>
            <w:r>
              <w:rPr>
                <w:rFonts w:hint="eastAsia"/>
                <w:lang w:val="en-US" w:eastAsia="zh-CN"/>
              </w:rPr>
              <w:t>7</w:t>
            </w:r>
            <w:r>
              <w:t>-49</w:t>
            </w:r>
          </w:p>
        </w:tc>
        <w:tc>
          <w:tcPr>
            <w:tcW w:w="594" w:type="dxa"/>
            <w:vAlign w:val="center"/>
          </w:tcPr>
          <w:p>
            <w:pPr>
              <w:pStyle w:val="28"/>
              <w:suppressLineNumbers w:val="0"/>
              <w:bidi w:val="0"/>
              <w:spacing w:before="0" w:after="0"/>
              <w:ind w:left="0" w:right="0"/>
            </w:pPr>
            <w:r>
              <w:rPr>
                <w:rFonts w:hint="default"/>
                <w:lang w:val="en-US" w:eastAsia="zh-CN"/>
              </w:rPr>
              <w:t>T/C/I/R</w:t>
            </w:r>
          </w:p>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6</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废试剂瓶</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实验</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HW49</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900-041-49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T/In</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0.4</w:t>
            </w:r>
          </w:p>
        </w:tc>
        <w:tc>
          <w:tcPr>
            <w:tcW w:w="2085" w:type="dxa"/>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7</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隔油池废油</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食堂废水隔油</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液</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动植物油</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0.022</w:t>
            </w:r>
          </w:p>
        </w:tc>
        <w:tc>
          <w:tcPr>
            <w:tcW w:w="208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8</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生活垃圾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办公</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废纸等</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vAlign w:val="top"/>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w:t>
            </w:r>
          </w:p>
        </w:tc>
        <w:tc>
          <w:tcPr>
            <w:tcW w:w="153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餐厨垃圾</w:t>
            </w:r>
          </w:p>
        </w:tc>
        <w:tc>
          <w:tcPr>
            <w:tcW w:w="103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食堂</w:t>
            </w:r>
          </w:p>
        </w:tc>
        <w:tc>
          <w:tcPr>
            <w:tcW w:w="598"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rPr>
              <w:t>半固</w:t>
            </w:r>
          </w:p>
        </w:tc>
        <w:tc>
          <w:tcPr>
            <w:tcW w:w="17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动植物残渣</w:t>
            </w:r>
          </w:p>
        </w:tc>
        <w:tc>
          <w:tcPr>
            <w:tcW w:w="54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677"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年</w:t>
            </w:r>
          </w:p>
        </w:tc>
        <w:tc>
          <w:tcPr>
            <w:tcW w:w="1205"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危险废物名录</w:t>
            </w:r>
          </w:p>
        </w:tc>
        <w:tc>
          <w:tcPr>
            <w:tcW w:w="750"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一般废物</w:t>
            </w:r>
          </w:p>
        </w:tc>
        <w:tc>
          <w:tcPr>
            <w:tcW w:w="81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1196"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99</w:t>
            </w:r>
          </w:p>
        </w:tc>
        <w:tc>
          <w:tcPr>
            <w:tcW w:w="594" w:type="dxa"/>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914" w:type="dxa"/>
            <w:vAlign w:val="center"/>
          </w:tcPr>
          <w:p>
            <w:pPr>
              <w:pStyle w:val="28"/>
              <w:suppressLineNumbers w:val="0"/>
              <w:bidi w:val="0"/>
              <w:spacing w:before="0" w:after="0"/>
              <w:ind w:left="0" w:right="0"/>
              <w:rPr>
                <w:rFonts w:hint="eastAsia"/>
                <w:lang w:val="en-US" w:eastAsia="zh-CN"/>
              </w:rPr>
            </w:pPr>
            <w:r>
              <w:rPr>
                <w:rFonts w:hint="eastAsia"/>
                <w:lang w:val="en-US" w:eastAsia="zh-CN"/>
              </w:rPr>
              <w:t>6.6</w:t>
            </w:r>
          </w:p>
        </w:tc>
        <w:tc>
          <w:tcPr>
            <w:tcW w:w="2085" w:type="dxa"/>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right="0" w:firstLine="0" w:firstLineChars="0"/>
              <w:jc w:val="center"/>
              <w:rPr>
                <w:rFonts w:hint="eastAsia"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r>
    </w:tbl>
    <w:p>
      <w:pPr>
        <w:spacing w:line="360" w:lineRule="auto"/>
        <w:ind w:firstLine="480" w:firstLineChars="200"/>
        <w:rPr>
          <w:color w:val="000000"/>
          <w:sz w:val="24"/>
        </w:rPr>
        <w:sectPr>
          <w:pgSz w:w="17338" w:h="11906" w:orient="landscape"/>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bidi w:val="0"/>
        <w:rPr>
          <w:rFonts w:hint="eastAsia" w:eastAsia="宋体"/>
          <w:lang w:eastAsia="zh-CN"/>
        </w:rPr>
      </w:pPr>
      <w:r>
        <w:t>项目</w:t>
      </w:r>
      <w:r>
        <w:rPr>
          <w:rFonts w:hint="eastAsia"/>
          <w:lang w:eastAsia="zh-CN"/>
        </w:rPr>
        <w:t>运营</w:t>
      </w:r>
      <w:r>
        <w:t>过程中产生的</w:t>
      </w:r>
      <w:r>
        <w:rPr>
          <w:rFonts w:hint="eastAsia"/>
          <w:lang w:eastAsia="zh-CN"/>
        </w:rPr>
        <w:t>一般固废为电煅炉布袋除尘器除尘下灰、废原料包装袋、脱硫石膏、</w:t>
      </w:r>
      <w:r>
        <w:rPr>
          <w:rFonts w:hint="eastAsia"/>
        </w:rPr>
        <w:t>隔油池废油</w:t>
      </w:r>
      <w:r>
        <w:rPr>
          <w:rFonts w:hint="eastAsia"/>
          <w:lang w:eastAsia="zh-CN"/>
        </w:rPr>
        <w:t>、</w:t>
      </w:r>
      <w:r>
        <w:rPr>
          <w:rFonts w:hint="eastAsia"/>
        </w:rPr>
        <w:t>生活垃圾</w:t>
      </w:r>
      <w:r>
        <w:rPr>
          <w:rFonts w:hint="eastAsia"/>
          <w:lang w:eastAsia="zh-CN"/>
        </w:rPr>
        <w:t>、</w:t>
      </w:r>
      <w:r>
        <w:rPr>
          <w:rFonts w:hint="eastAsia"/>
        </w:rPr>
        <w:t>餐厨垃圾</w:t>
      </w:r>
      <w:r>
        <w:rPr>
          <w:rFonts w:hint="eastAsia"/>
          <w:lang w:eastAsia="zh-CN"/>
        </w:rPr>
        <w:t>，其中电煅炉布袋除尘器除尘下灰、脱硫石膏外售作建材，废原料包装袋外售综合利用，</w:t>
      </w:r>
      <w:r>
        <w:rPr>
          <w:rFonts w:hint="eastAsia"/>
        </w:rPr>
        <w:t>隔油池废油</w:t>
      </w:r>
      <w:r>
        <w:rPr>
          <w:rFonts w:hint="eastAsia"/>
          <w:lang w:eastAsia="zh-CN"/>
        </w:rPr>
        <w:t>委托处理，</w:t>
      </w:r>
      <w:r>
        <w:rPr>
          <w:rFonts w:hint="eastAsia"/>
        </w:rPr>
        <w:t>生活垃圾</w:t>
      </w:r>
      <w:r>
        <w:rPr>
          <w:rFonts w:hint="eastAsia"/>
          <w:vertAlign w:val="baseline"/>
          <w:lang w:val="en-US" w:eastAsia="zh-CN"/>
        </w:rPr>
        <w:t>环卫托运，</w:t>
      </w:r>
      <w:r>
        <w:rPr>
          <w:rFonts w:hint="eastAsia"/>
        </w:rPr>
        <w:t>餐厨垃圾</w:t>
      </w:r>
      <w:r>
        <w:rPr>
          <w:rFonts w:hint="eastAsia" w:ascii="Times New Roman" w:hAnsi="Times New Roman" w:eastAsia="宋体"/>
          <w:szCs w:val="21"/>
        </w:rPr>
        <w:t>由专门公司进行收集处理</w:t>
      </w:r>
      <w:r>
        <w:rPr>
          <w:rFonts w:hint="eastAsia"/>
          <w:lang w:eastAsia="zh-CN"/>
        </w:rPr>
        <w:t>。</w:t>
      </w:r>
    </w:p>
    <w:p>
      <w:pPr>
        <w:bidi w:val="0"/>
        <w:ind w:left="0" w:leftChars="0" w:firstLine="420" w:firstLineChars="0"/>
      </w:pPr>
      <w:r>
        <w:rPr>
          <w:rFonts w:hint="eastAsia"/>
          <w:lang w:eastAsia="zh-CN"/>
        </w:rPr>
        <w:t>电煅炉布袋除尘器除尘下灰</w:t>
      </w:r>
      <w:r>
        <w:t>主要成分为碳，少量的灰分，不含重金属物质和其他有机物，不具有危险特性，属于一般工业固废。但是成分不能满足高品质增碳剂产品质量标准，外售作</w:t>
      </w:r>
      <w:r>
        <w:rPr>
          <w:rFonts w:hint="eastAsia"/>
          <w:lang w:eastAsia="zh-CN"/>
        </w:rPr>
        <w:t>建材使用</w:t>
      </w:r>
      <w:r>
        <w:t>。</w:t>
      </w:r>
    </w:p>
    <w:p>
      <w:pPr>
        <w:bidi w:val="0"/>
        <w:ind w:left="0" w:leftChars="0" w:firstLine="420" w:firstLineChars="0"/>
      </w:pPr>
      <w:r>
        <w:t>脱硫产生的石膏中不含有机物和其他有害物质，主要成分是硫酸钙、氧化钙等，可外售作为水泥生产原料。</w:t>
      </w:r>
    </w:p>
    <w:p>
      <w:pPr>
        <w:bidi w:val="0"/>
        <w:rPr>
          <w:rFonts w:hint="eastAsia" w:eastAsia="宋体"/>
          <w:lang w:eastAsia="zh-CN"/>
        </w:rPr>
      </w:pPr>
      <w:r>
        <w:t>项目</w:t>
      </w:r>
      <w:r>
        <w:rPr>
          <w:rFonts w:hint="eastAsia"/>
          <w:lang w:eastAsia="zh-CN"/>
        </w:rPr>
        <w:t>运营</w:t>
      </w:r>
      <w:r>
        <w:t>过程中产生的</w:t>
      </w:r>
      <w:r>
        <w:rPr>
          <w:rFonts w:hint="eastAsia"/>
          <w:lang w:eastAsia="zh-CN"/>
        </w:rPr>
        <w:t>危险废物为废树脂、化验室废液和废试剂瓶，委托资质单位进行处理。</w:t>
      </w:r>
    </w:p>
    <w:p>
      <w:pPr>
        <w:bidi w:val="0"/>
      </w:pPr>
      <w:r>
        <w:t>生活垃圾由环卫部门统一收集清运。</w:t>
      </w:r>
    </w:p>
    <w:p>
      <w:pPr>
        <w:bidi w:val="0"/>
        <w:rPr>
          <w:rFonts w:hint="eastAsia" w:eastAsia="宋体"/>
          <w:lang w:eastAsia="zh-CN"/>
        </w:rPr>
      </w:pPr>
      <w:r>
        <w:rPr>
          <w:rFonts w:hint="eastAsia"/>
          <w:lang w:eastAsia="zh-CN"/>
        </w:rPr>
        <w:t>项目产生的固废均得到妥善处置，不会对周边环境产生不良影响。</w:t>
      </w:r>
    </w:p>
    <w:p>
      <w:pPr>
        <w:pStyle w:val="5"/>
        <w:bidi w:val="0"/>
      </w:pPr>
      <w:bookmarkStart w:id="172" w:name="_Toc9737_WPSOffice_Level2"/>
      <w:r>
        <w:rPr>
          <w:rFonts w:hint="eastAsia"/>
          <w:lang w:val="en-US" w:eastAsia="zh-CN"/>
        </w:rPr>
        <w:t>6.6.2</w:t>
      </w:r>
      <w:r>
        <w:t xml:space="preserve"> 固废暂存情况</w:t>
      </w:r>
      <w:bookmarkEnd w:id="172"/>
    </w:p>
    <w:p>
      <w:pPr>
        <w:bidi w:val="0"/>
        <w:rPr>
          <w:rFonts w:hint="default" w:eastAsia="宋体"/>
          <w:lang w:val="en-US" w:eastAsia="zh-CN"/>
        </w:rPr>
      </w:pPr>
      <w:r>
        <w:rPr>
          <w:rFonts w:hint="eastAsia"/>
        </w:rPr>
        <w:t>根据固废性质</w:t>
      </w:r>
      <w:r>
        <w:rPr>
          <w:rFonts w:hint="eastAsia"/>
          <w:lang w:eastAsia="zh-CN"/>
        </w:rPr>
        <w:t>，本项目的固体废物分为一般工业固体废物和危险废物，在厂区北侧设置一般固废暂存间和危险废物暂存间</w:t>
      </w:r>
      <w:r>
        <w:rPr>
          <w:rFonts w:hint="eastAsia"/>
        </w:rPr>
        <w:t>，</w:t>
      </w:r>
      <w:r>
        <w:rPr>
          <w:rFonts w:hint="eastAsia"/>
          <w:lang w:eastAsia="zh-CN"/>
        </w:rPr>
        <w:t>面积分别为</w:t>
      </w:r>
      <w:r>
        <w:rPr>
          <w:rFonts w:hint="eastAsia"/>
          <w:lang w:val="en-US" w:eastAsia="zh-CN"/>
        </w:rPr>
        <w:t>100</w:t>
      </w:r>
      <w:r>
        <w:rPr>
          <w:rFonts w:hint="eastAsia"/>
        </w:rPr>
        <w:t>m</w:t>
      </w:r>
      <w:r>
        <w:rPr>
          <w:rFonts w:hint="eastAsia"/>
          <w:vertAlign w:val="superscript"/>
        </w:rPr>
        <w:t>2</w:t>
      </w:r>
      <w:r>
        <w:rPr>
          <w:rFonts w:hint="eastAsia"/>
          <w:lang w:eastAsia="zh-CN"/>
        </w:rPr>
        <w:t>、</w:t>
      </w:r>
      <w:r>
        <w:rPr>
          <w:rFonts w:hint="eastAsia"/>
          <w:lang w:val="en-US" w:eastAsia="zh-CN"/>
        </w:rPr>
        <w:t>80</w:t>
      </w:r>
      <w:r>
        <w:rPr>
          <w:rFonts w:hint="eastAsia"/>
        </w:rPr>
        <w:t>m</w:t>
      </w:r>
      <w:r>
        <w:rPr>
          <w:rFonts w:hint="eastAsia"/>
          <w:vertAlign w:val="superscript"/>
        </w:rPr>
        <w:t>2</w:t>
      </w:r>
      <w:r>
        <w:rPr>
          <w:rFonts w:hint="eastAsia"/>
          <w:lang w:eastAsia="zh-CN"/>
        </w:rPr>
        <w:t>。建设垃圾转运站</w:t>
      </w:r>
      <w:r>
        <w:rPr>
          <w:rFonts w:hint="eastAsia"/>
          <w:lang w:val="en-US" w:eastAsia="zh-CN"/>
        </w:rPr>
        <w:t>56</w:t>
      </w:r>
      <w:r>
        <w:rPr>
          <w:rFonts w:hint="eastAsia"/>
        </w:rPr>
        <w:t>m</w:t>
      </w:r>
      <w:r>
        <w:rPr>
          <w:rFonts w:hint="eastAsia"/>
          <w:vertAlign w:val="superscript"/>
        </w:rPr>
        <w:t>2</w:t>
      </w:r>
      <w:r>
        <w:rPr>
          <w:rFonts w:hint="eastAsia"/>
          <w:lang w:eastAsia="zh-CN"/>
        </w:rPr>
        <w:t>。</w:t>
      </w:r>
    </w:p>
    <w:p>
      <w:pPr>
        <w:bidi w:val="0"/>
        <w:rPr>
          <w:rFonts w:hint="eastAsia"/>
          <w:lang w:eastAsia="zh-CN"/>
        </w:rPr>
      </w:pPr>
      <w:r>
        <w:t>根据《一般工业固废废物贮存、处置场污染防治措施》（GB18599-2001）及其修改单</w:t>
      </w:r>
      <w:r>
        <w:rPr>
          <w:rFonts w:hint="eastAsia"/>
          <w:lang w:eastAsia="zh-CN"/>
        </w:rPr>
        <w:t>的要求建设一般固废暂存间</w:t>
      </w:r>
      <w:r>
        <w:t>，暂存库设有防风、防雨等措施，地基基础按工程设计要求建设，</w:t>
      </w:r>
      <w:r>
        <w:rPr>
          <w:rFonts w:hint="eastAsia"/>
          <w:lang w:eastAsia="zh-CN"/>
        </w:rPr>
        <w:t>用于贮存电煅炉布袋除尘器除尘下灰、废原料包装袋，产生量为</w:t>
      </w:r>
      <w:r>
        <w:rPr>
          <w:rFonts w:hint="eastAsia"/>
          <w:lang w:val="en-US" w:eastAsia="zh-CN"/>
        </w:rPr>
        <w:t>378.32t/a</w:t>
      </w:r>
      <w:r>
        <w:t>。</w:t>
      </w:r>
      <w:r>
        <w:rPr>
          <w:rFonts w:hint="eastAsia"/>
          <w:lang w:eastAsia="zh-CN"/>
        </w:rPr>
        <w:t>一般固废暂存间贮存能力为</w:t>
      </w:r>
      <w:r>
        <w:rPr>
          <w:rFonts w:hint="eastAsia"/>
          <w:lang w:val="en-US" w:eastAsia="zh-CN"/>
        </w:rPr>
        <w:t>200t/a，因此</w:t>
      </w:r>
      <w:r>
        <w:rPr>
          <w:rFonts w:hint="eastAsia"/>
          <w:lang w:eastAsia="zh-CN"/>
        </w:rPr>
        <w:t>电煅炉布袋除尘器除尘下灰、废原料包装袋应定期外运。</w:t>
      </w:r>
    </w:p>
    <w:p>
      <w:pPr>
        <w:bidi w:val="0"/>
        <w:rPr>
          <w:rFonts w:hint="eastAsia" w:eastAsia="宋体"/>
          <w:lang w:val="en-US" w:eastAsia="zh-CN"/>
        </w:rPr>
      </w:pPr>
      <w:r>
        <w:rPr>
          <w:rFonts w:hint="eastAsia"/>
          <w:lang w:eastAsia="zh-CN"/>
        </w:rPr>
        <w:t>根据《危险废物贮存污染控制标准》（</w:t>
      </w:r>
      <w:r>
        <w:rPr>
          <w:rFonts w:hint="eastAsia"/>
          <w:lang w:val="en-US" w:eastAsia="zh-CN"/>
        </w:rPr>
        <w:t>GB18597-2001</w:t>
      </w:r>
      <w:r>
        <w:rPr>
          <w:rFonts w:hint="eastAsia"/>
          <w:lang w:eastAsia="zh-CN"/>
        </w:rPr>
        <w:t>）及其修改单的要求进行建设，危险废物暂存间面积</w:t>
      </w:r>
      <w:r>
        <w:rPr>
          <w:rFonts w:hint="eastAsia"/>
          <w:lang w:val="en-US" w:eastAsia="zh-CN"/>
        </w:rPr>
        <w:t>80</w:t>
      </w:r>
      <w:r>
        <w:rPr>
          <w:rFonts w:hint="eastAsia"/>
        </w:rPr>
        <w:t>m</w:t>
      </w:r>
      <w:r>
        <w:rPr>
          <w:rFonts w:hint="eastAsia"/>
          <w:vertAlign w:val="superscript"/>
        </w:rPr>
        <w:t>2</w:t>
      </w:r>
      <w:r>
        <w:rPr>
          <w:rFonts w:hint="eastAsia"/>
          <w:vertAlign w:val="baseline"/>
          <w:lang w:eastAsia="zh-CN"/>
        </w:rPr>
        <w:t>，贮存能力为</w:t>
      </w:r>
      <w:r>
        <w:rPr>
          <w:rFonts w:hint="eastAsia"/>
          <w:vertAlign w:val="baseline"/>
          <w:lang w:val="en-US" w:eastAsia="zh-CN"/>
        </w:rPr>
        <w:t>160</w:t>
      </w:r>
      <w:r>
        <w:rPr>
          <w:rFonts w:hint="eastAsia"/>
          <w:lang w:val="en-US" w:eastAsia="zh-CN"/>
        </w:rPr>
        <w:t>t/a，</w:t>
      </w:r>
      <w:r>
        <w:rPr>
          <w:rFonts w:hint="eastAsia"/>
          <w:vertAlign w:val="baseline"/>
          <w:lang w:eastAsia="zh-CN"/>
        </w:rPr>
        <w:t>危险废物产生量为</w:t>
      </w:r>
      <w:r>
        <w:rPr>
          <w:rFonts w:hint="eastAsia"/>
          <w:vertAlign w:val="baseline"/>
          <w:lang w:val="en-US" w:eastAsia="zh-CN"/>
        </w:rPr>
        <w:t>5.8t/a，因此危险废物暂存间有足够的贮存能力</w:t>
      </w:r>
      <w:r>
        <w:rPr>
          <w:rFonts w:hint="eastAsia"/>
          <w:lang w:eastAsia="zh-CN"/>
        </w:rPr>
        <w:t>。</w:t>
      </w:r>
    </w:p>
    <w:p>
      <w:pPr>
        <w:bidi w:val="0"/>
      </w:pPr>
      <w:r>
        <w:t>石膏暂存于石膏池内，该池面积</w:t>
      </w:r>
      <w:r>
        <w:rPr>
          <w:rFonts w:hint="eastAsia"/>
          <w:lang w:val="en-US" w:eastAsia="zh-CN"/>
        </w:rPr>
        <w:t>10</w:t>
      </w:r>
      <w:r>
        <w:t>0m</w:t>
      </w:r>
      <w:r>
        <w:rPr>
          <w:vertAlign w:val="superscript"/>
        </w:rPr>
        <w:t>2</w:t>
      </w:r>
      <w:r>
        <w:t>，高出地面1m，可堆放</w:t>
      </w:r>
      <w:r>
        <w:rPr>
          <w:rFonts w:hint="eastAsia"/>
          <w:lang w:val="en-US" w:eastAsia="zh-CN"/>
        </w:rPr>
        <w:t>15</w:t>
      </w:r>
      <w:r>
        <w:t>0m</w:t>
      </w:r>
      <w:r>
        <w:rPr>
          <w:vertAlign w:val="superscript"/>
        </w:rPr>
        <w:t>3</w:t>
      </w:r>
      <w:r>
        <w:t>石膏，最大存放量</w:t>
      </w:r>
      <w:r>
        <w:rPr>
          <w:rFonts w:hint="eastAsia"/>
          <w:lang w:val="en-US" w:eastAsia="zh-CN"/>
        </w:rPr>
        <w:t>135</w:t>
      </w:r>
      <w:r>
        <w:t>吨，满负荷生产情况下可存放</w:t>
      </w:r>
      <w:r>
        <w:rPr>
          <w:rFonts w:hint="eastAsia"/>
          <w:lang w:val="en-US" w:eastAsia="zh-CN"/>
        </w:rPr>
        <w:t>35</w:t>
      </w:r>
      <w:r>
        <w:t>天的石膏产生量。本项目建成后，石膏每</w:t>
      </w:r>
      <w:r>
        <w:rPr>
          <w:rFonts w:hint="eastAsia"/>
          <w:lang w:eastAsia="zh-CN"/>
        </w:rPr>
        <w:t>月</w:t>
      </w:r>
      <w:r>
        <w:t>收集外运</w:t>
      </w:r>
      <w:r>
        <w:rPr>
          <w:rFonts w:hint="eastAsia"/>
          <w:lang w:val="en-US" w:eastAsia="zh-CN"/>
        </w:rPr>
        <w:t>1</w:t>
      </w:r>
      <w:r>
        <w:t>次，因此能够满足项目使用要求。石膏池浇筑采用P6抗渗混凝土，防渗层厚度应满足相当于渗透系数10</w:t>
      </w:r>
      <w:r>
        <w:rPr>
          <w:vertAlign w:val="superscript"/>
        </w:rPr>
        <w:t>-7</w:t>
      </w:r>
      <w:r>
        <w:t>cm/s和厚1.5m粘土层的防渗性能的要求。石膏池设有三面围挡措施，以防止扬尘影响。</w:t>
      </w:r>
    </w:p>
    <w:p>
      <w:pPr>
        <w:pStyle w:val="4"/>
        <w:bidi w:val="0"/>
      </w:pPr>
      <w:bookmarkStart w:id="173" w:name="_Toc527487017"/>
      <w:bookmarkStart w:id="174" w:name="_Toc5844_WPSOffice_Level1"/>
      <w:bookmarkStart w:id="175" w:name="_Toc527394283"/>
      <w:bookmarkStart w:id="176" w:name="_Toc8267"/>
      <w:r>
        <w:rPr>
          <w:rFonts w:hint="eastAsia"/>
          <w:lang w:val="en-US" w:eastAsia="zh-CN"/>
        </w:rPr>
        <w:t>6.7</w:t>
      </w:r>
      <w:r>
        <w:t>生态保护措施</w:t>
      </w:r>
      <w:bookmarkEnd w:id="173"/>
      <w:bookmarkEnd w:id="174"/>
      <w:bookmarkEnd w:id="175"/>
      <w:bookmarkEnd w:id="176"/>
    </w:p>
    <w:p>
      <w:pPr>
        <w:bidi w:val="0"/>
      </w:pPr>
      <w:r>
        <w:t>开发建设项目的生态环境保护措施须从生态环境特点及其保护要求考虑，主要采取保护途径有以下内容：</w:t>
      </w:r>
    </w:p>
    <w:p>
      <w:pPr>
        <w:pStyle w:val="5"/>
        <w:bidi w:val="0"/>
      </w:pPr>
      <w:bookmarkStart w:id="177" w:name="_Toc1628_WPSOffice_Level2"/>
      <w:bookmarkStart w:id="178" w:name="_Toc527487018"/>
      <w:bookmarkStart w:id="179" w:name="_Toc527394284"/>
      <w:r>
        <w:rPr>
          <w:rFonts w:hint="eastAsia"/>
          <w:lang w:val="en-US" w:eastAsia="zh-CN"/>
        </w:rPr>
        <w:t>6.</w:t>
      </w:r>
      <w:r>
        <w:t>7.1 生态影响的预防措施</w:t>
      </w:r>
      <w:bookmarkEnd w:id="177"/>
      <w:bookmarkEnd w:id="178"/>
      <w:bookmarkEnd w:id="179"/>
    </w:p>
    <w:p>
      <w:pPr>
        <w:bidi w:val="0"/>
      </w:pPr>
      <w:r>
        <w:rPr>
          <w:rFonts w:hint="eastAsia"/>
        </w:rPr>
        <w:t>⑴</w:t>
      </w:r>
      <w:r>
        <w:t xml:space="preserve"> 生态影响的避免</w:t>
      </w:r>
    </w:p>
    <w:p>
      <w:pPr>
        <w:bidi w:val="0"/>
      </w:pPr>
      <w:r>
        <w:t>本工程需注意的是施工过程中尽可能减少土地开挖，施工过程中注意文明施工，施工产生的土方妥善堆存，防止水土流失，减少占压土地。</w:t>
      </w:r>
    </w:p>
    <w:p>
      <w:pPr>
        <w:bidi w:val="0"/>
      </w:pPr>
      <w:r>
        <w:t>建筑物基础开挖施工，在安排施工计划前，注意施工开挖尽量避免在雨季，减少水土流失，同时避免春季开挖，减少扬尘影响；</w:t>
      </w:r>
    </w:p>
    <w:p>
      <w:pPr>
        <w:bidi w:val="0"/>
      </w:pPr>
      <w:r>
        <w:rPr>
          <w:rFonts w:hint="eastAsia"/>
        </w:rPr>
        <w:t>⑵</w:t>
      </w:r>
      <w:r>
        <w:t xml:space="preserve"> 生态影响的消减</w:t>
      </w:r>
    </w:p>
    <w:p>
      <w:pPr>
        <w:bidi w:val="0"/>
      </w:pPr>
      <w:r>
        <w:t>标桩划界，标明施工活动区，禁止施工人员进入非施工占用地区域，严令禁止到非施工区活动。</w:t>
      </w:r>
    </w:p>
    <w:p>
      <w:pPr>
        <w:bidi w:val="0"/>
      </w:pPr>
      <w:r>
        <w:rPr>
          <w:rFonts w:hint="eastAsia"/>
        </w:rPr>
        <w:t>⑶</w:t>
      </w:r>
      <w:r>
        <w:t xml:space="preserve"> 水土保持措施</w:t>
      </w:r>
    </w:p>
    <w:p>
      <w:pPr>
        <w:bidi w:val="0"/>
      </w:pPr>
      <w:r>
        <w:t>水土保持措施的建立应依据发布的有关加强水土保持的法律、法规及相关标准和技术规范进行。应考虑安全可行，尽量减少占地。具体建议如下：</w:t>
      </w:r>
    </w:p>
    <w:p>
      <w:pPr>
        <w:bidi w:val="0"/>
      </w:pPr>
      <w:r>
        <w:rPr>
          <w:rFonts w:hint="eastAsia"/>
        </w:rPr>
        <w:t>①</w:t>
      </w:r>
      <w:r>
        <w:t xml:space="preserve"> 雨季施工时，应备有工程工布覆盖，防止汛期造成水土大量流失，平时尽量保持表面平整，减少雨水冲刷。</w:t>
      </w:r>
    </w:p>
    <w:p>
      <w:pPr>
        <w:bidi w:val="0"/>
      </w:pPr>
      <w:r>
        <w:rPr>
          <w:rFonts w:hint="eastAsia"/>
        </w:rPr>
        <w:t>②</w:t>
      </w:r>
      <w:r>
        <w:t xml:space="preserve"> 保持排水系统畅通。</w:t>
      </w:r>
    </w:p>
    <w:p>
      <w:pPr>
        <w:bidi w:val="0"/>
      </w:pPr>
      <w:r>
        <w:rPr>
          <w:rFonts w:hint="eastAsia"/>
        </w:rPr>
        <w:t>③</w:t>
      </w:r>
      <w:r>
        <w:t xml:space="preserve"> 加强生态绿化，在“适地适树”的原则上，既要提高绿化的档次，又要考虑总造价的平衡，力求低投入，高效果，乔、灌、草、地被有机结合，丰富绿化层次和景观内容。绿化上选择能代表区域特色的植物，形式布置上充分考虑层次感。项目建设完成后要对水土保持工程及绿化设施进行经常性的维护保养。</w:t>
      </w:r>
    </w:p>
    <w:p>
      <w:pPr>
        <w:bidi w:val="0"/>
      </w:pPr>
      <w:r>
        <w:t>上述措施的确定需要建设方提供详细的施工方案和运行方式，才能更具有针对性，才能将生态影响消减到合理程度。</w:t>
      </w:r>
    </w:p>
    <w:p>
      <w:pPr>
        <w:pStyle w:val="5"/>
        <w:bidi w:val="0"/>
      </w:pPr>
      <w:bookmarkStart w:id="180" w:name="_Toc527487019"/>
      <w:bookmarkStart w:id="181" w:name="_Toc527394285"/>
      <w:bookmarkStart w:id="182" w:name="_Toc26919_WPSOffice_Level2"/>
      <w:r>
        <w:rPr>
          <w:rFonts w:hint="eastAsia"/>
          <w:lang w:val="en-US" w:eastAsia="zh-CN"/>
        </w:rPr>
        <w:t>6.7.2</w:t>
      </w:r>
      <w:r>
        <w:t>生态影响的恢复措施</w:t>
      </w:r>
      <w:bookmarkEnd w:id="180"/>
      <w:bookmarkEnd w:id="181"/>
      <w:bookmarkEnd w:id="182"/>
    </w:p>
    <w:p>
      <w:pPr>
        <w:bidi w:val="0"/>
      </w:pPr>
      <w:r>
        <w:t>生态恢复是相对于生态破坏而言的，生态破坏可以理解为生态体系的结构发生变化、功能退化或丧失。生态恢复是指恢复系统的合理结构、高效的功能和协调关系。本项目生态恢复的内容有：</w:t>
      </w:r>
    </w:p>
    <w:p>
      <w:pPr>
        <w:bidi w:val="0"/>
      </w:pPr>
      <w:r>
        <w:rPr>
          <w:rFonts w:hint="eastAsia"/>
        </w:rPr>
        <w:t>⑴</w:t>
      </w:r>
      <w:r>
        <w:t xml:space="preserve"> 落实绿化规划中的绿化指标，在道路两侧、车间周围等种植行道树绿化和景观树绿化。在绿化宽度内种植树木和地被绿化，并大面积种植草坪进行环境保护。</w:t>
      </w:r>
    </w:p>
    <w:p>
      <w:pPr>
        <w:bidi w:val="0"/>
      </w:pPr>
      <w:r>
        <w:rPr>
          <w:rFonts w:hint="eastAsia"/>
        </w:rPr>
        <w:t>⑵</w:t>
      </w:r>
      <w:r>
        <w:t>对区域内裸露地表进行绿化处理，消除地表裸露。</w:t>
      </w:r>
    </w:p>
    <w:p>
      <w:pPr>
        <w:pStyle w:val="4"/>
        <w:bidi w:val="0"/>
      </w:pPr>
      <w:bookmarkStart w:id="183" w:name="_Toc8141_WPSOffice_Level1"/>
      <w:bookmarkStart w:id="184" w:name="_Toc527487020"/>
      <w:bookmarkStart w:id="185" w:name="_Toc527394286"/>
      <w:bookmarkStart w:id="186" w:name="_Toc945"/>
      <w:r>
        <w:rPr>
          <w:rFonts w:hint="eastAsia"/>
          <w:lang w:val="en-US" w:eastAsia="zh-CN"/>
        </w:rPr>
        <w:t>6.</w:t>
      </w:r>
      <w:r>
        <w:t>8 施工期污染防治对策</w:t>
      </w:r>
      <w:bookmarkEnd w:id="183"/>
      <w:bookmarkEnd w:id="184"/>
      <w:bookmarkEnd w:id="185"/>
      <w:bookmarkEnd w:id="186"/>
    </w:p>
    <w:p>
      <w:pPr>
        <w:pStyle w:val="5"/>
        <w:bidi w:val="0"/>
      </w:pPr>
      <w:bookmarkStart w:id="187" w:name="_Toc17719_WPSOffice_Level2"/>
      <w:bookmarkStart w:id="188" w:name="_Toc527487021"/>
      <w:bookmarkStart w:id="189" w:name="_Toc527394287"/>
      <w:r>
        <w:rPr>
          <w:rFonts w:hint="eastAsia"/>
          <w:lang w:val="en-US" w:eastAsia="zh-CN"/>
        </w:rPr>
        <w:t>6.</w:t>
      </w:r>
      <w:r>
        <w:t>8.1 大气污染防治对策</w:t>
      </w:r>
      <w:bookmarkEnd w:id="187"/>
      <w:bookmarkEnd w:id="188"/>
      <w:bookmarkEnd w:id="189"/>
    </w:p>
    <w:p>
      <w:pPr>
        <w:bidi w:val="0"/>
      </w:pPr>
      <w:r>
        <w:t>采取合理可行的控制措施，可减轻扬尘的污染程度，缩小影响范围。主要措施对策有：</w:t>
      </w:r>
    </w:p>
    <w:p>
      <w:pPr>
        <w:bidi w:val="0"/>
      </w:pPr>
      <w:r>
        <w:rPr>
          <w:rFonts w:hint="eastAsia"/>
        </w:rPr>
        <w:t>⑴</w:t>
      </w:r>
      <w:r>
        <w:t xml:space="preserve"> 施工现场实行合理化管理，少量的砂、石料应统一堆放、保存，以尽可能减少堆场数量，并加棚布等覆盖；白灰等粉状材料运输应袋装或罐装，禁止散装，应设专门的库房堆放，并具备可靠的预防扬尘措施，尽量减少搬运环节并尽可能使用预制混凝土。</w:t>
      </w:r>
    </w:p>
    <w:p>
      <w:pPr>
        <w:bidi w:val="0"/>
      </w:pPr>
      <w:r>
        <w:rPr>
          <w:rFonts w:hint="eastAsia"/>
        </w:rPr>
        <w:t>⑵</w:t>
      </w:r>
      <w:r>
        <w:t xml:space="preserve"> 挖掘前，对作业面和土堆适当喷水，使其保持一定的湿度减少扬尘。及时清运开挖的土方与建筑垃圾，以防因长期堆放而表面干燥起尘。</w:t>
      </w:r>
    </w:p>
    <w:p>
      <w:pPr>
        <w:bidi w:val="0"/>
      </w:pPr>
      <w:r>
        <w:rPr>
          <w:rFonts w:hint="eastAsia"/>
        </w:rPr>
        <w:t>⑶</w:t>
      </w:r>
      <w:r>
        <w:t xml:space="preserve"> 减少运输过程的扬尘，谨防运输车辆装载过满，不得超出车厢板高度，并采取遮盖、密闭措施减少沿途抛洒、散落，并及时清扫散落在路面上的泥土和建筑材料，定期冲洗轮胎，车辆不得带泥、沙出施工场地。</w:t>
      </w:r>
    </w:p>
    <w:p>
      <w:pPr>
        <w:bidi w:val="0"/>
      </w:pPr>
      <w:r>
        <w:rPr>
          <w:rFonts w:hint="eastAsia"/>
        </w:rPr>
        <w:t>⑷</w:t>
      </w:r>
      <w:r>
        <w:t xml:space="preserve"> 施工现场进行围栏或部分围栏，缩小施工扬尘扩散范围。</w:t>
      </w:r>
    </w:p>
    <w:p>
      <w:pPr>
        <w:bidi w:val="0"/>
      </w:pPr>
      <w:r>
        <w:rPr>
          <w:rFonts w:hint="eastAsia"/>
        </w:rPr>
        <w:t>⑸</w:t>
      </w:r>
      <w:r>
        <w:t xml:space="preserve"> 当出现风速过大等不利天气状况时应停止施工作业，并对堆存的建筑材料进行遮盖。</w:t>
      </w:r>
    </w:p>
    <w:p>
      <w:pPr>
        <w:bidi w:val="0"/>
      </w:pPr>
      <w:r>
        <w:t>通过以上措施，可基本防止施工中粉尘污染，不会对区域空气质量造成明显影响。</w:t>
      </w:r>
    </w:p>
    <w:p>
      <w:pPr>
        <w:pStyle w:val="5"/>
        <w:bidi w:val="0"/>
      </w:pPr>
      <w:bookmarkStart w:id="190" w:name="_Toc527394288"/>
      <w:bookmarkStart w:id="191" w:name="_Toc527487022"/>
      <w:bookmarkStart w:id="192" w:name="_Toc1431_WPSOffice_Level2"/>
      <w:r>
        <w:rPr>
          <w:rFonts w:hint="eastAsia"/>
          <w:lang w:val="en-US" w:eastAsia="zh-CN"/>
        </w:rPr>
        <w:t>6.</w:t>
      </w:r>
      <w:r>
        <w:t>8.2 水污染防治对策</w:t>
      </w:r>
      <w:bookmarkEnd w:id="190"/>
      <w:bookmarkEnd w:id="191"/>
      <w:bookmarkEnd w:id="192"/>
    </w:p>
    <w:p>
      <w:pPr>
        <w:bidi w:val="0"/>
      </w:pPr>
      <w:r>
        <w:t>施工废水经隔油、沉淀后循环利用；施工场地拟设置临时厕所，生活污水经化粪池处理后</w:t>
      </w:r>
      <w:r>
        <w:rPr>
          <w:rFonts w:hint="eastAsia"/>
          <w:lang w:eastAsia="zh-CN"/>
        </w:rPr>
        <w:t>由附近村民外运作农肥</w:t>
      </w:r>
      <w:r>
        <w:t>，对环境影响较小。</w:t>
      </w:r>
    </w:p>
    <w:p>
      <w:pPr>
        <w:pStyle w:val="5"/>
        <w:bidi w:val="0"/>
      </w:pPr>
      <w:bookmarkStart w:id="193" w:name="_Toc19596_WPSOffice_Level2"/>
      <w:bookmarkStart w:id="194" w:name="_Toc527394289"/>
      <w:bookmarkStart w:id="195" w:name="_Toc527487023"/>
      <w:r>
        <w:rPr>
          <w:rFonts w:hint="eastAsia"/>
          <w:lang w:val="en-US" w:eastAsia="zh-CN"/>
        </w:rPr>
        <w:t>6.</w:t>
      </w:r>
      <w:r>
        <w:t>8.3 噪声污染防治对策</w:t>
      </w:r>
      <w:bookmarkEnd w:id="193"/>
      <w:bookmarkEnd w:id="194"/>
      <w:bookmarkEnd w:id="195"/>
    </w:p>
    <w:p>
      <w:pPr>
        <w:bidi w:val="0"/>
      </w:pPr>
      <w:r>
        <w:t>为减轻施工噪声对环境影响，建议采取以下措施：</w:t>
      </w:r>
    </w:p>
    <w:p>
      <w:pPr>
        <w:bidi w:val="0"/>
      </w:pPr>
      <w:r>
        <w:rPr>
          <w:rFonts w:hint="eastAsia"/>
        </w:rPr>
        <w:t>⑴</w:t>
      </w:r>
      <w:r>
        <w:t xml:space="preserve"> 合理安排施工进度和作业时间，对主要噪声设备应采取相应的限时作业，尽量避免夜间使用强噪声设备施工。</w:t>
      </w:r>
    </w:p>
    <w:p>
      <w:pPr>
        <w:bidi w:val="0"/>
      </w:pPr>
      <w:r>
        <w:rPr>
          <w:rFonts w:hint="eastAsia"/>
        </w:rPr>
        <w:t>⑵</w:t>
      </w:r>
      <w:r>
        <w:t xml:space="preserve"> 合理安排施工机械安放位置，尽可能放置于场地中间及对场界外造成影响最小的地点。</w:t>
      </w:r>
    </w:p>
    <w:p>
      <w:pPr>
        <w:bidi w:val="0"/>
      </w:pPr>
      <w:r>
        <w:rPr>
          <w:rFonts w:hint="eastAsia"/>
        </w:rPr>
        <w:t>⑶</w:t>
      </w:r>
      <w:r>
        <w:t xml:space="preserve"> 优先选用低噪声设备，对高噪声设备采取隔声、隔震或消声措施，如在高噪声设备周围设置掩蔽物、加隔震垫、安装消声器等。</w:t>
      </w:r>
    </w:p>
    <w:p>
      <w:pPr>
        <w:bidi w:val="0"/>
      </w:pPr>
      <w:r>
        <w:fldChar w:fldCharType="begin"/>
      </w:r>
      <w:r>
        <w:instrText xml:space="preserve"> = 4 \* GB2 </w:instrText>
      </w:r>
      <w:r>
        <w:fldChar w:fldCharType="separate"/>
      </w:r>
      <w:r>
        <w:rPr>
          <w:rFonts w:hint="eastAsia"/>
        </w:rPr>
        <w:t>⑷</w:t>
      </w:r>
      <w:r>
        <w:fldChar w:fldCharType="end"/>
      </w:r>
      <w:r>
        <w:t xml:space="preserve"> 压缩工区汽车数量和行车密度，控制汽车鸣笛。</w:t>
      </w:r>
    </w:p>
    <w:p>
      <w:pPr>
        <w:pStyle w:val="5"/>
        <w:bidi w:val="0"/>
      </w:pPr>
      <w:bookmarkStart w:id="196" w:name="_Toc527394290"/>
      <w:bookmarkStart w:id="197" w:name="_Toc527487024"/>
      <w:bookmarkStart w:id="198" w:name="_Toc20889_WPSOffice_Level2"/>
      <w:r>
        <w:rPr>
          <w:rFonts w:hint="eastAsia"/>
          <w:lang w:val="en-US" w:eastAsia="zh-CN"/>
        </w:rPr>
        <w:t>6.</w:t>
      </w:r>
      <w:r>
        <w:t>8.4 固废防治对策</w:t>
      </w:r>
      <w:bookmarkEnd w:id="196"/>
      <w:bookmarkEnd w:id="197"/>
      <w:bookmarkEnd w:id="198"/>
    </w:p>
    <w:p>
      <w:pPr>
        <w:bidi w:val="0"/>
      </w:pPr>
      <w:r>
        <w:t>建筑垃圾及时清运进行填埋或加以回收利用。</w:t>
      </w:r>
    </w:p>
    <w:p>
      <w:pPr>
        <w:bidi w:val="0"/>
      </w:pPr>
      <w:r>
        <w:t>少量生活垃圾及时清运处理，做到日产日清，尽早进行卫生填埋处理，防止腐烂变质，孳生蚊虫苍蝇，产生恶臭，传染疾病。</w:t>
      </w:r>
    </w:p>
    <w:p>
      <w:pPr>
        <w:pStyle w:val="4"/>
        <w:bidi w:val="0"/>
      </w:pPr>
      <w:bookmarkStart w:id="199" w:name="_Toc527487025"/>
      <w:bookmarkStart w:id="200" w:name="_Toc527394291"/>
      <w:bookmarkStart w:id="201" w:name="_Toc7712_WPSOffice_Level1"/>
      <w:bookmarkStart w:id="202" w:name="_Toc27790"/>
      <w:r>
        <w:rPr>
          <w:rFonts w:hint="eastAsia"/>
          <w:lang w:val="en-US" w:eastAsia="zh-CN"/>
        </w:rPr>
        <w:t>6.</w:t>
      </w:r>
      <w:r>
        <w:t>9 环保投入</w:t>
      </w:r>
      <w:bookmarkEnd w:id="199"/>
      <w:bookmarkEnd w:id="200"/>
      <w:bookmarkEnd w:id="201"/>
      <w:bookmarkEnd w:id="202"/>
    </w:p>
    <w:p>
      <w:pPr>
        <w:bidi w:val="0"/>
      </w:pPr>
      <w:r>
        <w:t>项目投入包括环保设施建设费用、运行费用以及管理监测费用，详见表</w:t>
      </w:r>
      <w:r>
        <w:rPr>
          <w:rFonts w:hint="eastAsia"/>
          <w:lang w:val="en-US" w:eastAsia="zh-CN"/>
        </w:rPr>
        <w:t>6.9-1</w:t>
      </w:r>
      <w:r>
        <w:t>。</w:t>
      </w:r>
    </w:p>
    <w:p>
      <w:pPr>
        <w:pStyle w:val="27"/>
        <w:bidi w:val="0"/>
      </w:pPr>
      <w:r>
        <w:t>表</w:t>
      </w:r>
      <w:r>
        <w:rPr>
          <w:rFonts w:hint="eastAsia"/>
          <w:lang w:val="en-US" w:eastAsia="zh-CN"/>
        </w:rPr>
        <w:t>6.</w:t>
      </w:r>
      <w:r>
        <w:t>9-1 “三同时”验收内容及投资估算表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814"/>
        <w:gridCol w:w="2899"/>
        <w:gridCol w:w="995"/>
        <w:gridCol w:w="1400"/>
        <w:gridCol w:w="112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污染源</w:t>
            </w:r>
          </w:p>
        </w:tc>
        <w:tc>
          <w:tcPr>
            <w:tcW w:w="3713" w:type="dxa"/>
            <w:gridSpan w:val="2"/>
            <w:noWrap w:val="0"/>
            <w:vAlign w:val="center"/>
          </w:tcPr>
          <w:p>
            <w:pPr>
              <w:pStyle w:val="28"/>
              <w:suppressLineNumbers w:val="0"/>
              <w:bidi w:val="0"/>
              <w:spacing w:before="0" w:after="0"/>
              <w:ind w:left="0" w:right="0"/>
            </w:pPr>
            <w:r>
              <w:t>环保设施名称</w:t>
            </w:r>
          </w:p>
        </w:tc>
        <w:tc>
          <w:tcPr>
            <w:tcW w:w="995" w:type="dxa"/>
            <w:noWrap w:val="0"/>
            <w:vAlign w:val="center"/>
          </w:tcPr>
          <w:p>
            <w:pPr>
              <w:pStyle w:val="28"/>
              <w:suppressLineNumbers w:val="0"/>
              <w:bidi w:val="0"/>
              <w:spacing w:before="0" w:after="0"/>
              <w:ind w:left="0" w:right="0"/>
            </w:pPr>
            <w:r>
              <w:t>分期建设情况</w:t>
            </w:r>
          </w:p>
        </w:tc>
        <w:tc>
          <w:tcPr>
            <w:tcW w:w="1400" w:type="dxa"/>
            <w:noWrap w:val="0"/>
            <w:vAlign w:val="center"/>
          </w:tcPr>
          <w:p>
            <w:pPr>
              <w:pStyle w:val="28"/>
              <w:suppressLineNumbers w:val="0"/>
              <w:bidi w:val="0"/>
              <w:spacing w:before="0" w:after="0"/>
              <w:ind w:left="0" w:right="0"/>
            </w:pPr>
            <w:r>
              <w:t>环保投资</w:t>
            </w:r>
          </w:p>
          <w:p>
            <w:pPr>
              <w:pStyle w:val="28"/>
              <w:suppressLineNumbers w:val="0"/>
              <w:bidi w:val="0"/>
              <w:spacing w:before="0" w:after="0"/>
              <w:ind w:left="0" w:right="0"/>
            </w:pPr>
            <w:r>
              <w:t>(万元)</w:t>
            </w:r>
          </w:p>
        </w:tc>
        <w:tc>
          <w:tcPr>
            <w:tcW w:w="1127" w:type="dxa"/>
            <w:noWrap w:val="0"/>
            <w:vAlign w:val="center"/>
          </w:tcPr>
          <w:p>
            <w:pPr>
              <w:pStyle w:val="28"/>
              <w:suppressLineNumbers w:val="0"/>
              <w:bidi w:val="0"/>
              <w:spacing w:before="0" w:after="0"/>
              <w:ind w:left="0" w:right="0"/>
            </w:pPr>
            <w:r>
              <w:t>运行费用</w:t>
            </w:r>
          </w:p>
          <w:p>
            <w:pPr>
              <w:pStyle w:val="28"/>
              <w:suppressLineNumbers w:val="0"/>
              <w:bidi w:val="0"/>
              <w:spacing w:before="0" w:after="0"/>
              <w:ind w:left="0" w:right="0"/>
            </w:pPr>
            <w:r>
              <w:t>(万元)</w:t>
            </w:r>
          </w:p>
        </w:tc>
        <w:tc>
          <w:tcPr>
            <w:tcW w:w="1120" w:type="dxa"/>
            <w:noWrap w:val="0"/>
            <w:vAlign w:val="center"/>
          </w:tcPr>
          <w:p>
            <w:pPr>
              <w:pStyle w:val="28"/>
              <w:suppressLineNumbers w:val="0"/>
              <w:bidi w:val="0"/>
              <w:spacing w:before="0" w:after="0"/>
              <w:ind w:left="0" w:right="0"/>
            </w:pPr>
            <w:r>
              <w:t>管理监测费用（万元/a）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restart"/>
            <w:noWrap w:val="0"/>
            <w:vAlign w:val="center"/>
          </w:tcPr>
          <w:p>
            <w:pPr>
              <w:pStyle w:val="28"/>
              <w:suppressLineNumbers w:val="0"/>
              <w:bidi w:val="0"/>
              <w:spacing w:before="0" w:after="0"/>
              <w:ind w:left="0" w:right="0"/>
            </w:pPr>
            <w:r>
              <w:t>废气</w:t>
            </w:r>
          </w:p>
        </w:tc>
        <w:tc>
          <w:tcPr>
            <w:tcW w:w="814" w:type="dxa"/>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995" w:type="dxa"/>
            <w:vMerge w:val="restart"/>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1127" w:type="dxa"/>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1120" w:type="dxa"/>
            <w:vMerge w:val="restart"/>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hint="eastAsia" w:eastAsia="宋体"/>
                <w:lang w:eastAsia="zh-CN"/>
              </w:rPr>
            </w:pPr>
            <w:r>
              <w:rPr>
                <w:rFonts w:hint="eastAsia"/>
                <w:lang w:eastAsia="zh-CN"/>
              </w:rPr>
              <w:t>油烟净化装置</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二期</w:t>
            </w: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995" w:type="dxa"/>
            <w:vMerge w:val="restart"/>
            <w:noWrap w:val="0"/>
            <w:vAlign w:val="center"/>
          </w:tcPr>
          <w:p>
            <w:pPr>
              <w:pStyle w:val="28"/>
              <w:suppressLineNumbers w:val="0"/>
              <w:bidi w:val="0"/>
              <w:spacing w:before="0" w:after="0"/>
              <w:ind w:left="0" w:right="0"/>
            </w:pPr>
            <w:r>
              <w:t>二期</w:t>
            </w:r>
          </w:p>
        </w:tc>
        <w:tc>
          <w:tcPr>
            <w:tcW w:w="1400"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排气筒及管道等</w:t>
            </w:r>
          </w:p>
        </w:tc>
        <w:tc>
          <w:tcPr>
            <w:tcW w:w="995" w:type="dxa"/>
            <w:noWrap w:val="0"/>
            <w:vAlign w:val="center"/>
          </w:tcPr>
          <w:p>
            <w:pPr>
              <w:pStyle w:val="28"/>
              <w:suppressLineNumbers w:val="0"/>
              <w:bidi w:val="0"/>
              <w:spacing w:before="0" w:after="0"/>
              <w:ind w:left="0" w:right="0"/>
            </w:pPr>
            <w:r>
              <w:t>一、二期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rPr>
        <w:tc>
          <w:tcPr>
            <w:tcW w:w="931" w:type="dxa"/>
            <w:noWrap w:val="0"/>
            <w:vAlign w:val="center"/>
          </w:tcPr>
          <w:p>
            <w:pPr>
              <w:pStyle w:val="28"/>
              <w:suppressLineNumbers w:val="0"/>
              <w:bidi w:val="0"/>
              <w:spacing w:before="0" w:after="0"/>
              <w:ind w:left="0" w:right="0"/>
            </w:pPr>
            <w:r>
              <w:t>废水</w:t>
            </w:r>
          </w:p>
        </w:tc>
        <w:tc>
          <w:tcPr>
            <w:tcW w:w="3713" w:type="dxa"/>
            <w:gridSpan w:val="2"/>
            <w:noWrap w:val="0"/>
            <w:vAlign w:val="center"/>
          </w:tcPr>
          <w:p>
            <w:pPr>
              <w:pStyle w:val="28"/>
              <w:suppressLineNumbers w:val="0"/>
              <w:bidi w:val="0"/>
              <w:spacing w:before="0" w:after="0"/>
              <w:ind w:left="0" w:right="0"/>
            </w:pPr>
            <w:r>
              <w:rPr>
                <w:rFonts w:hint="eastAsia"/>
                <w:lang w:eastAsia="zh-CN"/>
              </w:rPr>
              <w:t>隔油池、</w:t>
            </w:r>
            <w:r>
              <w:t>化粪池、废水收集及输送管线</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w:t>
            </w:r>
          </w:p>
        </w:tc>
        <w:tc>
          <w:tcPr>
            <w:tcW w:w="1127" w:type="dxa"/>
            <w:noWrap w:val="0"/>
            <w:vAlign w:val="center"/>
          </w:tcPr>
          <w:p>
            <w:pPr>
              <w:pStyle w:val="28"/>
              <w:suppressLineNumbers w:val="0"/>
              <w:bidi w:val="0"/>
              <w:spacing w:before="0" w:after="0"/>
              <w:ind w:left="0" w:right="0"/>
            </w:pPr>
            <w:r>
              <w:t>5</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噪声</w:t>
            </w:r>
          </w:p>
        </w:tc>
        <w:tc>
          <w:tcPr>
            <w:tcW w:w="3713" w:type="dxa"/>
            <w:gridSpan w:val="2"/>
            <w:noWrap w:val="0"/>
            <w:vAlign w:val="center"/>
          </w:tcPr>
          <w:p>
            <w:pPr>
              <w:pStyle w:val="28"/>
              <w:suppressLineNumbers w:val="0"/>
              <w:bidi w:val="0"/>
              <w:spacing w:before="0" w:after="0"/>
              <w:ind w:left="0" w:right="0"/>
            </w:pPr>
            <w:r>
              <w:t>消声器、隔声设施等</w:t>
            </w:r>
          </w:p>
        </w:tc>
        <w:tc>
          <w:tcPr>
            <w:tcW w:w="995" w:type="dxa"/>
            <w:noWrap w:val="0"/>
            <w:vAlign w:val="center"/>
          </w:tcPr>
          <w:p>
            <w:pPr>
              <w:pStyle w:val="28"/>
              <w:suppressLineNumbers w:val="0"/>
              <w:bidi w:val="0"/>
              <w:spacing w:before="0" w:after="0"/>
              <w:ind w:left="0" w:right="0"/>
            </w:pPr>
            <w:r>
              <w:t>一、二期</w:t>
            </w:r>
          </w:p>
        </w:tc>
        <w:tc>
          <w:tcPr>
            <w:tcW w:w="1400" w:type="dxa"/>
            <w:noWrap w:val="0"/>
            <w:vAlign w:val="center"/>
          </w:tcPr>
          <w:p>
            <w:pPr>
              <w:pStyle w:val="28"/>
              <w:suppressLineNumbers w:val="0"/>
              <w:bidi w:val="0"/>
              <w:spacing w:before="0" w:after="0"/>
              <w:ind w:left="0" w:right="0"/>
            </w:pPr>
            <w:r>
              <w:t>10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固废</w:t>
            </w:r>
          </w:p>
        </w:tc>
        <w:tc>
          <w:tcPr>
            <w:tcW w:w="3713" w:type="dxa"/>
            <w:gridSpan w:val="2"/>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一般固废暂存间、危险废物暂存间、垃圾转运站</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绿化</w:t>
            </w:r>
          </w:p>
        </w:tc>
        <w:tc>
          <w:tcPr>
            <w:tcW w:w="3713" w:type="dxa"/>
            <w:gridSpan w:val="2"/>
            <w:noWrap w:val="0"/>
            <w:vAlign w:val="center"/>
          </w:tcPr>
          <w:p>
            <w:pPr>
              <w:pStyle w:val="28"/>
              <w:suppressLineNumbers w:val="0"/>
              <w:bidi w:val="0"/>
              <w:spacing w:before="0" w:after="0"/>
              <w:ind w:left="0" w:right="0"/>
            </w:pPr>
            <w:r>
              <w:t>花草树木</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pPr>
            <w:r>
              <w:t>50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监测仪器</w:t>
            </w:r>
          </w:p>
        </w:tc>
        <w:tc>
          <w:tcPr>
            <w:tcW w:w="3713" w:type="dxa"/>
            <w:gridSpan w:val="2"/>
            <w:noWrap w:val="0"/>
            <w:vAlign w:val="center"/>
          </w:tcPr>
          <w:p>
            <w:pPr>
              <w:pStyle w:val="28"/>
              <w:suppressLineNumbers w:val="0"/>
              <w:bidi w:val="0"/>
              <w:spacing w:before="0" w:after="0"/>
              <w:ind w:left="0" w:right="0"/>
            </w:pPr>
            <w:r>
              <w:rPr>
                <w:rFonts w:hint="eastAsia"/>
                <w:lang w:val="en-US" w:eastAsia="zh-CN"/>
              </w:rPr>
              <w:t>DA001</w:t>
            </w:r>
            <w:r>
              <w:t>排气筒SO</w:t>
            </w:r>
            <w:r>
              <w:rPr>
                <w:vertAlign w:val="subscript"/>
              </w:rPr>
              <w:t>2</w:t>
            </w:r>
            <w:r>
              <w:t>、NOx、颗粒物</w:t>
            </w:r>
            <w:r>
              <w:rPr>
                <w:rFonts w:hint="eastAsia"/>
                <w:lang w:eastAsia="zh-CN"/>
              </w:rPr>
              <w:t>自动</w:t>
            </w:r>
            <w:r>
              <w:t>监测装置</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排污口设置</w:t>
            </w:r>
          </w:p>
        </w:tc>
        <w:tc>
          <w:tcPr>
            <w:tcW w:w="3713" w:type="dxa"/>
            <w:gridSpan w:val="2"/>
            <w:noWrap w:val="0"/>
            <w:vAlign w:val="center"/>
          </w:tcPr>
          <w:p>
            <w:pPr>
              <w:pStyle w:val="28"/>
              <w:suppressLineNumbers w:val="0"/>
              <w:bidi w:val="0"/>
              <w:spacing w:before="0" w:after="0"/>
              <w:ind w:left="0" w:right="0"/>
            </w:pPr>
            <w:r>
              <w:t>新建</w:t>
            </w:r>
            <w:r>
              <w:rPr>
                <w:rFonts w:hint="eastAsia"/>
              </w:rPr>
              <w:t>废水废气</w:t>
            </w:r>
            <w:r>
              <w:t>排污口</w:t>
            </w:r>
            <w:r>
              <w:rPr>
                <w:rFonts w:hint="eastAsia"/>
              </w:rPr>
              <w:t>，建设</w:t>
            </w:r>
            <w:r>
              <w:t>规范化标识</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restart"/>
            <w:noWrap w:val="0"/>
            <w:vAlign w:val="center"/>
          </w:tcPr>
          <w:p>
            <w:pPr>
              <w:pStyle w:val="28"/>
              <w:suppressLineNumbers w:val="0"/>
              <w:bidi w:val="0"/>
              <w:spacing w:before="0" w:after="0"/>
              <w:ind w:left="0" w:right="0"/>
            </w:pPr>
            <w:r>
              <w:t>风险防治措施</w:t>
            </w:r>
          </w:p>
        </w:tc>
        <w:tc>
          <w:tcPr>
            <w:tcW w:w="3713" w:type="dxa"/>
            <w:gridSpan w:val="2"/>
            <w:noWrap w:val="0"/>
            <w:vAlign w:val="center"/>
          </w:tcPr>
          <w:p>
            <w:pPr>
              <w:pStyle w:val="28"/>
              <w:suppressLineNumbers w:val="0"/>
              <w:bidi w:val="0"/>
              <w:spacing w:before="0" w:after="0"/>
              <w:ind w:left="0" w:right="0"/>
            </w:pPr>
            <w:r>
              <w:t>报警系统、消防器材等</w:t>
            </w:r>
          </w:p>
        </w:tc>
        <w:tc>
          <w:tcPr>
            <w:tcW w:w="995" w:type="dxa"/>
            <w:noWrap w:val="0"/>
            <w:vAlign w:val="center"/>
          </w:tcPr>
          <w:p>
            <w:pPr>
              <w:pStyle w:val="28"/>
              <w:suppressLineNumbers w:val="0"/>
              <w:bidi w:val="0"/>
              <w:spacing w:before="0" w:after="0"/>
              <w:ind w:left="0" w:right="0"/>
            </w:pPr>
            <w:r>
              <w:t>一、二期</w:t>
            </w:r>
          </w:p>
        </w:tc>
        <w:tc>
          <w:tcPr>
            <w:tcW w:w="1400" w:type="dxa"/>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c>
          <w:tcPr>
            <w:tcW w:w="1127" w:type="dxa"/>
            <w:vMerge w:val="restar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rPr>
                <w:rFonts w:hint="eastAsia" w:eastAsia="宋体"/>
                <w:lang w:eastAsia="zh-CN"/>
              </w:rPr>
            </w:pPr>
            <w:r>
              <w:t>消防排水收集系统，包括消防尾水收集池</w:t>
            </w:r>
            <w:r>
              <w:rPr>
                <w:rFonts w:hint="eastAsia"/>
              </w:rPr>
              <w:t>（</w:t>
            </w:r>
            <w:r>
              <w:rPr>
                <w:rFonts w:hint="eastAsia"/>
                <w:lang w:val="en-US" w:eastAsia="zh-CN"/>
              </w:rPr>
              <w:t>242</w:t>
            </w:r>
            <w:r>
              <w:rPr>
                <w:rFonts w:hint="eastAsia"/>
              </w:rPr>
              <w:t>m3）</w:t>
            </w:r>
            <w:r>
              <w:t>、</w:t>
            </w:r>
            <w:r>
              <w:rPr>
                <w:rFonts w:hint="eastAsia"/>
                <w:lang w:eastAsia="zh-CN"/>
              </w:rPr>
              <w:t>渠道</w:t>
            </w:r>
          </w:p>
        </w:tc>
        <w:tc>
          <w:tcPr>
            <w:tcW w:w="995" w:type="dxa"/>
            <w:noWrap w:val="0"/>
            <w:vAlign w:val="center"/>
          </w:tcPr>
          <w:p>
            <w:pPr>
              <w:pStyle w:val="28"/>
              <w:suppressLineNumbers w:val="0"/>
              <w:bidi w:val="0"/>
              <w:spacing w:before="0" w:after="0"/>
              <w:ind w:left="0" w:right="0"/>
            </w:pPr>
            <w:r>
              <w:t>一期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建立相应的事故风险紧急监测系统</w:t>
            </w:r>
          </w:p>
        </w:tc>
        <w:tc>
          <w:tcPr>
            <w:tcW w:w="995" w:type="dxa"/>
            <w:noWrap w:val="0"/>
            <w:vAlign w:val="center"/>
          </w:tcPr>
          <w:p>
            <w:pPr>
              <w:pStyle w:val="28"/>
              <w:suppressLineNumbers w:val="0"/>
              <w:bidi w:val="0"/>
              <w:spacing w:before="0" w:after="0"/>
              <w:ind w:left="0" w:right="0"/>
            </w:pPr>
            <w:r>
              <w:t>一、二期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其它风险防范措施</w:t>
            </w:r>
          </w:p>
        </w:tc>
        <w:tc>
          <w:tcPr>
            <w:tcW w:w="995" w:type="dxa"/>
            <w:noWrap w:val="0"/>
            <w:vAlign w:val="center"/>
          </w:tcPr>
          <w:p>
            <w:pPr>
              <w:pStyle w:val="28"/>
              <w:suppressLineNumbers w:val="0"/>
              <w:bidi w:val="0"/>
              <w:spacing w:before="0" w:after="0"/>
              <w:ind w:left="0" w:right="0"/>
            </w:pPr>
            <w:r>
              <w:t>一、二期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644" w:type="dxa"/>
            <w:gridSpan w:val="3"/>
            <w:noWrap w:val="0"/>
            <w:vAlign w:val="center"/>
          </w:tcPr>
          <w:p>
            <w:pPr>
              <w:pStyle w:val="28"/>
              <w:suppressLineNumbers w:val="0"/>
              <w:bidi w:val="0"/>
              <w:spacing w:before="0" w:after="0"/>
              <w:ind w:left="0" w:right="0"/>
            </w:pPr>
            <w:r>
              <w:t>环保投资合计</w:t>
            </w:r>
          </w:p>
        </w:tc>
        <w:tc>
          <w:tcPr>
            <w:tcW w:w="995" w:type="dxa"/>
            <w:noWrap w:val="0"/>
            <w:vAlign w:val="center"/>
          </w:tcPr>
          <w:p>
            <w:pPr>
              <w:pStyle w:val="28"/>
              <w:suppressLineNumbers w:val="0"/>
              <w:bidi w:val="0"/>
              <w:spacing w:before="0" w:after="0"/>
              <w:ind w:left="0" w:right="0"/>
            </w:pPr>
            <w:r>
              <w:t>-</w:t>
            </w:r>
          </w:p>
        </w:tc>
        <w:tc>
          <w:tcPr>
            <w:tcW w:w="140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971</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237</w:t>
            </w:r>
          </w:p>
        </w:tc>
        <w:tc>
          <w:tcPr>
            <w:tcW w:w="1120" w:type="dxa"/>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644" w:type="dxa"/>
            <w:gridSpan w:val="3"/>
            <w:noWrap w:val="0"/>
            <w:vAlign w:val="center"/>
          </w:tcPr>
          <w:p>
            <w:pPr>
              <w:pStyle w:val="28"/>
              <w:suppressLineNumbers w:val="0"/>
              <w:bidi w:val="0"/>
              <w:spacing w:before="0" w:after="0"/>
              <w:ind w:left="0" w:right="0"/>
            </w:pPr>
            <w:r>
              <w:t>实施时段</w:t>
            </w:r>
          </w:p>
        </w:tc>
        <w:tc>
          <w:tcPr>
            <w:tcW w:w="995" w:type="dxa"/>
            <w:noWrap w:val="0"/>
            <w:vAlign w:val="center"/>
          </w:tcPr>
          <w:p>
            <w:pPr>
              <w:pStyle w:val="28"/>
              <w:suppressLineNumbers w:val="0"/>
              <w:bidi w:val="0"/>
              <w:spacing w:before="0" w:after="0"/>
              <w:ind w:left="0" w:right="0"/>
            </w:pPr>
            <w:r>
              <w:t>-</w:t>
            </w:r>
          </w:p>
        </w:tc>
        <w:tc>
          <w:tcPr>
            <w:tcW w:w="1400" w:type="dxa"/>
            <w:noWrap w:val="0"/>
            <w:vAlign w:val="center"/>
          </w:tcPr>
          <w:p>
            <w:pPr>
              <w:pStyle w:val="28"/>
              <w:suppressLineNumbers w:val="0"/>
              <w:bidi w:val="0"/>
              <w:spacing w:before="0" w:after="0"/>
              <w:ind w:left="0" w:right="0"/>
            </w:pPr>
            <w:r>
              <w:t>施工建设期</w:t>
            </w:r>
          </w:p>
        </w:tc>
        <w:tc>
          <w:tcPr>
            <w:tcW w:w="1127" w:type="dxa"/>
            <w:noWrap w:val="0"/>
            <w:vAlign w:val="center"/>
          </w:tcPr>
          <w:p>
            <w:pPr>
              <w:pStyle w:val="28"/>
              <w:suppressLineNumbers w:val="0"/>
              <w:bidi w:val="0"/>
              <w:spacing w:before="0" w:after="0"/>
              <w:ind w:left="0" w:right="0"/>
            </w:pPr>
            <w:r>
              <w:t>运营期</w:t>
            </w:r>
          </w:p>
        </w:tc>
        <w:tc>
          <w:tcPr>
            <w:tcW w:w="1120" w:type="dxa"/>
            <w:noWrap w:val="0"/>
            <w:vAlign w:val="center"/>
          </w:tcPr>
          <w:p>
            <w:pPr>
              <w:pStyle w:val="28"/>
              <w:suppressLineNumbers w:val="0"/>
              <w:bidi w:val="0"/>
              <w:spacing w:before="0" w:after="0"/>
              <w:ind w:left="0" w:right="0"/>
            </w:pPr>
            <w: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644" w:type="dxa"/>
            <w:gridSpan w:val="3"/>
            <w:noWrap w:val="0"/>
            <w:vAlign w:val="center"/>
          </w:tcPr>
          <w:p>
            <w:pPr>
              <w:pStyle w:val="28"/>
              <w:suppressLineNumbers w:val="0"/>
              <w:bidi w:val="0"/>
              <w:spacing w:before="0" w:after="0"/>
              <w:ind w:left="0" w:right="0"/>
            </w:pPr>
            <w:r>
              <w:t>资金来源</w:t>
            </w:r>
          </w:p>
        </w:tc>
        <w:tc>
          <w:tcPr>
            <w:tcW w:w="995" w:type="dxa"/>
            <w:noWrap w:val="0"/>
            <w:vAlign w:val="center"/>
          </w:tcPr>
          <w:p>
            <w:pPr>
              <w:pStyle w:val="28"/>
              <w:suppressLineNumbers w:val="0"/>
              <w:bidi w:val="0"/>
              <w:spacing w:before="0" w:after="0"/>
              <w:ind w:left="0" w:right="0"/>
            </w:pPr>
            <w:r>
              <w:t>-</w:t>
            </w:r>
          </w:p>
        </w:tc>
        <w:tc>
          <w:tcPr>
            <w:tcW w:w="3647" w:type="dxa"/>
            <w:gridSpan w:val="3"/>
            <w:noWrap w:val="0"/>
            <w:vAlign w:val="center"/>
          </w:tcPr>
          <w:p>
            <w:pPr>
              <w:pStyle w:val="28"/>
              <w:suppressLineNumbers w:val="0"/>
              <w:bidi w:val="0"/>
              <w:spacing w:before="0" w:after="0"/>
              <w:ind w:left="0" w:right="0"/>
            </w:pPr>
            <w:r>
              <w:t>企业自筹</w:t>
            </w:r>
          </w:p>
        </w:tc>
      </w:tr>
    </w:tbl>
    <w:p>
      <w:pPr>
        <w:bidi w:val="0"/>
        <w:ind w:left="0" w:leftChars="0" w:firstLine="0" w:firstLineChars="0"/>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3"/>
        <w:bidi w:val="0"/>
        <w:rPr>
          <w:lang w:eastAsia="zh-CN"/>
        </w:rPr>
      </w:pPr>
      <w:bookmarkStart w:id="203" w:name="_Toc474779839"/>
      <w:bookmarkStart w:id="204" w:name="_Toc2489"/>
      <w:r>
        <w:rPr>
          <w:rFonts w:hint="eastAsia"/>
          <w:lang w:eastAsia="zh-CN"/>
        </w:rPr>
        <w:t>7</w:t>
      </w:r>
      <w:r>
        <w:rPr>
          <w:lang w:eastAsia="zh-CN"/>
        </w:rPr>
        <w:t xml:space="preserve">  环境经济损益分析</w:t>
      </w:r>
      <w:bookmarkEnd w:id="203"/>
      <w:bookmarkEnd w:id="204"/>
    </w:p>
    <w:p>
      <w:pPr>
        <w:pStyle w:val="4"/>
        <w:bidi w:val="0"/>
      </w:pPr>
      <w:bookmarkStart w:id="205" w:name="_Toc474779840"/>
      <w:bookmarkStart w:id="206" w:name="_Toc14373"/>
      <w:r>
        <w:rPr>
          <w:rFonts w:hint="eastAsia"/>
          <w:lang w:eastAsia="zh-CN"/>
        </w:rPr>
        <w:t>7</w:t>
      </w:r>
      <w:r>
        <w:t>.1</w:t>
      </w:r>
      <w:r>
        <w:rPr>
          <w:lang w:eastAsia="zh-CN"/>
        </w:rPr>
        <w:t xml:space="preserve">  </w:t>
      </w:r>
      <w:r>
        <w:t>项目经济效益分析</w:t>
      </w:r>
      <w:bookmarkEnd w:id="205"/>
      <w:bookmarkEnd w:id="206"/>
    </w:p>
    <w:p>
      <w:pPr>
        <w:bidi w:val="0"/>
        <w:rPr>
          <w:rFonts w:hint="eastAsia"/>
        </w:rPr>
      </w:pPr>
      <w:r>
        <w:rPr>
          <w:rFonts w:hint="eastAsia"/>
        </w:rPr>
        <w:t>本项目年均销售收入为</w:t>
      </w:r>
      <w:r>
        <w:rPr>
          <w:rFonts w:hint="eastAsia"/>
          <w:lang w:val="en-US" w:eastAsia="zh-CN"/>
        </w:rPr>
        <w:t>60</w:t>
      </w:r>
      <w:r>
        <w:rPr>
          <w:rFonts w:hint="eastAsia"/>
        </w:rPr>
        <w:t>000万元，年均利润总额为</w:t>
      </w:r>
      <w:r>
        <w:rPr>
          <w:rFonts w:hint="eastAsia"/>
          <w:lang w:val="en-US" w:eastAsia="zh-CN"/>
        </w:rPr>
        <w:t>9000</w:t>
      </w:r>
      <w:r>
        <w:rPr>
          <w:rFonts w:hint="eastAsia"/>
        </w:rPr>
        <w:t xml:space="preserve"> 万元，年均营业税金及附加</w:t>
      </w:r>
      <w:r>
        <w:rPr>
          <w:rFonts w:hint="eastAsia"/>
          <w:lang w:val="en-US" w:eastAsia="zh-CN"/>
        </w:rPr>
        <w:t>2980</w:t>
      </w:r>
      <w:r>
        <w:rPr>
          <w:rFonts w:hint="eastAsia"/>
        </w:rPr>
        <w:t>万元，年均所得税为</w:t>
      </w:r>
      <w:r>
        <w:rPr>
          <w:rFonts w:hint="eastAsia"/>
          <w:lang w:val="en-US" w:eastAsia="zh-CN"/>
        </w:rPr>
        <w:t>300</w:t>
      </w:r>
      <w:r>
        <w:rPr>
          <w:rFonts w:hint="eastAsia"/>
        </w:rPr>
        <w:t>万元，年均税后利润</w:t>
      </w:r>
      <w:r>
        <w:rPr>
          <w:rFonts w:hint="eastAsia"/>
          <w:lang w:val="en-US" w:eastAsia="zh-CN"/>
        </w:rPr>
        <w:t>6000</w:t>
      </w:r>
      <w:r>
        <w:rPr>
          <w:rFonts w:hint="eastAsia"/>
        </w:rPr>
        <w:t xml:space="preserve"> 万元。</w:t>
      </w:r>
    </w:p>
    <w:p>
      <w:pPr>
        <w:bidi w:val="0"/>
        <w:rPr>
          <w:rFonts w:hint="eastAsia"/>
          <w:lang w:eastAsia="zh-CN"/>
        </w:rPr>
      </w:pPr>
      <w:r>
        <w:rPr>
          <w:rFonts w:hint="eastAsia"/>
        </w:rPr>
        <w:t>本项目对投资现金流量和资本金现金流量分别进行计算，税前投资现金财务内部收益率为</w:t>
      </w:r>
      <w:r>
        <w:rPr>
          <w:rFonts w:hint="eastAsia"/>
          <w:lang w:val="en-US" w:eastAsia="zh-CN"/>
        </w:rPr>
        <w:t>15</w:t>
      </w:r>
      <w:r>
        <w:rPr>
          <w:rFonts w:hint="eastAsia"/>
        </w:rPr>
        <w:t>%，税后投资现金财务内部收益率为</w:t>
      </w:r>
      <w:r>
        <w:rPr>
          <w:rFonts w:hint="eastAsia"/>
          <w:lang w:val="en-US" w:eastAsia="zh-CN"/>
        </w:rPr>
        <w:t>12</w:t>
      </w:r>
      <w:r>
        <w:rPr>
          <w:rFonts w:hint="eastAsia"/>
        </w:rPr>
        <w:t>%，高于行业基准收益率12%，表明本项目的财务经济效益能够满足投资者的要求，税后全投资投资回收期为</w:t>
      </w:r>
      <w:r>
        <w:rPr>
          <w:rFonts w:hint="eastAsia"/>
          <w:lang w:val="en-US" w:eastAsia="zh-CN"/>
        </w:rPr>
        <w:t>8</w:t>
      </w:r>
      <w:r>
        <w:rPr>
          <w:rFonts w:hint="eastAsia"/>
        </w:rPr>
        <w:t>年（运行期内），可见该项目抗经营风险能力尚可。这些指标说明本项目具有较高的盈利能力和抗风险能力。</w:t>
      </w:r>
    </w:p>
    <w:p>
      <w:pPr>
        <w:pStyle w:val="4"/>
        <w:bidi w:val="0"/>
      </w:pPr>
      <w:bookmarkStart w:id="207" w:name="_Toc474779841"/>
      <w:bookmarkStart w:id="208" w:name="_Toc13198"/>
      <w:r>
        <w:rPr>
          <w:rFonts w:hint="eastAsia"/>
          <w:lang w:eastAsia="zh-CN"/>
        </w:rPr>
        <w:t>7</w:t>
      </w:r>
      <w:r>
        <w:t>.2  环保经济损益分析</w:t>
      </w:r>
      <w:bookmarkEnd w:id="207"/>
      <w:bookmarkEnd w:id="208"/>
    </w:p>
    <w:p>
      <w:pPr>
        <w:pStyle w:val="5"/>
        <w:bidi w:val="0"/>
      </w:pPr>
      <w:r>
        <w:rPr>
          <w:rFonts w:hint="eastAsia"/>
          <w:lang w:eastAsia="zh-CN"/>
        </w:rPr>
        <w:t>7</w:t>
      </w:r>
      <w:r>
        <w:t>.2.1</w:t>
      </w:r>
      <w:r>
        <w:rPr>
          <w:lang w:eastAsia="zh-CN"/>
        </w:rPr>
        <w:t xml:space="preserve">  </w:t>
      </w:r>
      <w:r>
        <w:t>环保投资及运行费用</w:t>
      </w:r>
    </w:p>
    <w:p>
      <w:pPr>
        <w:bidi w:val="0"/>
        <w:rPr>
          <w:rFonts w:hint="eastAsia"/>
          <w:lang w:eastAsia="zh-CN"/>
        </w:rPr>
      </w:pPr>
      <w:r>
        <w:rPr>
          <w:lang w:eastAsia="zh-CN"/>
        </w:rPr>
        <w:t>根据“三同时”原则，“三废”和噪声治理设施与项目的主体工程同时设计、同时施工、同时运行。本项目环保措施主要包括：</w:t>
      </w:r>
      <w:r>
        <w:rPr>
          <w:rFonts w:hint="eastAsia"/>
          <w:lang w:eastAsia="zh-CN"/>
        </w:rPr>
        <w:t>废气处理措施、</w:t>
      </w:r>
      <w:r>
        <w:rPr>
          <w:lang w:eastAsia="zh-CN"/>
        </w:rPr>
        <w:t>废水的预处理、噪声治理中隔声减振装置等。运行期环保投资还包括上述各项环保设施正常运转的维护费用、维护人员工资等方面、缴纳的污水处理运行费用以及固废委外处置费用。</w:t>
      </w:r>
    </w:p>
    <w:p>
      <w:pPr>
        <w:bidi w:val="0"/>
        <w:rPr>
          <w:lang w:eastAsia="zh-CN"/>
        </w:rPr>
      </w:pPr>
      <w:r>
        <w:rPr>
          <w:lang w:eastAsia="zh-CN"/>
        </w:rPr>
        <w:t>（1）环境保护设施建设费用</w:t>
      </w:r>
    </w:p>
    <w:p>
      <w:pPr>
        <w:bidi w:val="0"/>
        <w:rPr>
          <w:lang w:eastAsia="zh-CN"/>
        </w:rPr>
      </w:pPr>
      <w:r>
        <w:rPr>
          <w:lang w:eastAsia="zh-CN"/>
        </w:rPr>
        <w:t>项目的环保直接投资主要是废水、废气、噪声治理和固废处理处置等方面。环保投资分项估算见表</w:t>
      </w:r>
      <w:r>
        <w:rPr>
          <w:rFonts w:hint="eastAsia"/>
          <w:lang w:eastAsia="zh-CN"/>
        </w:rPr>
        <w:t>7</w:t>
      </w:r>
      <w:r>
        <w:rPr>
          <w:lang w:eastAsia="zh-CN"/>
        </w:rPr>
        <w:t>.2</w:t>
      </w:r>
      <w:r>
        <w:rPr>
          <w:rFonts w:hint="eastAsia"/>
          <w:lang w:val="en-US" w:eastAsia="zh-CN"/>
        </w:rPr>
        <w:t>.1</w:t>
      </w:r>
      <w:r>
        <w:rPr>
          <w:lang w:eastAsia="zh-CN"/>
        </w:rPr>
        <w:t>-1。</w:t>
      </w:r>
    </w:p>
    <w:p>
      <w:pPr>
        <w:pStyle w:val="27"/>
        <w:bidi w:val="0"/>
        <w:rPr>
          <w:lang w:eastAsia="zh-CN"/>
        </w:rPr>
      </w:pPr>
      <w:r>
        <w:rPr>
          <w:lang w:eastAsia="zh-CN"/>
        </w:rPr>
        <w:t>表</w:t>
      </w:r>
      <w:r>
        <w:rPr>
          <w:rFonts w:hint="eastAsia"/>
          <w:lang w:eastAsia="zh-CN"/>
        </w:rPr>
        <w:t>7</w:t>
      </w:r>
      <w:r>
        <w:rPr>
          <w:lang w:eastAsia="zh-CN"/>
        </w:rPr>
        <w:t>.</w:t>
      </w:r>
      <w:r>
        <w:rPr>
          <w:rFonts w:hint="eastAsia"/>
          <w:lang w:eastAsia="zh-CN"/>
        </w:rPr>
        <w:t>2</w:t>
      </w:r>
      <w:r>
        <w:rPr>
          <w:rFonts w:hint="eastAsia"/>
          <w:lang w:val="en-US" w:eastAsia="zh-CN"/>
        </w:rPr>
        <w:t>.1</w:t>
      </w:r>
      <w:r>
        <w:rPr>
          <w:lang w:eastAsia="zh-CN"/>
        </w:rPr>
        <w:t>-1  环保投资分项估算一览表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814"/>
        <w:gridCol w:w="2899"/>
        <w:gridCol w:w="995"/>
        <w:gridCol w:w="1400"/>
        <w:gridCol w:w="112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污染源</w:t>
            </w:r>
          </w:p>
        </w:tc>
        <w:tc>
          <w:tcPr>
            <w:tcW w:w="3713" w:type="dxa"/>
            <w:gridSpan w:val="2"/>
            <w:noWrap w:val="0"/>
            <w:vAlign w:val="center"/>
          </w:tcPr>
          <w:p>
            <w:pPr>
              <w:pStyle w:val="28"/>
              <w:suppressLineNumbers w:val="0"/>
              <w:bidi w:val="0"/>
              <w:spacing w:before="0" w:after="0"/>
              <w:ind w:left="0" w:right="0"/>
            </w:pPr>
            <w:r>
              <w:t>环保设施名称</w:t>
            </w:r>
          </w:p>
        </w:tc>
        <w:tc>
          <w:tcPr>
            <w:tcW w:w="995" w:type="dxa"/>
            <w:noWrap w:val="0"/>
            <w:vAlign w:val="center"/>
          </w:tcPr>
          <w:p>
            <w:pPr>
              <w:pStyle w:val="28"/>
              <w:suppressLineNumbers w:val="0"/>
              <w:bidi w:val="0"/>
              <w:spacing w:before="0" w:after="0"/>
              <w:ind w:left="0" w:right="0"/>
            </w:pPr>
            <w:r>
              <w:t>分期建设情况</w:t>
            </w:r>
          </w:p>
        </w:tc>
        <w:tc>
          <w:tcPr>
            <w:tcW w:w="1400" w:type="dxa"/>
            <w:noWrap w:val="0"/>
            <w:vAlign w:val="center"/>
          </w:tcPr>
          <w:p>
            <w:pPr>
              <w:pStyle w:val="28"/>
              <w:suppressLineNumbers w:val="0"/>
              <w:bidi w:val="0"/>
              <w:spacing w:before="0" w:after="0"/>
              <w:ind w:left="0" w:right="0"/>
            </w:pPr>
            <w:r>
              <w:t>环保投资</w:t>
            </w:r>
          </w:p>
          <w:p>
            <w:pPr>
              <w:pStyle w:val="28"/>
              <w:suppressLineNumbers w:val="0"/>
              <w:bidi w:val="0"/>
              <w:spacing w:before="0" w:after="0"/>
              <w:ind w:left="0" w:right="0"/>
            </w:pPr>
            <w:r>
              <w:t>(万元)</w:t>
            </w:r>
          </w:p>
        </w:tc>
        <w:tc>
          <w:tcPr>
            <w:tcW w:w="1127" w:type="dxa"/>
            <w:noWrap w:val="0"/>
            <w:vAlign w:val="center"/>
          </w:tcPr>
          <w:p>
            <w:pPr>
              <w:pStyle w:val="28"/>
              <w:suppressLineNumbers w:val="0"/>
              <w:bidi w:val="0"/>
              <w:spacing w:before="0" w:after="0"/>
              <w:ind w:left="0" w:right="0"/>
            </w:pPr>
            <w:r>
              <w:t>运行费用</w:t>
            </w:r>
          </w:p>
          <w:p>
            <w:pPr>
              <w:pStyle w:val="28"/>
              <w:suppressLineNumbers w:val="0"/>
              <w:bidi w:val="0"/>
              <w:spacing w:before="0" w:after="0"/>
              <w:ind w:left="0" w:right="0"/>
            </w:pPr>
            <w:r>
              <w:t>(万元)</w:t>
            </w:r>
          </w:p>
        </w:tc>
        <w:tc>
          <w:tcPr>
            <w:tcW w:w="1120" w:type="dxa"/>
            <w:noWrap w:val="0"/>
            <w:vAlign w:val="center"/>
          </w:tcPr>
          <w:p>
            <w:pPr>
              <w:pStyle w:val="28"/>
              <w:suppressLineNumbers w:val="0"/>
              <w:bidi w:val="0"/>
              <w:spacing w:before="0" w:after="0"/>
              <w:ind w:left="0" w:right="0"/>
            </w:pPr>
            <w:r>
              <w:t>管理监测费用（万元/a）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restart"/>
            <w:noWrap w:val="0"/>
            <w:vAlign w:val="center"/>
          </w:tcPr>
          <w:p>
            <w:pPr>
              <w:pStyle w:val="28"/>
              <w:suppressLineNumbers w:val="0"/>
              <w:bidi w:val="0"/>
              <w:spacing w:before="0" w:after="0"/>
              <w:ind w:left="0" w:right="0"/>
            </w:pPr>
            <w:r>
              <w:t>废气</w:t>
            </w:r>
          </w:p>
        </w:tc>
        <w:tc>
          <w:tcPr>
            <w:tcW w:w="814" w:type="dxa"/>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995" w:type="dxa"/>
            <w:vMerge w:val="restart"/>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1127" w:type="dxa"/>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1120" w:type="dxa"/>
            <w:vMerge w:val="restart"/>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hint="eastAsia" w:eastAsia="宋体"/>
                <w:lang w:eastAsia="zh-CN"/>
              </w:rPr>
            </w:pPr>
            <w:r>
              <w:rPr>
                <w:rFonts w:hint="eastAsia"/>
                <w:lang w:eastAsia="zh-CN"/>
              </w:rPr>
              <w:t>油烟净化装置</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二期</w:t>
            </w: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995" w:type="dxa"/>
            <w:vMerge w:val="restart"/>
            <w:noWrap w:val="0"/>
            <w:vAlign w:val="center"/>
          </w:tcPr>
          <w:p>
            <w:pPr>
              <w:pStyle w:val="28"/>
              <w:suppressLineNumbers w:val="0"/>
              <w:bidi w:val="0"/>
              <w:spacing w:before="0" w:after="0"/>
              <w:ind w:left="0" w:right="0"/>
            </w:pPr>
            <w:r>
              <w:t>二期</w:t>
            </w:r>
          </w:p>
        </w:tc>
        <w:tc>
          <w:tcPr>
            <w:tcW w:w="1400"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814" w:type="dxa"/>
            <w:vMerge w:val="continue"/>
            <w:noWrap w:val="0"/>
            <w:vAlign w:val="center"/>
          </w:tcPr>
          <w:p>
            <w:pPr>
              <w:pStyle w:val="28"/>
              <w:suppressLineNumbers w:val="0"/>
              <w:bidi w:val="0"/>
              <w:spacing w:before="0" w:after="0"/>
              <w:ind w:left="0" w:right="0"/>
              <w:outlineLvl w:val="9"/>
            </w:pPr>
          </w:p>
        </w:tc>
        <w:tc>
          <w:tcPr>
            <w:tcW w:w="2899"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995" w:type="dxa"/>
            <w:vMerge w:val="continue"/>
            <w:noWrap w:val="0"/>
            <w:vAlign w:val="center"/>
          </w:tcPr>
          <w:p>
            <w:pPr>
              <w:pStyle w:val="28"/>
              <w:suppressLineNumbers w:val="0"/>
              <w:bidi w:val="0"/>
              <w:spacing w:before="0" w:after="0"/>
              <w:ind w:left="0" w:right="0"/>
              <w:outlineLvl w:val="9"/>
            </w:pPr>
          </w:p>
        </w:tc>
        <w:tc>
          <w:tcPr>
            <w:tcW w:w="1400"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排气筒及管道等</w:t>
            </w:r>
          </w:p>
        </w:tc>
        <w:tc>
          <w:tcPr>
            <w:tcW w:w="995" w:type="dxa"/>
            <w:noWrap w:val="0"/>
            <w:vAlign w:val="center"/>
          </w:tcPr>
          <w:p>
            <w:pPr>
              <w:pStyle w:val="28"/>
              <w:suppressLineNumbers w:val="0"/>
              <w:bidi w:val="0"/>
              <w:spacing w:before="0" w:after="0"/>
              <w:ind w:left="0" w:right="0"/>
            </w:pPr>
            <w:r>
              <w:t>一、二期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1127" w:type="dxa"/>
            <w:vMerge w:val="continue"/>
            <w:noWrap w:val="0"/>
            <w:vAlign w:val="center"/>
          </w:tcPr>
          <w:p>
            <w:pPr>
              <w:pStyle w:val="28"/>
              <w:suppressLineNumbers w:val="0"/>
              <w:bidi w:val="0"/>
              <w:spacing w:before="0" w:after="0"/>
              <w:ind w:left="0" w:right="0"/>
              <w:outlineLvl w:val="9"/>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rPr>
        <w:tc>
          <w:tcPr>
            <w:tcW w:w="931" w:type="dxa"/>
            <w:noWrap w:val="0"/>
            <w:vAlign w:val="center"/>
          </w:tcPr>
          <w:p>
            <w:pPr>
              <w:pStyle w:val="28"/>
              <w:suppressLineNumbers w:val="0"/>
              <w:bidi w:val="0"/>
              <w:spacing w:before="0" w:after="0"/>
              <w:ind w:left="0" w:right="0"/>
            </w:pPr>
            <w:r>
              <w:t>废水</w:t>
            </w:r>
          </w:p>
        </w:tc>
        <w:tc>
          <w:tcPr>
            <w:tcW w:w="3713" w:type="dxa"/>
            <w:gridSpan w:val="2"/>
            <w:noWrap w:val="0"/>
            <w:vAlign w:val="center"/>
          </w:tcPr>
          <w:p>
            <w:pPr>
              <w:pStyle w:val="28"/>
              <w:suppressLineNumbers w:val="0"/>
              <w:bidi w:val="0"/>
              <w:spacing w:before="0" w:after="0"/>
              <w:ind w:left="0" w:right="0"/>
            </w:pPr>
            <w:r>
              <w:rPr>
                <w:rFonts w:hint="eastAsia"/>
                <w:lang w:eastAsia="zh-CN"/>
              </w:rPr>
              <w:t>隔油池、</w:t>
            </w:r>
            <w:r>
              <w:t>化粪池、废水收集及输送管线</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w:t>
            </w:r>
          </w:p>
        </w:tc>
        <w:tc>
          <w:tcPr>
            <w:tcW w:w="1127" w:type="dxa"/>
            <w:noWrap w:val="0"/>
            <w:vAlign w:val="center"/>
          </w:tcPr>
          <w:p>
            <w:pPr>
              <w:pStyle w:val="28"/>
              <w:suppressLineNumbers w:val="0"/>
              <w:bidi w:val="0"/>
              <w:spacing w:before="0" w:after="0"/>
              <w:ind w:left="0" w:right="0"/>
            </w:pPr>
            <w:r>
              <w:t>5</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噪声</w:t>
            </w:r>
          </w:p>
        </w:tc>
        <w:tc>
          <w:tcPr>
            <w:tcW w:w="3713" w:type="dxa"/>
            <w:gridSpan w:val="2"/>
            <w:noWrap w:val="0"/>
            <w:vAlign w:val="center"/>
          </w:tcPr>
          <w:p>
            <w:pPr>
              <w:pStyle w:val="28"/>
              <w:suppressLineNumbers w:val="0"/>
              <w:bidi w:val="0"/>
              <w:spacing w:before="0" w:after="0"/>
              <w:ind w:left="0" w:right="0"/>
            </w:pPr>
            <w:r>
              <w:t>消声器、隔声设施等</w:t>
            </w:r>
          </w:p>
        </w:tc>
        <w:tc>
          <w:tcPr>
            <w:tcW w:w="995" w:type="dxa"/>
            <w:noWrap w:val="0"/>
            <w:vAlign w:val="center"/>
          </w:tcPr>
          <w:p>
            <w:pPr>
              <w:pStyle w:val="28"/>
              <w:suppressLineNumbers w:val="0"/>
              <w:bidi w:val="0"/>
              <w:spacing w:before="0" w:after="0"/>
              <w:ind w:left="0" w:right="0"/>
            </w:pPr>
            <w:r>
              <w:t>一、二期</w:t>
            </w:r>
          </w:p>
        </w:tc>
        <w:tc>
          <w:tcPr>
            <w:tcW w:w="1400" w:type="dxa"/>
            <w:noWrap w:val="0"/>
            <w:vAlign w:val="center"/>
          </w:tcPr>
          <w:p>
            <w:pPr>
              <w:pStyle w:val="28"/>
              <w:suppressLineNumbers w:val="0"/>
              <w:bidi w:val="0"/>
              <w:spacing w:before="0" w:after="0"/>
              <w:ind w:left="0" w:right="0"/>
            </w:pPr>
            <w:r>
              <w:t>10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固废</w:t>
            </w:r>
          </w:p>
        </w:tc>
        <w:tc>
          <w:tcPr>
            <w:tcW w:w="3713" w:type="dxa"/>
            <w:gridSpan w:val="2"/>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一般固废暂存间、危险废物暂存间、垃圾转运站</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绿化</w:t>
            </w:r>
          </w:p>
        </w:tc>
        <w:tc>
          <w:tcPr>
            <w:tcW w:w="3713" w:type="dxa"/>
            <w:gridSpan w:val="2"/>
            <w:noWrap w:val="0"/>
            <w:vAlign w:val="center"/>
          </w:tcPr>
          <w:p>
            <w:pPr>
              <w:pStyle w:val="28"/>
              <w:suppressLineNumbers w:val="0"/>
              <w:bidi w:val="0"/>
              <w:spacing w:before="0" w:after="0"/>
              <w:ind w:left="0" w:right="0"/>
            </w:pPr>
            <w:r>
              <w:t>花草树木</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pPr>
            <w:r>
              <w:t>50</w:t>
            </w:r>
          </w:p>
        </w:tc>
        <w:tc>
          <w:tcPr>
            <w:tcW w:w="1127" w:type="dxa"/>
            <w:noWrap w:val="0"/>
            <w:vAlign w:val="center"/>
          </w:tcPr>
          <w:p>
            <w:pPr>
              <w:pStyle w:val="28"/>
              <w:suppressLineNumbers w:val="0"/>
              <w:bidi w:val="0"/>
              <w:spacing w:before="0" w:after="0"/>
              <w:ind w:left="0" w:right="0"/>
            </w:pPr>
            <w:r>
              <w:t>2</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监测仪器</w:t>
            </w:r>
          </w:p>
        </w:tc>
        <w:tc>
          <w:tcPr>
            <w:tcW w:w="3713" w:type="dxa"/>
            <w:gridSpan w:val="2"/>
            <w:noWrap w:val="0"/>
            <w:vAlign w:val="center"/>
          </w:tcPr>
          <w:p>
            <w:pPr>
              <w:pStyle w:val="28"/>
              <w:suppressLineNumbers w:val="0"/>
              <w:bidi w:val="0"/>
              <w:spacing w:before="0" w:after="0"/>
              <w:ind w:left="0" w:right="0"/>
            </w:pPr>
            <w:r>
              <w:rPr>
                <w:rFonts w:hint="eastAsia"/>
                <w:lang w:val="en-US" w:eastAsia="zh-CN"/>
              </w:rPr>
              <w:t>DA001</w:t>
            </w:r>
            <w:r>
              <w:t>排气筒SO</w:t>
            </w:r>
            <w:r>
              <w:rPr>
                <w:vertAlign w:val="subscript"/>
              </w:rPr>
              <w:t>2</w:t>
            </w:r>
            <w:r>
              <w:t>、NOx、颗粒物</w:t>
            </w:r>
            <w:r>
              <w:rPr>
                <w:rFonts w:hint="eastAsia"/>
                <w:lang w:eastAsia="zh-CN"/>
              </w:rPr>
              <w:t>自动</w:t>
            </w:r>
            <w:r>
              <w:t>监测装置</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noWrap w:val="0"/>
            <w:vAlign w:val="center"/>
          </w:tcPr>
          <w:p>
            <w:pPr>
              <w:pStyle w:val="28"/>
              <w:suppressLineNumbers w:val="0"/>
              <w:bidi w:val="0"/>
              <w:spacing w:before="0" w:after="0"/>
              <w:ind w:left="0" w:right="0"/>
            </w:pPr>
            <w:r>
              <w:t>排污口设置</w:t>
            </w:r>
          </w:p>
        </w:tc>
        <w:tc>
          <w:tcPr>
            <w:tcW w:w="3713" w:type="dxa"/>
            <w:gridSpan w:val="2"/>
            <w:noWrap w:val="0"/>
            <w:vAlign w:val="center"/>
          </w:tcPr>
          <w:p>
            <w:pPr>
              <w:pStyle w:val="28"/>
              <w:suppressLineNumbers w:val="0"/>
              <w:bidi w:val="0"/>
              <w:spacing w:before="0" w:after="0"/>
              <w:ind w:left="0" w:right="0"/>
            </w:pPr>
            <w:r>
              <w:t>新建</w:t>
            </w:r>
            <w:r>
              <w:rPr>
                <w:rFonts w:hint="eastAsia"/>
              </w:rPr>
              <w:t>废水废气</w:t>
            </w:r>
            <w:r>
              <w:t>排污口</w:t>
            </w:r>
            <w:r>
              <w:rPr>
                <w:rFonts w:hint="eastAsia"/>
              </w:rPr>
              <w:t>，建设</w:t>
            </w:r>
            <w:r>
              <w:t>规范化标识</w:t>
            </w:r>
          </w:p>
        </w:tc>
        <w:tc>
          <w:tcPr>
            <w:tcW w:w="995" w:type="dxa"/>
            <w:noWrap w:val="0"/>
            <w:vAlign w:val="center"/>
          </w:tcPr>
          <w:p>
            <w:pPr>
              <w:pStyle w:val="28"/>
              <w:suppressLineNumbers w:val="0"/>
              <w:bidi w:val="0"/>
              <w:spacing w:before="0" w:after="0"/>
              <w:ind w:left="0" w:right="0"/>
            </w:pPr>
            <w:r>
              <w:t>一期</w:t>
            </w:r>
          </w:p>
        </w:tc>
        <w:tc>
          <w:tcPr>
            <w:tcW w:w="1400"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restart"/>
            <w:noWrap w:val="0"/>
            <w:vAlign w:val="center"/>
          </w:tcPr>
          <w:p>
            <w:pPr>
              <w:pStyle w:val="28"/>
              <w:suppressLineNumbers w:val="0"/>
              <w:bidi w:val="0"/>
              <w:spacing w:before="0" w:after="0"/>
              <w:ind w:left="0" w:right="0"/>
            </w:pPr>
            <w:r>
              <w:t>风险防治措施</w:t>
            </w:r>
          </w:p>
        </w:tc>
        <w:tc>
          <w:tcPr>
            <w:tcW w:w="3713" w:type="dxa"/>
            <w:gridSpan w:val="2"/>
            <w:noWrap w:val="0"/>
            <w:vAlign w:val="center"/>
          </w:tcPr>
          <w:p>
            <w:pPr>
              <w:pStyle w:val="28"/>
              <w:suppressLineNumbers w:val="0"/>
              <w:bidi w:val="0"/>
              <w:spacing w:before="0" w:after="0"/>
              <w:ind w:left="0" w:right="0"/>
            </w:pPr>
            <w:r>
              <w:t>报警系统、消防器材等</w:t>
            </w:r>
          </w:p>
        </w:tc>
        <w:tc>
          <w:tcPr>
            <w:tcW w:w="995" w:type="dxa"/>
            <w:noWrap w:val="0"/>
            <w:vAlign w:val="center"/>
          </w:tcPr>
          <w:p>
            <w:pPr>
              <w:pStyle w:val="28"/>
              <w:suppressLineNumbers w:val="0"/>
              <w:bidi w:val="0"/>
              <w:spacing w:before="0" w:after="0"/>
              <w:ind w:left="0" w:right="0"/>
            </w:pPr>
            <w:r>
              <w:t>一、二期</w:t>
            </w:r>
          </w:p>
        </w:tc>
        <w:tc>
          <w:tcPr>
            <w:tcW w:w="1400" w:type="dxa"/>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c>
          <w:tcPr>
            <w:tcW w:w="1127" w:type="dxa"/>
            <w:vMerge w:val="restar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w:t>
            </w: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rPr>
                <w:rFonts w:hint="eastAsia" w:eastAsia="宋体"/>
                <w:lang w:eastAsia="zh-CN"/>
              </w:rPr>
            </w:pPr>
            <w:r>
              <w:t>消防排水收集系统，包括消防尾水收集池</w:t>
            </w:r>
            <w:r>
              <w:rPr>
                <w:rFonts w:hint="eastAsia"/>
              </w:rPr>
              <w:t>（</w:t>
            </w:r>
            <w:r>
              <w:rPr>
                <w:rFonts w:hint="eastAsia"/>
                <w:lang w:val="en-US" w:eastAsia="zh-CN"/>
              </w:rPr>
              <w:t>242</w:t>
            </w:r>
            <w:r>
              <w:rPr>
                <w:rFonts w:hint="eastAsia"/>
              </w:rPr>
              <w:t>m3）</w:t>
            </w:r>
            <w:r>
              <w:t>、</w:t>
            </w:r>
            <w:r>
              <w:rPr>
                <w:rFonts w:hint="eastAsia"/>
                <w:lang w:eastAsia="zh-CN"/>
              </w:rPr>
              <w:t>渠道</w:t>
            </w:r>
          </w:p>
        </w:tc>
        <w:tc>
          <w:tcPr>
            <w:tcW w:w="995" w:type="dxa"/>
            <w:noWrap w:val="0"/>
            <w:vAlign w:val="center"/>
          </w:tcPr>
          <w:p>
            <w:pPr>
              <w:pStyle w:val="28"/>
              <w:suppressLineNumbers w:val="0"/>
              <w:bidi w:val="0"/>
              <w:spacing w:before="0" w:after="0"/>
              <w:ind w:left="0" w:right="0"/>
            </w:pPr>
            <w:r>
              <w:t>一期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建立相应的事故风险紧急监测系统</w:t>
            </w:r>
          </w:p>
        </w:tc>
        <w:tc>
          <w:tcPr>
            <w:tcW w:w="995" w:type="dxa"/>
            <w:noWrap w:val="0"/>
            <w:vAlign w:val="center"/>
          </w:tcPr>
          <w:p>
            <w:pPr>
              <w:pStyle w:val="28"/>
              <w:suppressLineNumbers w:val="0"/>
              <w:bidi w:val="0"/>
              <w:spacing w:before="0" w:after="0"/>
              <w:ind w:left="0" w:right="0"/>
            </w:pPr>
            <w:r>
              <w:t>一、二期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931" w:type="dxa"/>
            <w:vMerge w:val="continue"/>
            <w:noWrap w:val="0"/>
            <w:vAlign w:val="center"/>
          </w:tcPr>
          <w:p>
            <w:pPr>
              <w:pStyle w:val="28"/>
              <w:suppressLineNumbers w:val="0"/>
              <w:bidi w:val="0"/>
              <w:spacing w:before="0" w:after="0"/>
              <w:ind w:left="0" w:right="0"/>
              <w:outlineLvl w:val="9"/>
            </w:pPr>
          </w:p>
        </w:tc>
        <w:tc>
          <w:tcPr>
            <w:tcW w:w="3713" w:type="dxa"/>
            <w:gridSpan w:val="2"/>
            <w:noWrap w:val="0"/>
            <w:vAlign w:val="center"/>
          </w:tcPr>
          <w:p>
            <w:pPr>
              <w:pStyle w:val="28"/>
              <w:suppressLineNumbers w:val="0"/>
              <w:bidi w:val="0"/>
              <w:spacing w:before="0" w:after="0"/>
              <w:ind w:left="0" w:right="0"/>
            </w:pPr>
            <w:r>
              <w:t>其它风险防范措施</w:t>
            </w:r>
          </w:p>
        </w:tc>
        <w:tc>
          <w:tcPr>
            <w:tcW w:w="995" w:type="dxa"/>
            <w:noWrap w:val="0"/>
            <w:vAlign w:val="center"/>
          </w:tcPr>
          <w:p>
            <w:pPr>
              <w:pStyle w:val="28"/>
              <w:suppressLineNumbers w:val="0"/>
              <w:bidi w:val="0"/>
              <w:spacing w:before="0" w:after="0"/>
              <w:ind w:left="0" w:right="0"/>
            </w:pPr>
            <w:r>
              <w:t>一、二期</w:t>
            </w:r>
          </w:p>
        </w:tc>
        <w:tc>
          <w:tcPr>
            <w:tcW w:w="1400"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7" w:type="dxa"/>
            <w:vMerge w:val="continue"/>
            <w:noWrap w:val="0"/>
            <w:vAlign w:val="center"/>
          </w:tcPr>
          <w:p>
            <w:pPr>
              <w:pStyle w:val="28"/>
              <w:suppressLineNumbers w:val="0"/>
              <w:bidi w:val="0"/>
              <w:spacing w:before="0" w:after="0"/>
              <w:ind w:left="0" w:right="0"/>
              <w:outlineLvl w:val="9"/>
              <w:rPr>
                <w:rFonts w:hint="eastAsia"/>
                <w:lang w:val="en-US" w:eastAsia="zh-CN"/>
              </w:rPr>
            </w:pPr>
          </w:p>
        </w:tc>
        <w:tc>
          <w:tcPr>
            <w:tcW w:w="1120"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644" w:type="dxa"/>
            <w:gridSpan w:val="3"/>
            <w:noWrap w:val="0"/>
            <w:vAlign w:val="center"/>
          </w:tcPr>
          <w:p>
            <w:pPr>
              <w:pStyle w:val="28"/>
              <w:suppressLineNumbers w:val="0"/>
              <w:bidi w:val="0"/>
              <w:spacing w:before="0" w:after="0"/>
              <w:ind w:left="0" w:right="0"/>
            </w:pPr>
            <w:r>
              <w:t>环保投资合计</w:t>
            </w:r>
          </w:p>
        </w:tc>
        <w:tc>
          <w:tcPr>
            <w:tcW w:w="995" w:type="dxa"/>
            <w:noWrap w:val="0"/>
            <w:vAlign w:val="center"/>
          </w:tcPr>
          <w:p>
            <w:pPr>
              <w:pStyle w:val="28"/>
              <w:suppressLineNumbers w:val="0"/>
              <w:bidi w:val="0"/>
              <w:spacing w:before="0" w:after="0"/>
              <w:ind w:left="0" w:right="0"/>
            </w:pPr>
            <w:r>
              <w:t>-</w:t>
            </w:r>
          </w:p>
        </w:tc>
        <w:tc>
          <w:tcPr>
            <w:tcW w:w="1400"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971</w:t>
            </w:r>
          </w:p>
        </w:tc>
        <w:tc>
          <w:tcPr>
            <w:tcW w:w="1127"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237</w:t>
            </w:r>
          </w:p>
        </w:tc>
        <w:tc>
          <w:tcPr>
            <w:tcW w:w="1120" w:type="dxa"/>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644" w:type="dxa"/>
            <w:gridSpan w:val="3"/>
            <w:noWrap w:val="0"/>
            <w:vAlign w:val="center"/>
          </w:tcPr>
          <w:p>
            <w:pPr>
              <w:pStyle w:val="28"/>
              <w:suppressLineNumbers w:val="0"/>
              <w:bidi w:val="0"/>
              <w:spacing w:before="0" w:after="0"/>
              <w:ind w:left="0" w:right="0"/>
            </w:pPr>
            <w:r>
              <w:t>实施时段</w:t>
            </w:r>
          </w:p>
        </w:tc>
        <w:tc>
          <w:tcPr>
            <w:tcW w:w="995" w:type="dxa"/>
            <w:noWrap w:val="0"/>
            <w:vAlign w:val="center"/>
          </w:tcPr>
          <w:p>
            <w:pPr>
              <w:pStyle w:val="28"/>
              <w:suppressLineNumbers w:val="0"/>
              <w:bidi w:val="0"/>
              <w:spacing w:before="0" w:after="0"/>
              <w:ind w:left="0" w:right="0"/>
            </w:pPr>
            <w:r>
              <w:t>-</w:t>
            </w:r>
          </w:p>
        </w:tc>
        <w:tc>
          <w:tcPr>
            <w:tcW w:w="1400" w:type="dxa"/>
            <w:noWrap w:val="0"/>
            <w:vAlign w:val="center"/>
          </w:tcPr>
          <w:p>
            <w:pPr>
              <w:pStyle w:val="28"/>
              <w:suppressLineNumbers w:val="0"/>
              <w:bidi w:val="0"/>
              <w:spacing w:before="0" w:after="0"/>
              <w:ind w:left="0" w:right="0"/>
            </w:pPr>
            <w:r>
              <w:t>施工建设期</w:t>
            </w:r>
          </w:p>
        </w:tc>
        <w:tc>
          <w:tcPr>
            <w:tcW w:w="1127" w:type="dxa"/>
            <w:noWrap w:val="0"/>
            <w:vAlign w:val="center"/>
          </w:tcPr>
          <w:p>
            <w:pPr>
              <w:pStyle w:val="28"/>
              <w:suppressLineNumbers w:val="0"/>
              <w:bidi w:val="0"/>
              <w:spacing w:before="0" w:after="0"/>
              <w:ind w:left="0" w:right="0"/>
            </w:pPr>
            <w:r>
              <w:t>运营期</w:t>
            </w:r>
          </w:p>
        </w:tc>
        <w:tc>
          <w:tcPr>
            <w:tcW w:w="1120" w:type="dxa"/>
            <w:noWrap w:val="0"/>
            <w:vAlign w:val="center"/>
          </w:tcPr>
          <w:p>
            <w:pPr>
              <w:pStyle w:val="28"/>
              <w:suppressLineNumbers w:val="0"/>
              <w:bidi w:val="0"/>
              <w:spacing w:before="0" w:after="0"/>
              <w:ind w:left="0" w:right="0"/>
            </w:pPr>
            <w: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4644" w:type="dxa"/>
            <w:gridSpan w:val="3"/>
            <w:noWrap w:val="0"/>
            <w:vAlign w:val="center"/>
          </w:tcPr>
          <w:p>
            <w:pPr>
              <w:pStyle w:val="28"/>
              <w:suppressLineNumbers w:val="0"/>
              <w:bidi w:val="0"/>
              <w:spacing w:before="0" w:after="0"/>
              <w:ind w:left="0" w:right="0"/>
            </w:pPr>
            <w:r>
              <w:t>资金来源</w:t>
            </w:r>
          </w:p>
        </w:tc>
        <w:tc>
          <w:tcPr>
            <w:tcW w:w="995" w:type="dxa"/>
            <w:noWrap w:val="0"/>
            <w:vAlign w:val="center"/>
          </w:tcPr>
          <w:p>
            <w:pPr>
              <w:pStyle w:val="28"/>
              <w:suppressLineNumbers w:val="0"/>
              <w:bidi w:val="0"/>
              <w:spacing w:before="0" w:after="0"/>
              <w:ind w:left="0" w:right="0"/>
            </w:pPr>
            <w:r>
              <w:t>-</w:t>
            </w:r>
          </w:p>
        </w:tc>
        <w:tc>
          <w:tcPr>
            <w:tcW w:w="3647" w:type="dxa"/>
            <w:gridSpan w:val="3"/>
            <w:noWrap w:val="0"/>
            <w:vAlign w:val="center"/>
          </w:tcPr>
          <w:p>
            <w:pPr>
              <w:pStyle w:val="28"/>
              <w:suppressLineNumbers w:val="0"/>
              <w:bidi w:val="0"/>
              <w:spacing w:before="0" w:after="0"/>
              <w:ind w:left="0" w:right="0"/>
            </w:pPr>
            <w:r>
              <w:t>企业自筹</w:t>
            </w:r>
          </w:p>
        </w:tc>
      </w:tr>
    </w:tbl>
    <w:p>
      <w:pPr>
        <w:bidi w:val="0"/>
        <w:rPr>
          <w:rFonts w:hint="eastAsia"/>
          <w:lang w:eastAsia="zh-CN"/>
        </w:rPr>
      </w:pPr>
      <w:r>
        <w:rPr>
          <w:lang w:eastAsia="zh-CN"/>
        </w:rPr>
        <w:t>由表</w:t>
      </w:r>
      <w:r>
        <w:rPr>
          <w:rFonts w:hint="eastAsia"/>
          <w:lang w:eastAsia="zh-CN"/>
        </w:rPr>
        <w:t>7</w:t>
      </w:r>
      <w:r>
        <w:rPr>
          <w:lang w:eastAsia="zh-CN"/>
        </w:rPr>
        <w:t>.2</w:t>
      </w:r>
      <w:r>
        <w:rPr>
          <w:rFonts w:hint="eastAsia"/>
          <w:lang w:val="en-US" w:eastAsia="zh-CN"/>
        </w:rPr>
        <w:t>.1</w:t>
      </w:r>
      <w:r>
        <w:rPr>
          <w:lang w:eastAsia="zh-CN"/>
        </w:rPr>
        <w:t>-1</w:t>
      </w:r>
      <w:r>
        <w:rPr>
          <w:rFonts w:hint="eastAsia"/>
          <w:lang w:eastAsia="zh-CN"/>
        </w:rPr>
        <w:t>可知，</w:t>
      </w:r>
      <w:r>
        <w:rPr>
          <w:lang w:eastAsia="zh-CN"/>
        </w:rPr>
        <w:t>本项目环保直接投资估算约</w:t>
      </w:r>
      <w:r>
        <w:rPr>
          <w:rFonts w:hint="eastAsia"/>
          <w:lang w:val="en-US" w:eastAsia="zh-CN"/>
        </w:rPr>
        <w:t>971</w:t>
      </w:r>
      <w:r>
        <w:rPr>
          <w:lang w:eastAsia="zh-CN"/>
        </w:rPr>
        <w:t>万元，占总投资的</w:t>
      </w:r>
      <w:r>
        <w:rPr>
          <w:rFonts w:hint="eastAsia"/>
          <w:lang w:val="en-US" w:eastAsia="zh-CN"/>
        </w:rPr>
        <w:t>0.97</w:t>
      </w:r>
      <w:r>
        <w:rPr>
          <w:lang w:eastAsia="zh-CN"/>
        </w:rPr>
        <w:t>%。项目营运期间的环保运转费用主要是废水、废气治理方面。根据目前同类工程措施的运行费用情况，本项目环保设施运转费用在</w:t>
      </w:r>
      <w:r>
        <w:rPr>
          <w:rFonts w:hint="eastAsia"/>
          <w:lang w:val="en-US" w:eastAsia="zh-CN"/>
        </w:rPr>
        <w:t>237</w:t>
      </w:r>
      <w:r>
        <w:rPr>
          <w:lang w:eastAsia="zh-CN"/>
        </w:rPr>
        <w:t>万元左右。</w:t>
      </w:r>
      <w:r>
        <w:rPr>
          <w:rFonts w:hint="eastAsia"/>
          <w:lang w:eastAsia="zh-CN"/>
        </w:rPr>
        <w:t>是企业所能够承受的</w:t>
      </w:r>
    </w:p>
    <w:p>
      <w:pPr>
        <w:bidi w:val="0"/>
        <w:rPr>
          <w:rFonts w:hint="eastAsia"/>
          <w:lang w:eastAsia="zh-CN"/>
        </w:rPr>
      </w:pPr>
      <w:r>
        <w:rPr>
          <w:rFonts w:hint="eastAsia"/>
          <w:lang w:eastAsia="zh-CN"/>
        </w:rPr>
        <w:t>根据项目的环境影响评价及污染防治措施分析，上述环保设施的建成与投入运行，可以满足本项目废水、废气、噪声等达标排放、污染物总量控制及清洁生产的要求，可以保证企业有良好的生产环境。上述情况表明本项目环保投资可以满足环保设施要求。</w:t>
      </w:r>
    </w:p>
    <w:p>
      <w:pPr>
        <w:bidi w:val="0"/>
        <w:rPr>
          <w:lang w:eastAsia="zh-CN"/>
        </w:rPr>
      </w:pPr>
      <w:r>
        <w:rPr>
          <w:rFonts w:hint="eastAsia"/>
          <w:lang w:eastAsia="zh-CN"/>
        </w:rPr>
        <w:t>全面综合考虑上述各方面因素，部分的环境损失是永久性的，但也是项目建设的必然需求，例如大气污染物排入环境等等；部分损失是短暂的，且可通过环境管理得到相当程度的减缓，例如施工期产生的噪声污染等。项目的正面环境效益是永久性的，如对社会经济环境的影响、重要水环境污染源的清除、建立污水收集系统等。</w:t>
      </w:r>
    </w:p>
    <w:p>
      <w:pPr>
        <w:bidi w:val="0"/>
        <w:rPr>
          <w:lang w:eastAsia="zh-CN"/>
        </w:rPr>
      </w:pPr>
      <w:r>
        <w:rPr>
          <w:rFonts w:hint="eastAsia"/>
          <w:lang w:eastAsia="zh-CN"/>
        </w:rPr>
        <w:t>总之，本项目的建设对区域的环境影响方面，正面的将大于负面的，其中尤其是长久性的正面影响很多，负面影响中的主要部分也将可通过严格的管理得到减缓。基于上述分析，可以认为本项目的环境损益是可以接受的。</w:t>
      </w:r>
    </w:p>
    <w:p>
      <w:pPr>
        <w:pStyle w:val="5"/>
        <w:bidi w:val="0"/>
      </w:pPr>
      <w:r>
        <w:rPr>
          <w:rFonts w:hint="eastAsia"/>
          <w:lang w:eastAsia="zh-CN"/>
        </w:rPr>
        <w:t>7</w:t>
      </w:r>
      <w:r>
        <w:t>.2.2</w:t>
      </w:r>
      <w:r>
        <w:rPr>
          <w:lang w:eastAsia="zh-CN"/>
        </w:rPr>
        <w:t xml:space="preserve">  </w:t>
      </w:r>
      <w:r>
        <w:t>环保投资的环境—经济效益分析</w:t>
      </w:r>
    </w:p>
    <w:p>
      <w:pPr>
        <w:bidi w:val="0"/>
        <w:rPr>
          <w:lang w:eastAsia="zh-CN"/>
        </w:rPr>
      </w:pPr>
      <w:r>
        <w:rPr>
          <w:lang w:eastAsia="zh-CN"/>
        </w:rPr>
        <w:t>根据污染治理措施评价，项目采取的废水、废气、噪声、固废等污染治理设施，可达到有效控制污染和保护环境的目的。本项目环境效益表现在以下方面：</w:t>
      </w:r>
    </w:p>
    <w:p>
      <w:pPr>
        <w:bidi w:val="0"/>
        <w:rPr>
          <w:lang w:eastAsia="zh-CN"/>
        </w:rPr>
      </w:pPr>
      <w:r>
        <w:rPr>
          <w:lang w:eastAsia="zh-CN"/>
        </w:rPr>
        <w:t>（1）废气治理的环境效益分析</w:t>
      </w:r>
    </w:p>
    <w:p>
      <w:pPr>
        <w:bidi w:val="0"/>
        <w:rPr>
          <w:lang w:eastAsia="zh-CN"/>
        </w:rPr>
      </w:pPr>
      <w:r>
        <w:rPr>
          <w:rFonts w:hint="eastAsia"/>
          <w:lang w:eastAsia="zh-CN"/>
        </w:rPr>
        <w:t>本</w:t>
      </w:r>
      <w:r>
        <w:rPr>
          <w:lang w:eastAsia="zh-CN"/>
        </w:rPr>
        <w:t>项目产生的工艺废气经处理后，大大减少了废气的排放量，降低了对大气环境的影响，能够收到良好的环境效益。</w:t>
      </w:r>
    </w:p>
    <w:p>
      <w:pPr>
        <w:bidi w:val="0"/>
        <w:rPr>
          <w:lang w:eastAsia="zh-CN"/>
        </w:rPr>
      </w:pPr>
      <w:r>
        <w:rPr>
          <w:lang w:eastAsia="zh-CN"/>
        </w:rPr>
        <w:t>（2）噪声治理的环境效益分析</w:t>
      </w:r>
    </w:p>
    <w:p>
      <w:pPr>
        <w:bidi w:val="0"/>
        <w:rPr>
          <w:lang w:eastAsia="zh-CN"/>
        </w:rPr>
      </w:pPr>
      <w:r>
        <w:rPr>
          <w:rFonts w:hint="eastAsia"/>
          <w:lang w:eastAsia="zh-CN"/>
        </w:rPr>
        <w:t>本</w:t>
      </w:r>
      <w:r>
        <w:rPr>
          <w:lang w:eastAsia="zh-CN"/>
        </w:rPr>
        <w:t>项目通过合理布局及采取针对性较强的噪声污染防治措施，如减震、隔声等。这些措施的落实大大减轻了噪声污染，可以确保厂界噪声达标，且对外环境影响较小，能够收到良好的环境效益。</w:t>
      </w:r>
    </w:p>
    <w:p>
      <w:pPr>
        <w:bidi w:val="0"/>
        <w:rPr>
          <w:lang w:eastAsia="zh-CN"/>
        </w:rPr>
      </w:pPr>
      <w:r>
        <w:rPr>
          <w:lang w:eastAsia="zh-CN"/>
        </w:rPr>
        <w:t>（4）固废的环境效益分析</w:t>
      </w:r>
    </w:p>
    <w:p>
      <w:pPr>
        <w:bidi w:val="0"/>
        <w:rPr>
          <w:rFonts w:hint="eastAsia"/>
          <w:lang w:eastAsia="zh-CN"/>
        </w:rPr>
      </w:pPr>
      <w:r>
        <w:rPr>
          <w:lang w:eastAsia="zh-CN"/>
        </w:rPr>
        <w:t>本项目固体废物均能得到妥善处置，不会对周围环境造成影响。</w:t>
      </w:r>
    </w:p>
    <w:p>
      <w:pPr>
        <w:pStyle w:val="4"/>
        <w:bidi w:val="0"/>
      </w:pPr>
      <w:bookmarkStart w:id="209" w:name="_Toc474779842"/>
      <w:bookmarkStart w:id="210" w:name="_Toc9208"/>
      <w:r>
        <w:rPr>
          <w:rFonts w:hint="eastAsia"/>
          <w:lang w:eastAsia="zh-CN"/>
        </w:rPr>
        <w:t>7</w:t>
      </w:r>
      <w:r>
        <w:t>.3  项目社会效益分析</w:t>
      </w:r>
      <w:bookmarkEnd w:id="209"/>
      <w:bookmarkEnd w:id="210"/>
    </w:p>
    <w:p>
      <w:pPr>
        <w:bidi w:val="0"/>
        <w:rPr>
          <w:rFonts w:hint="eastAsia"/>
          <w:lang w:eastAsia="zh-CN"/>
        </w:rPr>
      </w:pPr>
      <w:r>
        <w:rPr>
          <w:lang w:eastAsia="zh-CN"/>
        </w:rPr>
        <w:t>由于</w:t>
      </w:r>
      <w:r>
        <w:rPr>
          <w:rFonts w:hint="eastAsia"/>
          <w:lang w:eastAsia="zh-CN"/>
        </w:rPr>
        <w:t>本</w:t>
      </w:r>
      <w:r>
        <w:rPr>
          <w:lang w:eastAsia="zh-CN"/>
        </w:rPr>
        <w:t>项目采用先进、合理、可靠的工艺技术和污染治理手段，大大降低各类污染物的排放量。同时，本工程经济效益良好，除上交国家一定利税外，同时又能提供一定数量人员的劳动就业机会，还能促进本地区相关企业发展，为地方经济发展做出贡献。</w:t>
      </w:r>
    </w:p>
    <w:p>
      <w:pPr>
        <w:bidi w:val="0"/>
        <w:rPr>
          <w:rFonts w:hint="eastAsia"/>
          <w:lang w:eastAsia="zh-CN"/>
        </w:rPr>
      </w:pPr>
      <w:r>
        <w:rPr>
          <w:lang w:eastAsia="zh-CN"/>
        </w:rPr>
        <w:t>综上分析，</w:t>
      </w:r>
      <w:r>
        <w:rPr>
          <w:rFonts w:hint="eastAsia"/>
          <w:lang w:eastAsia="zh-CN"/>
        </w:rPr>
        <w:t>本</w:t>
      </w:r>
      <w:r>
        <w:rPr>
          <w:lang w:eastAsia="zh-CN"/>
        </w:rPr>
        <w:t>项目社会效益十分突出。</w:t>
      </w:r>
    </w:p>
    <w:p>
      <w:pPr>
        <w:spacing w:line="500" w:lineRule="exact"/>
        <w:ind w:left="0" w:leftChars="0" w:firstLine="0" w:firstLineChars="0"/>
        <w:jc w:val="both"/>
        <w:rPr>
          <w:rFonts w:ascii="Times New Roman" w:hAnsi="Times New Roman" w:eastAsia="宋体"/>
          <w:b/>
          <w:szCs w:val="21"/>
        </w:rPr>
      </w:pPr>
    </w:p>
    <w:p>
      <w:pPr>
        <w:spacing w:line="500" w:lineRule="exact"/>
        <w:ind w:firstLine="562" w:firstLineChars="200"/>
        <w:jc w:val="both"/>
        <w:rPr>
          <w:rFonts w:ascii="Times New Roman" w:hAnsi="Times New Roman" w:eastAsia="宋体"/>
          <w:b/>
          <w:szCs w:val="21"/>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3"/>
        <w:bidi w:val="0"/>
        <w:rPr>
          <w:rFonts w:hint="eastAsia"/>
          <w:lang w:val="en-US" w:eastAsia="zh-CN"/>
        </w:rPr>
      </w:pPr>
      <w:bookmarkStart w:id="211" w:name="_Toc1721"/>
      <w:r>
        <w:rPr>
          <w:rFonts w:hint="eastAsia"/>
          <w:lang w:val="en-US" w:eastAsia="zh-CN"/>
        </w:rPr>
        <w:t>8 环境管理与监测计划</w:t>
      </w:r>
      <w:bookmarkEnd w:id="211"/>
    </w:p>
    <w:p>
      <w:pPr>
        <w:bidi w:val="0"/>
        <w:rPr>
          <w:rFonts w:hint="eastAsia" w:eastAsia="宋体"/>
          <w:lang w:val="en-US" w:eastAsia="zh-CN"/>
        </w:rPr>
      </w:pPr>
      <w:r>
        <w:rPr>
          <w:rFonts w:hint="eastAsia"/>
        </w:rPr>
        <w:t>根据环保设施应与建设项目同时设计、同时施工、同时投产的“三同时”制度，公司污染防治对策的实施应与其建设计划相一致。同时在设计污染防治对策实施计划时，应考虑设施自身的建设特点，如建设周期、工程整体性等基本要求</w:t>
      </w:r>
      <w:r>
        <w:rPr>
          <w:rFonts w:hint="eastAsia"/>
          <w:lang w:eastAsia="zh-CN"/>
        </w:rPr>
        <w:t>。</w:t>
      </w:r>
    </w:p>
    <w:p>
      <w:pPr>
        <w:pStyle w:val="4"/>
        <w:bidi w:val="0"/>
      </w:pPr>
      <w:bookmarkStart w:id="212" w:name="_Toc527394304"/>
      <w:bookmarkStart w:id="213" w:name="_Toc23075_WPSOffice_Level1"/>
      <w:bookmarkStart w:id="214" w:name="_Toc527487038"/>
      <w:bookmarkStart w:id="215" w:name="_Toc28334"/>
      <w:r>
        <w:rPr>
          <w:rFonts w:hint="eastAsia"/>
          <w:lang w:val="en-US" w:eastAsia="zh-CN"/>
        </w:rPr>
        <w:t>8.1</w:t>
      </w:r>
      <w:r>
        <w:t>环境管理要求</w:t>
      </w:r>
      <w:bookmarkEnd w:id="212"/>
      <w:bookmarkEnd w:id="213"/>
      <w:bookmarkEnd w:id="214"/>
      <w:bookmarkEnd w:id="215"/>
    </w:p>
    <w:p>
      <w:pPr>
        <w:pStyle w:val="5"/>
        <w:bidi w:val="0"/>
      </w:pPr>
      <w:bookmarkStart w:id="216" w:name="_Toc22704_WPSOffice_Level2"/>
      <w:r>
        <w:rPr>
          <w:rFonts w:hint="eastAsia"/>
          <w:lang w:val="en-US" w:eastAsia="zh-CN"/>
        </w:rPr>
        <w:t>8.</w:t>
      </w:r>
      <w:r>
        <w:rPr>
          <w:rFonts w:hint="eastAsia"/>
        </w:rPr>
        <w:t>1.1设计阶段环境管理要求</w:t>
      </w:r>
      <w:bookmarkEnd w:id="216"/>
    </w:p>
    <w:p>
      <w:pPr>
        <w:bidi w:val="0"/>
      </w:pPr>
      <w:r>
        <w:rPr>
          <w:rFonts w:hint="eastAsia"/>
        </w:rPr>
        <w:t>⑴</w:t>
      </w:r>
      <w:r>
        <w:t>认真落实“三同时”制度。</w:t>
      </w:r>
    </w:p>
    <w:p>
      <w:pPr>
        <w:bidi w:val="0"/>
      </w:pPr>
      <w:r>
        <w:rPr>
          <w:rFonts w:hint="eastAsia"/>
        </w:rPr>
        <w:t>⑵</w:t>
      </w:r>
      <w:r>
        <w:t>委托设计单位进行初步设计，落实环评报告书及审批意见提出的环保要求，将环保设施建设费用列入工程投资，进行环保投资预算。</w:t>
      </w:r>
    </w:p>
    <w:p>
      <w:pPr>
        <w:bidi w:val="0"/>
      </w:pPr>
      <w:r>
        <w:rPr>
          <w:rFonts w:hint="eastAsia"/>
        </w:rPr>
        <w:t>⑶</w:t>
      </w:r>
      <w:r>
        <w:t>设计中对环保设施与环评批复要求的相符性进行复核。对涉及工程、环保设施的变化，应及时向环保部门汇报。</w:t>
      </w:r>
    </w:p>
    <w:p>
      <w:pPr>
        <w:pStyle w:val="5"/>
        <w:bidi w:val="0"/>
      </w:pPr>
      <w:bookmarkStart w:id="217" w:name="_Toc13534_WPSOffice_Level2"/>
      <w:r>
        <w:rPr>
          <w:rFonts w:hint="eastAsia"/>
          <w:lang w:val="en-US" w:eastAsia="zh-CN"/>
        </w:rPr>
        <w:t>8.1</w:t>
      </w:r>
      <w:r>
        <w:rPr>
          <w:rFonts w:hint="eastAsia"/>
        </w:rPr>
        <w:t>.2 施工阶段环境管理要求</w:t>
      </w:r>
      <w:bookmarkEnd w:id="217"/>
    </w:p>
    <w:p>
      <w:pPr>
        <w:pStyle w:val="6"/>
        <w:bidi w:val="0"/>
      </w:pPr>
      <w:r>
        <w:rPr>
          <w:rFonts w:hint="eastAsia"/>
          <w:lang w:val="en-US" w:eastAsia="zh-CN"/>
        </w:rPr>
        <w:t>8.</w:t>
      </w:r>
      <w:r>
        <w:rPr>
          <w:rFonts w:hint="eastAsia"/>
        </w:rPr>
        <w:t>1.2.1</w:t>
      </w:r>
      <w:r>
        <w:t>施工期环境管理要求</w:t>
      </w:r>
    </w:p>
    <w:p>
      <w:pPr>
        <w:bidi w:val="0"/>
      </w:pPr>
      <w:r>
        <w:t>(1) 加强施工管理，合理安排施工作业时间，严格按照施工噪声管理的有关规定执行。</w:t>
      </w:r>
    </w:p>
    <w:p>
      <w:pPr>
        <w:bidi w:val="0"/>
      </w:pPr>
      <w:r>
        <w:t>(2) 尽量采用低噪声的施工工具，如以液压工具代替气压工具，同时尽可能采用施工噪声低的施工方法。</w:t>
      </w:r>
    </w:p>
    <w:p>
      <w:pPr>
        <w:bidi w:val="0"/>
      </w:pPr>
      <w:r>
        <w:t>(3) 在高噪声设备周围设置掩蔽物。</w:t>
      </w:r>
    </w:p>
    <w:p>
      <w:pPr>
        <w:bidi w:val="0"/>
      </w:pPr>
      <w:r>
        <w:t>(4) 施工期生活污水，须有效收集</w:t>
      </w:r>
      <w:r>
        <w:rPr>
          <w:rFonts w:hint="eastAsia"/>
          <w:lang w:eastAsia="zh-CN"/>
        </w:rPr>
        <w:t>处理</w:t>
      </w:r>
      <w:r>
        <w:t>。</w:t>
      </w:r>
    </w:p>
    <w:p>
      <w:pPr>
        <w:bidi w:val="0"/>
      </w:pPr>
      <w:r>
        <w:t>(5) 施工期生活垃圾须及时清运，其他施工期固废须及时收集并外售处置。</w:t>
      </w:r>
    </w:p>
    <w:p>
      <w:pPr>
        <w:pStyle w:val="6"/>
        <w:bidi w:val="0"/>
      </w:pPr>
      <w:r>
        <w:rPr>
          <w:rFonts w:hint="eastAsia"/>
          <w:lang w:val="en-US" w:eastAsia="zh-CN"/>
        </w:rPr>
        <w:t>8.</w:t>
      </w:r>
      <w:r>
        <w:rPr>
          <w:rFonts w:hint="eastAsia"/>
        </w:rPr>
        <w:t>1.2.2</w:t>
      </w:r>
      <w:r>
        <w:t>项目建设管理要求</w:t>
      </w:r>
    </w:p>
    <w:p>
      <w:pPr>
        <w:bidi w:val="0"/>
      </w:pPr>
      <w:r>
        <w:rPr>
          <w:rFonts w:hint="eastAsia"/>
        </w:rPr>
        <w:t>⑴</w:t>
      </w:r>
      <w:r>
        <w:t>严格落实“三同时”制度。</w:t>
      </w:r>
    </w:p>
    <w:p>
      <w:pPr>
        <w:bidi w:val="0"/>
      </w:pPr>
      <w:r>
        <w:rPr>
          <w:rFonts w:hint="eastAsia"/>
        </w:rPr>
        <w:t>⑵</w:t>
      </w:r>
      <w:r>
        <w:t>工程建设质量须满足建设工程验收要求。</w:t>
      </w:r>
    </w:p>
    <w:p>
      <w:pPr>
        <w:bidi w:val="0"/>
      </w:pPr>
      <w:r>
        <w:rPr>
          <w:rFonts w:hint="eastAsia"/>
        </w:rPr>
        <w:t>⑶</w:t>
      </w:r>
      <w:r>
        <w:t>工程建设内容须满足环评报告及其批复、设计文件要求，建设过程中不得随意更改工程建设内容。</w:t>
      </w:r>
    </w:p>
    <w:p>
      <w:pPr>
        <w:bidi w:val="0"/>
      </w:pPr>
      <w:r>
        <w:rPr>
          <w:rFonts w:hint="eastAsia"/>
        </w:rPr>
        <w:t>⑷</w:t>
      </w:r>
      <w:r>
        <w:t>对涉及工程、环保设施的变化，应及时向环保部门汇报。</w:t>
      </w:r>
    </w:p>
    <w:p>
      <w:pPr>
        <w:pStyle w:val="5"/>
        <w:bidi w:val="0"/>
      </w:pPr>
      <w:bookmarkStart w:id="218" w:name="_Toc28224_WPSOffice_Level2"/>
      <w:r>
        <w:rPr>
          <w:rFonts w:hint="eastAsia"/>
          <w:lang w:val="en-US" w:eastAsia="zh-CN"/>
        </w:rPr>
        <w:t>8.</w:t>
      </w:r>
      <w:r>
        <w:rPr>
          <w:rFonts w:hint="eastAsia"/>
        </w:rPr>
        <w:t>1.3 运营期环境管理要求</w:t>
      </w:r>
      <w:bookmarkEnd w:id="218"/>
    </w:p>
    <w:p>
      <w:pPr>
        <w:bidi w:val="0"/>
      </w:pPr>
      <w:r>
        <w:t>落实本项目提出的污染防治措施，加强日常的巡检，定期对环保设施的维护与保养，做到环保设施与主体生产设施同步运转。环保设施需由有资质的单位设计和施工，日常生产中需正常运行，并能满足所处置污染物的达标排放。</w:t>
      </w:r>
    </w:p>
    <w:p>
      <w:pPr>
        <w:bidi w:val="0"/>
        <w:rPr>
          <w:rFonts w:ascii="宋体" w:hAnsi="宋体" w:cs="宋体"/>
          <w:color w:val="000000"/>
        </w:rPr>
      </w:pPr>
      <w:r>
        <w:t>企业应建立风险管理及应急救援体系，执行环境监测计划、处置过程安全操作规程、人员培训考核制度、档案管理制度、处置全过程管理制度等。</w:t>
      </w:r>
    </w:p>
    <w:p>
      <w:pPr>
        <w:pStyle w:val="4"/>
        <w:bidi w:val="0"/>
        <w:rPr>
          <w:rFonts w:hint="default"/>
          <w:lang w:val="en-US" w:eastAsia="zh-CN"/>
        </w:rPr>
      </w:pPr>
      <w:bookmarkStart w:id="219" w:name="_Toc16791"/>
      <w:r>
        <w:rPr>
          <w:rFonts w:hint="eastAsia"/>
          <w:lang w:val="en-US" w:eastAsia="zh-CN"/>
        </w:rPr>
        <w:t>8.2 污染物排放清单</w:t>
      </w:r>
      <w:bookmarkEnd w:id="219"/>
    </w:p>
    <w:p>
      <w:pPr>
        <w:pStyle w:val="5"/>
        <w:bidi w:val="0"/>
      </w:pPr>
      <w:bookmarkStart w:id="220" w:name="_Toc527394306"/>
      <w:bookmarkStart w:id="221" w:name="_Toc527487040"/>
      <w:bookmarkStart w:id="222" w:name="_Toc6621_WPSOffice_Level2"/>
      <w:r>
        <w:rPr>
          <w:rFonts w:hint="eastAsia"/>
          <w:lang w:val="en-US" w:eastAsia="zh-CN"/>
        </w:rPr>
        <w:t>8.2.1</w:t>
      </w:r>
      <w:r>
        <w:t>项目工程组成</w:t>
      </w:r>
      <w:bookmarkEnd w:id="220"/>
      <w:bookmarkEnd w:id="221"/>
      <w:bookmarkEnd w:id="222"/>
    </w:p>
    <w:p>
      <w:pPr>
        <w:bidi w:val="0"/>
      </w:pPr>
      <w:r>
        <w:t>项目建设</w:t>
      </w:r>
      <w:r>
        <w:rPr>
          <w:rFonts w:hint="eastAsia"/>
          <w:lang w:val="en-US" w:eastAsia="zh-CN"/>
        </w:rPr>
        <w:t>10</w:t>
      </w:r>
      <w:r>
        <w:t>0000t/a</w:t>
      </w:r>
      <w:r>
        <w:rPr>
          <w:rFonts w:hint="eastAsia"/>
          <w:lang w:eastAsia="zh-CN"/>
        </w:rPr>
        <w:t>新型</w:t>
      </w:r>
      <w:r>
        <w:t>增碳剂项目，详见</w:t>
      </w:r>
      <w:r>
        <w:rPr>
          <w:rFonts w:hint="eastAsia"/>
          <w:lang w:val="en-US" w:eastAsia="zh-CN"/>
        </w:rPr>
        <w:t>8.2.1-1</w:t>
      </w:r>
      <w:r>
        <w:t>。</w:t>
      </w:r>
    </w:p>
    <w:p>
      <w:pPr>
        <w:pStyle w:val="27"/>
        <w:bidi w:val="0"/>
      </w:pPr>
      <w:r>
        <w:t>表</w:t>
      </w:r>
      <w:r>
        <w:rPr>
          <w:rFonts w:hint="eastAsia"/>
          <w:lang w:val="en-US" w:eastAsia="zh-CN"/>
        </w:rPr>
        <w:t>8.2.1-</w:t>
      </w:r>
      <w:r>
        <w:t>1 项目工程组成情况表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6"/>
        <w:gridCol w:w="2389"/>
        <w:gridCol w:w="1889"/>
        <w:gridCol w:w="2109"/>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类别</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建设</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名称</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设计能力</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主体工程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车间一</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t>建筑面积</w:t>
            </w:r>
            <w:r>
              <w:rPr>
                <w:rFonts w:hint="eastAsia" w:ascii="Times New Roman" w:hAnsi="Times New Roman" w:eastAsia="宋体"/>
                <w:color w:val="auto"/>
                <w:sz w:val="21"/>
                <w:lang w:val="en-US" w:eastAsia="zh-CN"/>
              </w:rPr>
              <w:t>4112.9m</w:t>
            </w:r>
            <w:r>
              <w:rPr>
                <w:rFonts w:hint="eastAsia" w:ascii="Times New Roman" w:hAnsi="Times New Roman" w:eastAsia="宋体"/>
                <w:color w:val="auto"/>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生产车间内置</w:t>
            </w:r>
            <w:r>
              <w:rPr>
                <w:rFonts w:hint="eastAsia" w:ascii="Times New Roman" w:hAnsi="Times New Roman" w:eastAsia="宋体"/>
                <w:sz w:val="21"/>
                <w:lang w:val="en-US" w:eastAsia="zh-CN"/>
              </w:rPr>
              <w:t>12台埋弧式电煅炉，车间内设置12台25000KVA变压器和装料航吊</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val="en-US" w:eastAsia="zh-CN"/>
              </w:rPr>
              <w:t>车间二</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建筑面积</w:t>
            </w:r>
            <w:r>
              <w:rPr>
                <w:rFonts w:hint="eastAsia" w:ascii="Times New Roman" w:hAnsi="Times New Roman"/>
                <w:color w:val="auto"/>
                <w:sz w:val="21"/>
                <w:lang w:val="en-US" w:eastAsia="zh-CN"/>
              </w:rPr>
              <w:t>5503.28</w:t>
            </w:r>
            <w:r>
              <w:rPr>
                <w:rFonts w:hint="eastAsia" w:ascii="Times New Roman" w:hAnsi="Times New Roman" w:eastAsia="宋体"/>
                <w:sz w:val="21"/>
                <w:lang w:val="en-US" w:eastAsia="zh-CN"/>
              </w:rPr>
              <w:t>m</w:t>
            </w:r>
            <w:r>
              <w:rPr>
                <w:rFonts w:hint="eastAsia" w:ascii="Times New Roman" w:hAnsi="Times New Roman" w:eastAsia="宋体"/>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生产车间内置</w:t>
            </w:r>
            <w:r>
              <w:rPr>
                <w:rFonts w:hint="eastAsia" w:ascii="Times New Roman" w:hAnsi="Times New Roman" w:eastAsia="宋体"/>
                <w:sz w:val="21"/>
                <w:lang w:val="en-US" w:eastAsia="zh-CN"/>
              </w:rPr>
              <w:t>12台埋弧式电煅炉，车间内设置12台25000KVA变压器和装料航吊</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破碎、筛分车间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建筑面积</w:t>
            </w:r>
            <w:r>
              <w:rPr>
                <w:rFonts w:hint="eastAsia" w:ascii="Times New Roman" w:hAnsi="Times New Roman" w:eastAsia="宋体"/>
                <w:color w:val="auto"/>
                <w:sz w:val="21"/>
                <w:lang w:val="en-US" w:eastAsia="zh-CN"/>
              </w:rPr>
              <w:t>6278.14</w:t>
            </w:r>
            <w:r>
              <w:rPr>
                <w:rFonts w:hint="eastAsia" w:ascii="Times New Roman" w:hAnsi="Times New Roman" w:eastAsia="宋体"/>
                <w:sz w:val="21"/>
                <w:lang w:val="en-US" w:eastAsia="zh-CN"/>
              </w:rPr>
              <w:t>m</w:t>
            </w:r>
            <w:r>
              <w:rPr>
                <w:rFonts w:hint="eastAsia" w:ascii="Times New Roman" w:hAnsi="Times New Roman" w:eastAsia="宋体"/>
                <w:sz w:val="21"/>
                <w:vertAlign w:val="superscript"/>
                <w:lang w:val="en-US" w:eastAsia="zh-CN"/>
              </w:rPr>
              <w:t>2</w:t>
            </w:r>
            <w:r>
              <w:rPr>
                <w:rFonts w:ascii="Times New Roman" w:hAnsi="Times New Roman" w:eastAsia="宋体"/>
                <w:sz w:val="21"/>
              </w:rPr>
              <w:t>，</w:t>
            </w:r>
            <w:r>
              <w:rPr>
                <w:rFonts w:hint="eastAsia" w:ascii="Times New Roman" w:hAnsi="Times New Roman" w:eastAsia="宋体"/>
                <w:sz w:val="21"/>
                <w:lang w:eastAsia="zh-CN"/>
              </w:rPr>
              <w:t>对冶炼后的半成品增碳剂进行破碎筛分、包装和成品储存，内设破碎机、筛分机、包装机等</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辅助工程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综合楼</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color w:val="0000FF"/>
                <w:sz w:val="21"/>
                <w:lang w:val="en-US" w:eastAsia="zh-CN"/>
              </w:rPr>
            </w:pPr>
            <w:r>
              <w:rPr>
                <w:rFonts w:hint="eastAsia" w:ascii="Times New Roman" w:hAnsi="Times New Roman" w:eastAsia="宋体"/>
                <w:color w:val="auto"/>
                <w:sz w:val="21"/>
                <w:lang w:eastAsia="zh-CN"/>
              </w:rPr>
              <w:t>占地面积</w:t>
            </w:r>
            <w:r>
              <w:rPr>
                <w:rFonts w:hint="eastAsia" w:ascii="Times New Roman" w:hAnsi="Times New Roman" w:eastAsia="宋体"/>
                <w:color w:val="auto"/>
                <w:sz w:val="21"/>
                <w:lang w:val="en-US" w:eastAsia="zh-CN"/>
              </w:rPr>
              <w:t>573.26m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建筑面积</w:t>
            </w:r>
            <w:r>
              <w:rPr>
                <w:rFonts w:hint="eastAsia" w:ascii="Times New Roman" w:hAnsi="Times New Roman" w:eastAsia="宋体"/>
                <w:color w:val="auto"/>
                <w:sz w:val="21"/>
                <w:lang w:val="en-US" w:eastAsia="zh-CN"/>
              </w:rPr>
              <w:t>1672.63m</w:t>
            </w:r>
            <w:r>
              <w:rPr>
                <w:rFonts w:hint="eastAsia" w:ascii="Times New Roman" w:hAnsi="Times New Roman" w:eastAsia="宋体"/>
                <w:color w:val="auto"/>
                <w:sz w:val="21"/>
                <w:vertAlign w:val="superscript"/>
                <w:lang w:val="en-US" w:eastAsia="zh-CN"/>
              </w:rPr>
              <w:t>2</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内含食堂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配电房</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t>新建</w:t>
            </w:r>
            <w:r>
              <w:rPr>
                <w:rFonts w:hint="eastAsia" w:ascii="Times New Roman" w:hAnsi="Times New Roman" w:eastAsia="宋体"/>
                <w:sz w:val="21"/>
                <w:lang w:val="en-US" w:eastAsia="zh-CN"/>
              </w:rPr>
              <w:t>1座配电室，</w:t>
            </w:r>
            <w:r>
              <w:rPr>
                <w:rFonts w:hint="eastAsia" w:ascii="Times New Roman" w:hAnsi="Times New Roman" w:eastAsia="宋体"/>
                <w:color w:val="auto"/>
                <w:sz w:val="21"/>
                <w:lang w:eastAsia="zh-CN"/>
              </w:rPr>
              <w:t>占地面积</w:t>
            </w:r>
            <w:r>
              <w:rPr>
                <w:rFonts w:hint="eastAsia" w:ascii="Times New Roman" w:hAnsi="Times New Roman"/>
                <w:color w:val="auto"/>
                <w:sz w:val="21"/>
                <w:lang w:val="en-US" w:eastAsia="zh-CN"/>
              </w:rPr>
              <w:t>180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建筑面积</w:t>
            </w:r>
            <w:r>
              <w:rPr>
                <w:rFonts w:hint="eastAsia" w:ascii="Times New Roman" w:hAnsi="Times New Roman"/>
                <w:color w:val="auto"/>
                <w:sz w:val="21"/>
                <w:lang w:val="en-US" w:eastAsia="zh-CN"/>
              </w:rPr>
              <w:t>180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r>
              <w:rPr>
                <w:rFonts w:ascii="Times New Roman" w:hAnsi="Times New Roman" w:eastAsia="宋体"/>
                <w:color w:val="auto"/>
                <w:sz w:val="21"/>
              </w:rPr>
              <w:t>，</w:t>
            </w:r>
            <w:r>
              <w:rPr>
                <w:rFonts w:hint="eastAsia" w:ascii="Times New Roman" w:hAnsi="Times New Roman" w:eastAsia="宋体"/>
                <w:color w:val="auto"/>
                <w:sz w:val="21"/>
                <w:lang w:eastAsia="zh-CN"/>
              </w:rPr>
              <w:t>配置</w:t>
            </w:r>
            <w:r>
              <w:rPr>
                <w:rFonts w:hint="eastAsia" w:ascii="Times New Roman" w:hAnsi="Times New Roman" w:eastAsia="宋体"/>
                <w:color w:val="auto"/>
                <w:sz w:val="21"/>
                <w:lang w:val="en-US" w:eastAsia="zh-CN"/>
              </w:rPr>
              <w:t>2台25000KVA电阻炉变压器，配套设置高低压配电柜</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公</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用</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工</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供水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1 \* GB2 \* MERGEFORMAT </w:instrText>
            </w:r>
            <w:r>
              <w:rPr>
                <w:rFonts w:hint="eastAsia" w:ascii="Times New Roman" w:hAnsi="Times New Roman" w:eastAsia="宋体"/>
                <w:sz w:val="21"/>
                <w:lang w:eastAsia="zh-CN"/>
              </w:rPr>
              <w:fldChar w:fldCharType="separate"/>
            </w:r>
            <w:r>
              <w:t>⑴</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供水：</w:t>
            </w:r>
            <w:r>
              <w:rPr>
                <w:rFonts w:hint="eastAsia" w:ascii="Times New Roman" w:hAnsi="Times New Roman"/>
                <w:sz w:val="21"/>
                <w:lang w:val="en-US" w:eastAsia="zh-CN"/>
              </w:rPr>
              <w:t>148533</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其中一期项目新鲜水用量为</w:t>
            </w:r>
            <w:r>
              <w:rPr>
                <w:rFonts w:hint="eastAsia" w:ascii="Times New Roman" w:hAnsi="Times New Roman"/>
                <w:sz w:val="21"/>
                <w:lang w:val="en-US" w:eastAsia="zh-CN"/>
              </w:rPr>
              <w:t>74589.9</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，二期项目新鲜水用量为</w:t>
            </w:r>
            <w:r>
              <w:rPr>
                <w:rFonts w:hint="eastAsia" w:ascii="Times New Roman" w:hAnsi="Times New Roman"/>
                <w:sz w:val="21"/>
                <w:lang w:val="en-US" w:eastAsia="zh-CN"/>
              </w:rPr>
              <w:t>73943.1</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/a，由区域供水管网供给。</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rPr>
            </w:pPr>
            <w:r>
              <w:rPr>
                <w:rFonts w:ascii="Times New Roman" w:hAnsi="Times New Roman" w:eastAsia="宋体"/>
                <w:sz w:val="21"/>
              </w:rPr>
              <w:fldChar w:fldCharType="begin"/>
            </w:r>
            <w:r>
              <w:rPr>
                <w:rFonts w:ascii="Times New Roman" w:hAnsi="Times New Roman" w:eastAsia="宋体"/>
                <w:sz w:val="21"/>
              </w:rPr>
              <w:instrText xml:space="preserve"> = 2 \* GB2 \* MERGEFORMAT </w:instrText>
            </w:r>
            <w:r>
              <w:rPr>
                <w:rFonts w:ascii="Times New Roman" w:hAnsi="Times New Roman" w:eastAsia="宋体"/>
                <w:sz w:val="21"/>
              </w:rPr>
              <w:fldChar w:fldCharType="separate"/>
            </w:r>
            <w:r>
              <w:t>⑵</w:t>
            </w:r>
            <w:r>
              <w:rPr>
                <w:rFonts w:ascii="Times New Roman" w:hAnsi="Times New Roman" w:eastAsia="宋体"/>
                <w:sz w:val="21"/>
              </w:rPr>
              <w:fldChar w:fldCharType="end"/>
            </w:r>
            <w:r>
              <w:rPr>
                <w:rFonts w:ascii="Times New Roman" w:hAnsi="Times New Roman" w:eastAsia="宋体"/>
                <w:sz w:val="21"/>
              </w:rPr>
              <w:t>建设</w:t>
            </w:r>
            <w:r>
              <w:rPr>
                <w:rFonts w:hint="eastAsia" w:ascii="Times New Roman" w:hAnsi="Times New Roman" w:eastAsia="宋体"/>
                <w:sz w:val="21"/>
                <w:lang w:val="en-US" w:eastAsia="zh-CN"/>
              </w:rPr>
              <w:t>4</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/h</w:t>
            </w:r>
            <w:r>
              <w:rPr>
                <w:rFonts w:hint="eastAsia" w:ascii="Times New Roman" w:hAnsi="Times New Roman" w:eastAsia="宋体"/>
                <w:sz w:val="21"/>
                <w:lang w:eastAsia="zh-CN"/>
              </w:rPr>
              <w:t>树脂</w:t>
            </w:r>
            <w:r>
              <w:rPr>
                <w:rFonts w:ascii="Times New Roman" w:hAnsi="Times New Roman" w:eastAsia="宋体"/>
                <w:sz w:val="21"/>
              </w:rPr>
              <w:t>软化水装置。</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来自园区供水管网</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软化水装置一期建成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排水</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1 \* GB2 \* MERGEFORMAT </w:instrText>
            </w:r>
            <w:r>
              <w:rPr>
                <w:rFonts w:hint="eastAsia" w:ascii="Times New Roman" w:hAnsi="Times New Roman" w:eastAsia="宋体"/>
                <w:sz w:val="21"/>
                <w:lang w:eastAsia="zh-CN"/>
              </w:rPr>
              <w:fldChar w:fldCharType="separate"/>
            </w:r>
            <w:r>
              <w:rPr>
                <w:rFonts w:ascii="Times New Roman" w:hAnsi="Times New Roman" w:eastAsia="宋体"/>
                <w:sz w:val="21"/>
              </w:rPr>
              <w:t>⑴</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项目废水排放总量为</w:t>
            </w:r>
            <w:r>
              <w:rPr>
                <w:rFonts w:hint="eastAsia" w:ascii="Times New Roman" w:hAnsi="Times New Roman" w:eastAsia="宋体"/>
                <w:sz w:val="21"/>
                <w:lang w:val="en-US" w:eastAsia="zh-CN"/>
              </w:rPr>
              <w:t>1636.8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一期项目污水量为</w:t>
            </w:r>
            <w:r>
              <w:rPr>
                <w:rFonts w:hint="eastAsia" w:ascii="Times New Roman" w:hAnsi="Times New Roman" w:eastAsia="宋体"/>
                <w:sz w:val="21"/>
                <w:lang w:val="en-US" w:eastAsia="zh-CN"/>
              </w:rPr>
              <w:t>1104.84</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w:t>
            </w:r>
            <w:r>
              <w:rPr>
                <w:rFonts w:ascii="Times New Roman" w:hAnsi="Times New Roman" w:eastAsia="宋体"/>
                <w:sz w:val="21"/>
              </w:rPr>
              <w:t>生活污水</w:t>
            </w:r>
            <w:r>
              <w:rPr>
                <w:rFonts w:hint="eastAsia" w:ascii="Times New Roman" w:hAnsi="Times New Roman" w:eastAsia="宋体"/>
                <w:sz w:val="21"/>
                <w:lang w:eastAsia="zh-CN"/>
              </w:rPr>
              <w:t>量为</w:t>
            </w:r>
            <w:r>
              <w:rPr>
                <w:rFonts w:hint="eastAsia" w:ascii="Times New Roman" w:hAnsi="Times New Roman" w:eastAsia="宋体"/>
                <w:sz w:val="21"/>
                <w:lang w:val="en-US" w:eastAsia="zh-CN"/>
              </w:rPr>
              <w:t>962.28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，食堂废水量为</w:t>
            </w:r>
            <w:r>
              <w:rPr>
                <w:rFonts w:hint="eastAsia" w:ascii="Times New Roman" w:hAnsi="Times New Roman" w:eastAsia="宋体"/>
                <w:sz w:val="21"/>
                <w:lang w:val="en-US" w:eastAsia="zh-CN"/>
              </w:rPr>
              <w:t>142.56</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t>二期项目污水量为</w:t>
            </w:r>
            <w:r>
              <w:rPr>
                <w:rFonts w:hint="eastAsia" w:ascii="Times New Roman" w:hAnsi="Times New Roman" w:eastAsia="宋体"/>
                <w:sz w:val="21"/>
                <w:lang w:val="en-US" w:eastAsia="zh-CN"/>
              </w:rPr>
              <w:t>531.96</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w:t>
            </w:r>
            <w:r>
              <w:rPr>
                <w:rFonts w:ascii="Times New Roman" w:hAnsi="Times New Roman" w:eastAsia="宋体"/>
                <w:sz w:val="21"/>
              </w:rPr>
              <w:t>生活污水</w:t>
            </w:r>
            <w:r>
              <w:rPr>
                <w:rFonts w:hint="eastAsia" w:ascii="Times New Roman" w:hAnsi="Times New Roman" w:eastAsia="宋体"/>
                <w:sz w:val="21"/>
                <w:lang w:eastAsia="zh-CN"/>
              </w:rPr>
              <w:t>量为</w:t>
            </w:r>
            <w:r>
              <w:rPr>
                <w:rFonts w:hint="eastAsia" w:ascii="Times New Roman" w:hAnsi="Times New Roman" w:eastAsia="宋体"/>
                <w:sz w:val="21"/>
                <w:lang w:val="en-US" w:eastAsia="zh-CN"/>
              </w:rPr>
              <w:t>463.32</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，食堂废水量为</w:t>
            </w:r>
            <w:r>
              <w:rPr>
                <w:rFonts w:hint="eastAsia" w:ascii="Times New Roman" w:hAnsi="Times New Roman" w:eastAsia="宋体"/>
                <w:sz w:val="21"/>
                <w:lang w:val="en-US" w:eastAsia="zh-CN"/>
              </w:rPr>
              <w:t>64.68</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 2 \* GB2 \* MERGEFORMAT </w:instrText>
            </w:r>
            <w:r>
              <w:rPr>
                <w:rFonts w:hint="eastAsia" w:ascii="Times New Roman" w:hAnsi="Times New Roman" w:eastAsia="宋体"/>
                <w:sz w:val="21"/>
                <w:lang w:eastAsia="zh-CN"/>
              </w:rPr>
              <w:fldChar w:fldCharType="separate"/>
            </w:r>
            <w:r>
              <w:rPr>
                <w:rFonts w:ascii="Times New Roman" w:hAnsi="Times New Roman" w:eastAsia="宋体"/>
                <w:sz w:val="21"/>
              </w:rPr>
              <w:t>⑵</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清下水排放量为</w:t>
            </w:r>
            <w:r>
              <w:rPr>
                <w:rFonts w:hint="eastAsia" w:ascii="Times New Roman" w:hAnsi="Times New Roman"/>
                <w:sz w:val="21"/>
                <w:lang w:val="en-US" w:eastAsia="zh-CN"/>
              </w:rPr>
              <w:t>21836.93</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，其中一期清下水量为</w:t>
            </w:r>
            <w:r>
              <w:rPr>
                <w:rFonts w:hint="eastAsia" w:ascii="Times New Roman" w:hAnsi="Times New Roman"/>
                <w:sz w:val="21"/>
                <w:lang w:val="en-US" w:eastAsia="zh-CN"/>
              </w:rPr>
              <w:t>9284.81</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r>
              <w:rPr>
                <w:rFonts w:hint="eastAsia" w:ascii="Times New Roman" w:hAnsi="Times New Roman" w:eastAsia="宋体"/>
                <w:sz w:val="21"/>
                <w:lang w:eastAsia="zh-CN"/>
              </w:rPr>
              <w:t>，二期清下水量为</w:t>
            </w:r>
            <w:r>
              <w:rPr>
                <w:rFonts w:hint="eastAsia" w:ascii="Times New Roman" w:hAnsi="Times New Roman"/>
                <w:sz w:val="21"/>
                <w:lang w:val="en-US" w:eastAsia="zh-CN"/>
              </w:rPr>
              <w:t>12552.12</w:t>
            </w:r>
            <w:r>
              <w:rPr>
                <w:rFonts w:ascii="Times New Roman" w:hAnsi="Times New Roman" w:eastAsia="宋体"/>
                <w:sz w:val="21"/>
              </w:rPr>
              <w:t>m</w:t>
            </w:r>
            <w:r>
              <w:rPr>
                <w:rFonts w:ascii="Times New Roman" w:hAnsi="Times New Roman" w:eastAsia="宋体"/>
                <w:sz w:val="21"/>
                <w:vertAlign w:val="superscript"/>
              </w:rPr>
              <w:t>3</w:t>
            </w:r>
            <w:r>
              <w:rPr>
                <w:rFonts w:ascii="Times New Roman" w:hAnsi="Times New Roman" w:eastAsia="宋体"/>
                <w:sz w:val="21"/>
              </w:rPr>
              <w:t>/a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eastAsia="zh-CN"/>
              </w:rPr>
              <w:t>食堂废水经隔油池处理后与生活污水一起进化粪池处理，</w:t>
            </w:r>
            <w:r>
              <w:rPr>
                <w:rFonts w:hint="eastAsia" w:ascii="Times New Roman" w:hAnsi="Times New Roman" w:eastAsia="宋体"/>
                <w:sz w:val="21"/>
                <w:lang w:val="en-US" w:eastAsia="zh-CN"/>
              </w:rPr>
              <w:t>处理后</w:t>
            </w:r>
            <w:r>
              <w:rPr>
                <w:rFonts w:hint="eastAsia" w:ascii="Times New Roman" w:hAnsi="Times New Roman" w:eastAsia="宋体"/>
                <w:sz w:val="21"/>
                <w:lang w:eastAsia="zh-CN"/>
              </w:rPr>
              <w:t>近期接入青湖镇联村生活污水处理厂，远期接入青湖镇工业集中区污水处理厂处理</w:t>
            </w:r>
            <w:r>
              <w:rPr>
                <w:rFonts w:ascii="Times New Roman" w:hAnsi="Times New Roman" w:eastAsia="宋体"/>
                <w:sz w:val="21"/>
              </w:rPr>
              <w:t>；</w:t>
            </w:r>
            <w:r>
              <w:rPr>
                <w:rFonts w:hint="eastAsia" w:ascii="Times New Roman" w:hAnsi="Times New Roman" w:eastAsia="宋体"/>
                <w:sz w:val="21"/>
                <w:lang w:val="en-US" w:eastAsia="zh-CN"/>
              </w:rPr>
              <w:t>清下水排入雨水排口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供电</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16000</w:t>
            </w:r>
            <w:r>
              <w:rPr>
                <w:rFonts w:ascii="Times New Roman" w:hAnsi="Times New Roman" w:eastAsia="宋体"/>
                <w:sz w:val="21"/>
              </w:rPr>
              <w:t>万kwh/a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ascii="Times New Roman" w:hAnsi="Times New Roman" w:eastAsia="宋体"/>
                <w:sz w:val="21"/>
              </w:rPr>
              <w:t>由园区</w:t>
            </w:r>
            <w:r>
              <w:rPr>
                <w:rFonts w:hint="eastAsia" w:ascii="Times New Roman" w:hAnsi="Times New Roman" w:eastAsia="宋体"/>
                <w:sz w:val="21"/>
                <w:lang w:eastAsia="zh-CN"/>
              </w:rPr>
              <w:t>供电管网供给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消防</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一次消防最大用水量</w:t>
            </w:r>
            <w:r>
              <w:rPr>
                <w:rFonts w:hint="eastAsia"/>
                <w:color w:val="auto"/>
                <w:sz w:val="21"/>
                <w:lang w:val="en-US" w:eastAsia="zh-CN"/>
              </w:rPr>
              <w:t>252</w:t>
            </w:r>
            <w:r>
              <w:rPr>
                <w:rFonts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olor w:val="auto"/>
                <w:sz w:val="21"/>
                <w:lang w:eastAsia="zh-CN"/>
              </w:rPr>
            </w:pPr>
            <w:r>
              <w:rPr>
                <w:rFonts w:hint="eastAsia" w:ascii="Times New Roman" w:hAnsi="Times New Roman"/>
                <w:color w:val="auto"/>
                <w:sz w:val="21"/>
                <w:lang w:eastAsia="zh-CN"/>
              </w:rPr>
              <w:t>循环水池兼消防水池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循环冷却系统</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color w:val="auto"/>
                <w:sz w:val="21"/>
                <w:lang w:eastAsia="zh-CN"/>
              </w:rPr>
              <w:t>循环水池</w:t>
            </w:r>
            <w:r>
              <w:rPr>
                <w:rFonts w:hint="eastAsia" w:ascii="Times New Roman" w:hAnsi="Times New Roman" w:eastAsia="宋体"/>
                <w:color w:val="auto"/>
                <w:sz w:val="21"/>
                <w:lang w:eastAsia="zh-CN"/>
              </w:rPr>
              <w:t>总容积</w:t>
            </w:r>
            <w:r>
              <w:rPr>
                <w:rFonts w:hint="eastAsia"/>
                <w:color w:val="auto"/>
                <w:sz w:val="21"/>
                <w:lang w:val="en-US" w:eastAsia="zh-CN"/>
              </w:rPr>
              <w:t>616</w:t>
            </w:r>
            <w:r>
              <w:rPr>
                <w:rFonts w:ascii="Times New Roman" w:hAnsi="Times New Roman" w:eastAsia="宋体"/>
                <w:color w:val="auto"/>
                <w:sz w:val="21"/>
              </w:rPr>
              <w:t>m</w:t>
            </w:r>
            <w:r>
              <w:rPr>
                <w:rFonts w:ascii="Times New Roman" w:hAnsi="Times New Roman" w:eastAsia="宋体"/>
                <w:color w:val="auto"/>
                <w:sz w:val="21"/>
                <w:vertAlign w:val="superscript"/>
              </w:rPr>
              <w:t>3</w:t>
            </w:r>
            <w:r>
              <w:rPr>
                <w:rFonts w:hint="eastAsia" w:ascii="Times New Roman" w:hAnsi="Times New Roman"/>
                <w:color w:val="auto"/>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color w:val="auto"/>
                <w:sz w:val="21"/>
                <w:lang w:val="en-US"/>
              </w:rPr>
            </w:pPr>
            <w:r>
              <w:rPr>
                <w:rFonts w:hint="eastAsia" w:ascii="Times New Roman" w:hAnsi="Times New Roman" w:eastAsia="宋体"/>
                <w:color w:val="auto"/>
                <w:sz w:val="21"/>
                <w:lang w:eastAsia="zh-CN"/>
              </w:rPr>
              <w:fldChar w:fldCharType="begin"/>
            </w:r>
            <w:r>
              <w:rPr>
                <w:rFonts w:hint="eastAsia" w:ascii="Times New Roman" w:hAnsi="Times New Roman" w:eastAsia="宋体"/>
                <w:color w:val="auto"/>
                <w:sz w:val="21"/>
                <w:lang w:eastAsia="zh-CN"/>
              </w:rPr>
              <w:instrText xml:space="preserve"> = 1 \* GB2 \* MERGEFORMAT </w:instrText>
            </w:r>
            <w:r>
              <w:rPr>
                <w:rFonts w:hint="eastAsia" w:ascii="Times New Roman" w:hAnsi="Times New Roman" w:eastAsia="宋体"/>
                <w:color w:val="auto"/>
                <w:sz w:val="21"/>
                <w:lang w:eastAsia="zh-CN"/>
              </w:rPr>
              <w:fldChar w:fldCharType="separate"/>
            </w:r>
            <w:r>
              <w:rPr>
                <w:rFonts w:ascii="Times New Roman" w:hAnsi="Times New Roman" w:eastAsia="宋体"/>
                <w:color w:val="auto"/>
                <w:sz w:val="21"/>
              </w:rPr>
              <w:t>⑴</w:t>
            </w:r>
            <w:r>
              <w:rPr>
                <w:rFonts w:hint="eastAsia" w:ascii="Times New Roman" w:hAnsi="Times New Roman" w:eastAsia="宋体"/>
                <w:color w:val="auto"/>
                <w:sz w:val="21"/>
                <w:lang w:eastAsia="zh-CN"/>
              </w:rPr>
              <w:fldChar w:fldCharType="end"/>
            </w:r>
            <w:r>
              <w:rPr>
                <w:rFonts w:hint="eastAsia"/>
                <w:color w:val="auto"/>
                <w:sz w:val="21"/>
                <w:lang w:eastAsia="zh-CN"/>
              </w:rPr>
              <w:t>电煅炉</w:t>
            </w:r>
            <w:r>
              <w:rPr>
                <w:rFonts w:hint="eastAsia" w:ascii="Times New Roman" w:hAnsi="Times New Roman" w:eastAsia="宋体"/>
                <w:color w:val="auto"/>
                <w:sz w:val="21"/>
                <w:lang w:eastAsia="zh-CN"/>
              </w:rPr>
              <w:t>冷却水循环量</w:t>
            </w:r>
            <w:r>
              <w:rPr>
                <w:rFonts w:hint="eastAsia" w:ascii="Times New Roman" w:hAnsi="Times New Roman"/>
                <w:color w:val="auto"/>
                <w:sz w:val="21"/>
                <w:lang w:val="en-US" w:eastAsia="zh-CN"/>
              </w:rPr>
              <w:t>3000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w:t>
            </w:r>
            <w:r>
              <w:rPr>
                <w:rFonts w:hint="eastAsia" w:ascii="Times New Roman" w:hAnsi="Times New Roman" w:eastAsia="宋体"/>
                <w:color w:val="auto"/>
                <w:sz w:val="21"/>
                <w:lang w:eastAsia="zh-CN"/>
              </w:rPr>
              <w:t>。</w:t>
            </w:r>
            <w:r>
              <w:rPr>
                <w:rFonts w:hint="eastAsia" w:ascii="Times New Roman" w:hAnsi="Times New Roman" w:eastAsia="宋体"/>
                <w:color w:val="auto"/>
                <w:sz w:val="21"/>
                <w:lang w:val="en-US" w:eastAsia="zh-CN"/>
              </w:rPr>
              <w:t xml:space="preserve"> </w:t>
            </w:r>
            <w:r>
              <w:rPr>
                <w:rFonts w:hint="eastAsia" w:ascii="Times New Roman" w:hAnsi="Times New Roman"/>
                <w:color w:val="auto"/>
                <w:sz w:val="21"/>
                <w:lang w:val="en-US" w:eastAsia="zh-CN"/>
              </w:rPr>
              <w:t>其中</w:t>
            </w:r>
            <w:r>
              <w:rPr>
                <w:rFonts w:hint="eastAsia" w:ascii="Times New Roman" w:hAnsi="Times New Roman" w:eastAsia="宋体"/>
                <w:color w:val="auto"/>
                <w:sz w:val="21"/>
                <w:lang w:val="en-US" w:eastAsia="zh-CN"/>
              </w:rPr>
              <w:t>一期、二期均</w:t>
            </w:r>
            <w:r>
              <w:rPr>
                <w:rFonts w:hint="eastAsia"/>
                <w:color w:val="auto"/>
                <w:sz w:val="21"/>
                <w:lang w:val="en-US" w:eastAsia="zh-CN"/>
              </w:rPr>
              <w:t>为1500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w:t>
            </w:r>
            <w:r>
              <w:rPr>
                <w:rFonts w:hint="eastAsia"/>
                <w:color w:val="auto"/>
                <w:sz w:val="21"/>
                <w:lang w:val="en-US" w:eastAsia="zh-CN"/>
              </w:rPr>
              <w:t>，</w:t>
            </w:r>
            <w:r>
              <w:rPr>
                <w:rFonts w:hint="eastAsia" w:ascii="Times New Roman" w:hAnsi="Times New Roman" w:eastAsia="宋体"/>
                <w:color w:val="auto"/>
                <w:sz w:val="21"/>
                <w:lang w:val="en-US" w:eastAsia="zh-CN"/>
              </w:rPr>
              <w:t>补充新鲜水量</w:t>
            </w:r>
            <w:r>
              <w:rPr>
                <w:rFonts w:hint="eastAsia" w:ascii="Times New Roman" w:hAnsi="Times New Roman"/>
                <w:color w:val="auto"/>
                <w:sz w:val="21"/>
                <w:lang w:val="en-US" w:eastAsia="zh-CN"/>
              </w:rPr>
              <w:t>142560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r>
              <w:rPr>
                <w:rFonts w:hint="eastAsia" w:ascii="Times New Roman" w:hAnsi="Times New Roman" w:eastAsia="宋体"/>
                <w:color w:val="auto"/>
                <w:sz w:val="21"/>
                <w:lang w:val="en-US" w:eastAsia="zh-CN"/>
              </w:rPr>
              <w:t>，其中一期、二期均为</w:t>
            </w:r>
            <w:r>
              <w:rPr>
                <w:rFonts w:hint="eastAsia" w:ascii="Times New Roman" w:hAnsi="Times New Roman"/>
                <w:color w:val="auto"/>
                <w:sz w:val="21"/>
                <w:lang w:val="en-US" w:eastAsia="zh-CN"/>
              </w:rPr>
              <w:t>71280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fldChar w:fldCharType="begin"/>
            </w:r>
            <w:r>
              <w:rPr>
                <w:rFonts w:hint="eastAsia" w:ascii="Times New Roman" w:hAnsi="Times New Roman" w:eastAsia="宋体"/>
                <w:color w:val="auto"/>
                <w:sz w:val="21"/>
                <w:lang w:eastAsia="zh-CN"/>
              </w:rPr>
              <w:instrText xml:space="preserve"> = 2 \* GB2 \* MERGEFORMAT </w:instrText>
            </w:r>
            <w:r>
              <w:rPr>
                <w:rFonts w:hint="eastAsia" w:ascii="Times New Roman" w:hAnsi="Times New Roman" w:eastAsia="宋体"/>
                <w:color w:val="auto"/>
                <w:sz w:val="21"/>
                <w:lang w:eastAsia="zh-CN"/>
              </w:rPr>
              <w:fldChar w:fldCharType="separate"/>
            </w:r>
            <w:r>
              <w:rPr>
                <w:rFonts w:ascii="Times New Roman" w:hAnsi="Times New Roman" w:eastAsia="宋体"/>
                <w:color w:val="auto"/>
                <w:sz w:val="21"/>
              </w:rPr>
              <w:t>⑵</w:t>
            </w:r>
            <w:r>
              <w:rPr>
                <w:rFonts w:hint="eastAsia" w:ascii="Times New Roman" w:hAnsi="Times New Roman" w:eastAsia="宋体"/>
                <w:color w:val="auto"/>
                <w:sz w:val="21"/>
                <w:lang w:eastAsia="zh-CN"/>
              </w:rPr>
              <w:fldChar w:fldCharType="end"/>
            </w:r>
            <w:r>
              <w:rPr>
                <w:rFonts w:hint="eastAsia" w:ascii="Times New Roman" w:hAnsi="Times New Roman" w:eastAsia="宋体"/>
                <w:color w:val="auto"/>
                <w:sz w:val="21"/>
                <w:lang w:eastAsia="zh-CN"/>
              </w:rPr>
              <w:t>变压器冷却水循环量</w:t>
            </w:r>
            <w:r>
              <w:rPr>
                <w:rFonts w:hint="eastAsia" w:ascii="Times New Roman" w:hAnsi="Times New Roman" w:eastAsia="宋体"/>
                <w:color w:val="auto"/>
                <w:sz w:val="21"/>
                <w:lang w:val="en-US" w:eastAsia="zh-CN"/>
              </w:rPr>
              <w:t>480m</w:t>
            </w:r>
            <w:r>
              <w:rPr>
                <w:rFonts w:hint="eastAsia" w:ascii="Times New Roman" w:hAnsi="Times New Roman" w:eastAsia="宋体"/>
                <w:color w:val="auto"/>
                <w:sz w:val="21"/>
                <w:vertAlign w:val="superscript"/>
                <w:lang w:val="en-US" w:eastAsia="zh-CN"/>
              </w:rPr>
              <w:t>3</w:t>
            </w:r>
            <w:r>
              <w:rPr>
                <w:rFonts w:hint="eastAsia" w:ascii="Times New Roman" w:hAnsi="Times New Roman" w:eastAsia="宋体"/>
                <w:color w:val="auto"/>
                <w:sz w:val="21"/>
                <w:lang w:val="en-US" w:eastAsia="zh-CN"/>
              </w:rPr>
              <w:t>/h，用于</w:t>
            </w:r>
            <w:r>
              <w:rPr>
                <w:rFonts w:hint="eastAsia" w:ascii="Times New Roman" w:hAnsi="Times New Roman" w:eastAsia="宋体"/>
                <w:color w:val="auto"/>
                <w:sz w:val="21"/>
                <w:lang w:eastAsia="zh-CN"/>
              </w:rPr>
              <w:t>变压器冷却使用。补充软</w:t>
            </w:r>
            <w:r>
              <w:rPr>
                <w:rFonts w:hint="eastAsia" w:ascii="Times New Roman" w:hAnsi="Times New Roman" w:eastAsia="宋体"/>
                <w:color w:val="auto"/>
                <w:sz w:val="21"/>
                <w:lang w:val="en-US" w:eastAsia="zh-CN"/>
              </w:rPr>
              <w:t>水330</w:t>
            </w:r>
            <w:r>
              <w:rPr>
                <w:rFonts w:ascii="Times New Roman" w:hAnsi="Times New Roman" w:eastAsia="宋体"/>
                <w:color w:val="auto"/>
                <w:sz w:val="21"/>
              </w:rPr>
              <w:t>0m</w:t>
            </w:r>
            <w:r>
              <w:rPr>
                <w:rFonts w:ascii="Times New Roman" w:hAnsi="Times New Roman" w:eastAsia="宋体"/>
                <w:color w:val="auto"/>
                <w:sz w:val="21"/>
                <w:vertAlign w:val="superscript"/>
              </w:rPr>
              <w:t>3</w:t>
            </w:r>
            <w:r>
              <w:rPr>
                <w:rFonts w:ascii="Times New Roman" w:hAnsi="Times New Roman" w:eastAsia="宋体"/>
                <w:color w:val="auto"/>
                <w:sz w:val="21"/>
              </w:rPr>
              <w:t>/</w:t>
            </w:r>
            <w:r>
              <w:rPr>
                <w:rFonts w:hint="eastAsia" w:ascii="Times New Roman" w:hAnsi="Times New Roman" w:eastAsia="宋体"/>
                <w:color w:val="auto"/>
                <w:sz w:val="21"/>
                <w:lang w:val="en-US" w:eastAsia="zh-CN"/>
              </w:rPr>
              <w:t>a，其中一期、二期均为1650</w:t>
            </w:r>
            <w:r>
              <w:rPr>
                <w:rFonts w:hint="default" w:ascii="Times New Roman" w:hAnsi="Times New Roman" w:eastAsia="宋体"/>
                <w:color w:val="auto"/>
                <w:sz w:val="21"/>
                <w:lang w:val="en-US" w:eastAsia="zh-CN"/>
              </w:rPr>
              <w:t>m</w:t>
            </w:r>
            <w:r>
              <w:rPr>
                <w:rFonts w:hint="default" w:ascii="Times New Roman" w:hAnsi="Times New Roman" w:eastAsia="宋体"/>
                <w:color w:val="auto"/>
                <w:sz w:val="21"/>
                <w:vertAlign w:val="superscript"/>
                <w:lang w:val="en-US" w:eastAsia="zh-CN"/>
              </w:rPr>
              <w:t>3</w:t>
            </w:r>
            <w:r>
              <w:rPr>
                <w:rFonts w:hint="default" w:ascii="Times New Roman" w:hAnsi="Times New Roman" w:eastAsia="宋体"/>
                <w:color w:val="auto"/>
                <w:sz w:val="21"/>
                <w:lang w:val="en-US" w:eastAsia="zh-CN"/>
              </w:rPr>
              <w:t xml:space="preserve"> /a</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color w:val="auto"/>
                <w:sz w:val="21"/>
              </w:rPr>
            </w:pPr>
            <w:r>
              <w:rPr>
                <w:rFonts w:hint="eastAsia" w:ascii="Times New Roman" w:hAnsi="Times New Roman" w:eastAsia="宋体"/>
                <w:color w:val="auto"/>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储运工程</w:t>
            </w:r>
          </w:p>
        </w:tc>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2389"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名称</w:t>
            </w:r>
          </w:p>
        </w:tc>
        <w:tc>
          <w:tcPr>
            <w:tcW w:w="3998" w:type="dxa"/>
            <w:gridSpan w:val="2"/>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建设期</w:t>
            </w:r>
          </w:p>
        </w:tc>
        <w:tc>
          <w:tcPr>
            <w:tcW w:w="2513" w:type="dxa"/>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其中运入</w:t>
            </w:r>
            <w:r>
              <w:rPr>
                <w:rFonts w:hint="eastAsia" w:ascii="Times New Roman" w:hAnsi="Times New Roman" w:eastAsia="宋体"/>
                <w:sz w:val="21"/>
                <w:lang w:val="en-US" w:eastAsia="zh-CN"/>
              </w:rPr>
              <w:t>101612.58</w:t>
            </w:r>
            <w:r>
              <w:rPr>
                <w:rFonts w:hint="eastAsia" w:ascii="Times New Roman" w:hAnsi="Times New Roman" w:eastAsia="宋体"/>
                <w:sz w:val="21"/>
                <w:lang w:eastAsia="zh-CN"/>
              </w:rPr>
              <w:t>t/a，运出</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101039.922</w:t>
            </w:r>
            <w:r>
              <w:rPr>
                <w:rFonts w:hint="eastAsia" w:ascii="Times New Roman" w:hAnsi="Times New Roman" w:eastAsia="宋体"/>
                <w:sz w:val="21"/>
                <w:lang w:eastAsia="zh-CN"/>
              </w:rPr>
              <w:t>t/a，委托专业运输公司运输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2389"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val="en-US" w:eastAsia="zh-CN"/>
              </w:rPr>
            </w:pP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一期</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二期</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运输</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总运输量为202652.502t/a</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储存</w:t>
            </w: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ascii="Times New Roman" w:hAnsi="Times New Roman" w:eastAsia="宋体"/>
                <w:sz w:val="21"/>
              </w:rPr>
              <w:t>原料仓库</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车间一内</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车间二内</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sz w:val="21"/>
                <w:lang w:val="en-US" w:eastAsia="zh-CN"/>
              </w:rPr>
              <w:t>破碎、筛分车间</w:t>
            </w:r>
          </w:p>
        </w:tc>
        <w:tc>
          <w:tcPr>
            <w:tcW w:w="3998" w:type="dxa"/>
            <w:gridSpan w:val="2"/>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rPr>
            </w:pPr>
            <w:r>
              <w:rPr>
                <w:rFonts w:hint="eastAsia" w:ascii="Times New Roman" w:hAnsi="Times New Roman" w:eastAsia="宋体"/>
                <w:color w:val="auto"/>
                <w:sz w:val="21"/>
                <w:lang w:val="en-US" w:eastAsia="zh-CN"/>
              </w:rPr>
              <w:t>6278</w:t>
            </w:r>
            <w:r>
              <w:rPr>
                <w:rFonts w:hint="eastAsia" w:ascii="Times New Roman" w:hAnsi="Times New Roman"/>
                <w:color w:val="auto"/>
                <w:sz w:val="21"/>
                <w:lang w:val="en-US" w:eastAsia="zh-CN"/>
              </w:rPr>
              <w:t>.14</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 xml:space="preserve">2 </w:t>
            </w:r>
            <w:r>
              <w:rPr>
                <w:rFonts w:hint="eastAsia" w:ascii="Times New Roman" w:hAnsi="Times New Roman" w:eastAsia="宋体"/>
                <w:color w:val="auto"/>
                <w:sz w:val="21"/>
                <w:lang w:val="en-US" w:eastAsia="zh-CN"/>
              </w:rPr>
              <w:t>1</w:t>
            </w:r>
            <w:r>
              <w:rPr>
                <w:rFonts w:hint="eastAsia" w:ascii="Times New Roman" w:hAnsi="Times New Roman" w:eastAsia="宋体"/>
                <w:color w:val="auto"/>
                <w:sz w:val="21"/>
                <w:lang w:eastAsia="zh-CN"/>
              </w:rPr>
              <w:t>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eastAsia="zh-CN"/>
              </w:rPr>
              <w:t>半</w:t>
            </w:r>
            <w:r>
              <w:rPr>
                <w:rFonts w:ascii="Times New Roman" w:hAnsi="Times New Roman" w:eastAsia="宋体"/>
                <w:sz w:val="21"/>
              </w:rPr>
              <w:t>成品</w:t>
            </w:r>
            <w:r>
              <w:rPr>
                <w:rFonts w:hint="eastAsia" w:ascii="Times New Roman" w:hAnsi="Times New Roman" w:eastAsia="宋体"/>
                <w:sz w:val="21"/>
                <w:lang w:eastAsia="zh-CN"/>
              </w:rPr>
              <w:t>仓</w:t>
            </w:r>
            <w:r>
              <w:rPr>
                <w:rFonts w:hint="eastAsia" w:ascii="Times New Roman" w:hAnsi="Times New Roman" w:eastAsia="宋体"/>
                <w:sz w:val="21"/>
                <w:lang w:val="en-US" w:eastAsia="zh-CN"/>
              </w:rPr>
              <w:t>1</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ascii="Times New Roman" w:hAnsi="Times New Roman" w:eastAsia="宋体"/>
                <w:sz w:val="21"/>
              </w:rPr>
              <w:t>Φ</w:t>
            </w:r>
            <w:r>
              <w:rPr>
                <w:rFonts w:hint="eastAsia" w:ascii="Times New Roman" w:hAnsi="Times New Roman" w:eastAsia="宋体"/>
                <w:sz w:val="21"/>
                <w:lang w:val="en-US" w:eastAsia="zh-CN"/>
              </w:rPr>
              <w:t>3.25</w:t>
            </w:r>
            <w:r>
              <w:rPr>
                <w:rFonts w:ascii="Times New Roman" w:hAnsi="Times New Roman" w:eastAsia="宋体"/>
                <w:sz w:val="21"/>
              </w:rPr>
              <w:t>×</w:t>
            </w:r>
            <w:r>
              <w:rPr>
                <w:rFonts w:hint="eastAsia" w:ascii="Times New Roman" w:hAnsi="Times New Roman" w:eastAsia="宋体"/>
                <w:sz w:val="21"/>
                <w:lang w:val="en-US" w:eastAsia="zh-CN"/>
              </w:rPr>
              <w:t>4  2个</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ascii="Times New Roman" w:hAnsi="Times New Roman" w:eastAsia="宋体"/>
                <w:sz w:val="21"/>
              </w:rPr>
              <w:t>Φ</w:t>
            </w:r>
            <w:r>
              <w:rPr>
                <w:rFonts w:hint="eastAsia" w:ascii="Times New Roman" w:hAnsi="Times New Roman" w:eastAsia="宋体"/>
                <w:sz w:val="21"/>
                <w:lang w:val="en-US" w:eastAsia="zh-CN"/>
              </w:rPr>
              <w:t>3.25</w:t>
            </w:r>
            <w:r>
              <w:rPr>
                <w:rFonts w:ascii="Times New Roman" w:hAnsi="Times New Roman" w:eastAsia="宋体"/>
                <w:sz w:val="21"/>
              </w:rPr>
              <w:t>×</w:t>
            </w:r>
            <w:r>
              <w:rPr>
                <w:rFonts w:hint="eastAsia" w:ascii="Times New Roman" w:hAnsi="Times New Roman" w:eastAsia="宋体"/>
                <w:sz w:val="21"/>
                <w:lang w:val="en-US" w:eastAsia="zh-CN"/>
              </w:rPr>
              <w:t>4  2个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23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eastAsia="zh-CN"/>
              </w:rPr>
              <w:t>半</w:t>
            </w:r>
            <w:r>
              <w:rPr>
                <w:rFonts w:ascii="Times New Roman" w:hAnsi="Times New Roman" w:eastAsia="宋体"/>
                <w:sz w:val="21"/>
              </w:rPr>
              <w:t>成品</w:t>
            </w:r>
            <w:r>
              <w:rPr>
                <w:rFonts w:hint="eastAsia" w:ascii="Times New Roman" w:hAnsi="Times New Roman" w:eastAsia="宋体"/>
                <w:sz w:val="21"/>
                <w:lang w:eastAsia="zh-CN"/>
              </w:rPr>
              <w:t>仓</w:t>
            </w:r>
            <w:r>
              <w:rPr>
                <w:rFonts w:hint="eastAsia" w:ascii="Times New Roman" w:hAnsi="Times New Roman" w:eastAsia="宋体"/>
                <w:sz w:val="21"/>
                <w:lang w:val="en-US" w:eastAsia="zh-CN"/>
              </w:rPr>
              <w:t>2</w:t>
            </w:r>
          </w:p>
        </w:tc>
        <w:tc>
          <w:tcPr>
            <w:tcW w:w="188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Φ</w:t>
            </w:r>
            <w:r>
              <w:rPr>
                <w:rFonts w:hint="eastAsia" w:ascii="Times New Roman" w:hAnsi="Times New Roman" w:eastAsia="宋体"/>
                <w:sz w:val="21"/>
                <w:lang w:val="en-US" w:eastAsia="zh-CN"/>
              </w:rPr>
              <w:t>3</w:t>
            </w:r>
            <w:r>
              <w:rPr>
                <w:rFonts w:ascii="Times New Roman" w:hAnsi="Times New Roman" w:eastAsia="宋体"/>
                <w:sz w:val="21"/>
              </w:rPr>
              <w:t>×</w:t>
            </w:r>
            <w:r>
              <w:rPr>
                <w:rFonts w:hint="eastAsia" w:ascii="Times New Roman" w:hAnsi="Times New Roman" w:eastAsia="宋体"/>
                <w:sz w:val="21"/>
                <w:lang w:val="en-US" w:eastAsia="zh-CN"/>
              </w:rPr>
              <w:t>1.5  1个</w:t>
            </w:r>
          </w:p>
        </w:tc>
        <w:tc>
          <w:tcPr>
            <w:tcW w:w="2109"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Φ</w:t>
            </w:r>
            <w:r>
              <w:rPr>
                <w:rFonts w:hint="eastAsia" w:ascii="Times New Roman" w:hAnsi="Times New Roman" w:eastAsia="宋体"/>
                <w:sz w:val="21"/>
                <w:lang w:val="en-US" w:eastAsia="zh-CN"/>
              </w:rPr>
              <w:t>3</w:t>
            </w:r>
            <w:r>
              <w:rPr>
                <w:rFonts w:ascii="Times New Roman" w:hAnsi="Times New Roman" w:eastAsia="宋体"/>
                <w:sz w:val="21"/>
              </w:rPr>
              <w:t>×</w:t>
            </w:r>
            <w:r>
              <w:rPr>
                <w:rFonts w:hint="eastAsia" w:ascii="Times New Roman" w:hAnsi="Times New Roman" w:eastAsia="宋体"/>
                <w:sz w:val="21"/>
                <w:lang w:val="en-US" w:eastAsia="zh-CN"/>
              </w:rPr>
              <w:t>1.5  1个</w:t>
            </w:r>
          </w:p>
        </w:tc>
        <w:tc>
          <w:tcPr>
            <w:tcW w:w="2513" w:type="dxa"/>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hint="eastAsia" w:ascii="Times New Roman" w:hAnsi="Times New Roman" w:eastAsia="宋体"/>
                <w:sz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restart"/>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环</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保</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工</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程</w:t>
            </w: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废气处理</w:t>
            </w:r>
          </w:p>
        </w:tc>
        <w:tc>
          <w:tcPr>
            <w:tcW w:w="6387" w:type="dxa"/>
            <w:gridSpan w:val="3"/>
            <w:noWrap w:val="0"/>
            <w:vAlign w:val="center"/>
          </w:tcPr>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进料粉尘废气在料仓两侧设置</w:t>
            </w:r>
            <w:r>
              <w:rPr>
                <w:rFonts w:hint="eastAsia" w:ascii="Times New Roman" w:hAnsi="Times New Roman"/>
                <w:sz w:val="21"/>
                <w:lang w:val="en-US" w:eastAsia="zh-CN"/>
              </w:rPr>
              <w:t>集尘罩</w:t>
            </w:r>
            <w:r>
              <w:rPr>
                <w:rFonts w:hint="eastAsia" w:ascii="Times New Roman" w:hAnsi="Times New Roman" w:eastAsia="宋体"/>
                <w:sz w:val="21"/>
                <w:lang w:val="en-US" w:eastAsia="zh-CN"/>
              </w:rPr>
              <w:t>，袋式除尘器处理后排放；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2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⑵</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电煅废气密闭收集，</w:t>
            </w:r>
            <w:r>
              <w:rPr>
                <w:rFonts w:ascii="Times New Roman" w:hAnsi="Times New Roman" w:eastAsia="宋体"/>
                <w:sz w:val="21"/>
              </w:rPr>
              <w:t>布袋除尘+氧化钙脱硫（</w:t>
            </w:r>
            <w:r>
              <w:rPr>
                <w:rFonts w:hint="eastAsia" w:ascii="Times New Roman" w:hAnsi="Times New Roman" w:eastAsia="宋体"/>
                <w:sz w:val="21"/>
                <w:lang w:eastAsia="zh-CN"/>
              </w:rPr>
              <w:t>二</w:t>
            </w:r>
            <w:r>
              <w:rPr>
                <w:rFonts w:ascii="Times New Roman" w:hAnsi="Times New Roman" w:eastAsia="宋体"/>
                <w:sz w:val="21"/>
              </w:rPr>
              <w:t>级</w:t>
            </w:r>
            <w:r>
              <w:rPr>
                <w:rFonts w:hint="eastAsia" w:ascii="Times New Roman" w:hAnsi="Times New Roman" w:eastAsia="宋体"/>
                <w:sz w:val="21"/>
                <w:lang w:eastAsia="zh-CN"/>
              </w:rPr>
              <w:t>）</w:t>
            </w:r>
            <w:r>
              <w:rPr>
                <w:rFonts w:hint="eastAsia" w:ascii="Times New Roman" w:hAnsi="Times New Roman" w:eastAsia="宋体"/>
                <w:sz w:val="21"/>
                <w:lang w:val="en-US" w:eastAsia="zh-CN"/>
              </w:rPr>
              <w:t>脱硫除尘后排放；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3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⑶</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排料废气密闭收集，</w:t>
            </w:r>
            <w:r>
              <w:rPr>
                <w:rFonts w:ascii="Times New Roman" w:hAnsi="Times New Roman" w:eastAsia="宋体"/>
                <w:sz w:val="21"/>
              </w:rPr>
              <w:t>布袋除尘</w:t>
            </w:r>
            <w:r>
              <w:rPr>
                <w:rFonts w:hint="eastAsia" w:ascii="Times New Roman" w:hAnsi="Times New Roman" w:eastAsia="宋体"/>
                <w:sz w:val="21"/>
                <w:lang w:val="en-US" w:eastAsia="zh-CN"/>
              </w:rPr>
              <w:t>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4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⑷</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中间包装、仓成品仓2、包装废气集尘罩收集，袋式除尘器处理后排放；</w:t>
            </w:r>
          </w:p>
          <w:p>
            <w:pPr>
              <w:pStyle w:val="28"/>
              <w:keepNext/>
              <w:keepLines/>
              <w:pageBreakBefore w:val="0"/>
              <w:widowControl w:val="0"/>
              <w:numPr>
                <w:ilvl w:val="0"/>
                <w:numId w:val="0"/>
              </w:numPr>
              <w:suppressLineNumbers w:val="0"/>
              <w:kinsoku/>
              <w:wordWrap/>
              <w:overflowPunct/>
              <w:topLinePunct w:val="0"/>
              <w:autoSpaceDE/>
              <w:autoSpaceDN/>
              <w:bidi w:val="0"/>
              <w:adjustRightInd/>
              <w:snapToGrid/>
              <w:spacing w:before="0" w:after="0"/>
              <w:ind w:left="0" w:leftChars="0" w:right="0" w:rightChars="0"/>
              <w:jc w:val="left"/>
              <w:textAlignment w:val="auto"/>
              <w:rPr>
                <w:rFonts w:ascii="Times New Roman" w:hAnsi="Times New Roman" w:eastAsia="宋体"/>
                <w:sz w:val="21"/>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5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⑸</w:t>
            </w:r>
            <w:r>
              <w:rPr>
                <w:rFonts w:hint="eastAsia" w:ascii="Times New Roman" w:hAnsi="Times New Roman" w:eastAsia="宋体"/>
                <w:sz w:val="21"/>
                <w:lang w:val="en-US" w:eastAsia="zh-CN"/>
              </w:rPr>
              <w:fldChar w:fldCharType="end"/>
            </w:r>
            <w:r>
              <w:rPr>
                <w:rFonts w:hint="eastAsia" w:ascii="Times New Roman" w:hAnsi="Times New Roman" w:eastAsia="宋体"/>
                <w:sz w:val="21"/>
                <w:lang w:val="en-US" w:eastAsia="zh-CN"/>
              </w:rPr>
              <w:t>破碎、筛分废气密闭收集，袋式除尘器处理后排放；</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一期、二期共用处理措施单独配置，共用一个排气筒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废水处理</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eastAsia="zh-CN"/>
              </w:rPr>
              <w:t>经隔油池处理后的食堂废水与生活污水一起进</w:t>
            </w:r>
            <w:r>
              <w:rPr>
                <w:rFonts w:ascii="Times New Roman" w:hAnsi="Times New Roman" w:eastAsia="宋体"/>
                <w:sz w:val="21"/>
              </w:rPr>
              <w:t>经化粪池</w:t>
            </w:r>
            <w:r>
              <w:rPr>
                <w:rFonts w:hint="eastAsia" w:ascii="Times New Roman" w:hAnsi="Times New Roman" w:eastAsia="宋体"/>
                <w:sz w:val="21"/>
                <w:lang w:eastAsia="zh-CN"/>
              </w:rPr>
              <w:t>进行处理，</w:t>
            </w:r>
            <w:r>
              <w:rPr>
                <w:rFonts w:ascii="Times New Roman" w:hAnsi="Times New Roman" w:eastAsia="宋体"/>
                <w:sz w:val="21"/>
              </w:rPr>
              <w:t>处理后可满足</w:t>
            </w:r>
            <w:r>
              <w:rPr>
                <w:rFonts w:hint="eastAsia" w:ascii="Times New Roman" w:hAnsi="Times New Roman" w:eastAsia="宋体"/>
                <w:sz w:val="21"/>
                <w:lang w:eastAsia="zh-CN"/>
              </w:rPr>
              <w:t>青湖镇联村生活污水处理厂的</w:t>
            </w:r>
            <w:r>
              <w:rPr>
                <w:rFonts w:ascii="Times New Roman" w:hAnsi="Times New Roman" w:eastAsia="宋体"/>
                <w:sz w:val="21"/>
              </w:rPr>
              <w:t>接管标准，直接接</w:t>
            </w:r>
            <w:r>
              <w:rPr>
                <w:rFonts w:hint="eastAsia" w:ascii="Times New Roman" w:hAnsi="Times New Roman" w:eastAsia="宋体"/>
                <w:sz w:val="21"/>
                <w:lang w:eastAsia="zh-CN"/>
              </w:rPr>
              <w:t>青湖镇联村生活污水处理厂</w:t>
            </w:r>
            <w:r>
              <w:rPr>
                <w:rFonts w:hint="eastAsia" w:ascii="Times New Roman" w:hAnsi="Times New Roman" w:eastAsia="宋体"/>
                <w:sz w:val="21"/>
                <w:lang w:val="en-US"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2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⑵</w:t>
            </w:r>
            <w:r>
              <w:rPr>
                <w:rFonts w:hint="eastAsia" w:ascii="Times New Roman" w:hAnsi="Times New Roman" w:eastAsia="宋体"/>
                <w:sz w:val="21"/>
                <w:lang w:val="en-US" w:eastAsia="zh-CN"/>
              </w:rPr>
              <w:fldChar w:fldCharType="end"/>
            </w:r>
            <w:r>
              <w:rPr>
                <w:rFonts w:ascii="Times New Roman" w:hAnsi="Times New Roman" w:eastAsia="宋体"/>
                <w:sz w:val="21"/>
              </w:rPr>
              <w:t>循环冷却系统排水水质比较简单，污染物含量较少，可作为清下水排放</w:t>
            </w:r>
            <w:r>
              <w:rPr>
                <w:rFonts w:hint="eastAsia" w:ascii="Times New Roman" w:hAnsi="Times New Roman" w:eastAsia="宋体"/>
                <w:sz w:val="21"/>
                <w:lang w:eastAsia="zh-CN"/>
              </w:rPr>
              <w:t>，部分用于厂区绿化</w:t>
            </w:r>
            <w:r>
              <w:rPr>
                <w:rFonts w:hint="eastAsia" w:ascii="Times New Roman" w:hAnsi="Times New Roman" w:eastAsia="宋体"/>
                <w:sz w:val="21"/>
                <w:lang w:val="en-US"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3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⑶</w:t>
            </w:r>
            <w:r>
              <w:rPr>
                <w:rFonts w:hint="eastAsia" w:ascii="Times New Roman" w:hAnsi="Times New Roman" w:eastAsia="宋体"/>
                <w:sz w:val="21"/>
                <w:lang w:val="en-US" w:eastAsia="zh-CN"/>
              </w:rPr>
              <w:fldChar w:fldCharType="end"/>
            </w:r>
            <w:r>
              <w:rPr>
                <w:rFonts w:ascii="Times New Roman" w:hAnsi="Times New Roman" w:eastAsia="宋体"/>
                <w:sz w:val="21"/>
              </w:rPr>
              <w:t>项目软水制备系统排水水质比较简单，主要为盐分，</w:t>
            </w:r>
            <w:r>
              <w:rPr>
                <w:rFonts w:hint="eastAsia" w:ascii="Times New Roman" w:hAnsi="Times New Roman" w:eastAsia="宋体"/>
                <w:sz w:val="21"/>
                <w:lang w:eastAsia="zh-CN"/>
              </w:rPr>
              <w:t>部分</w:t>
            </w:r>
            <w:r>
              <w:rPr>
                <w:rFonts w:ascii="Times New Roman" w:hAnsi="Times New Roman" w:eastAsia="宋体"/>
                <w:sz w:val="21"/>
              </w:rPr>
              <w:t>通过清下水排口排放</w:t>
            </w:r>
            <w:r>
              <w:rPr>
                <w:rFonts w:hint="eastAsia" w:ascii="Times New Roman" w:hAnsi="Times New Roman" w:eastAsia="宋体"/>
                <w:sz w:val="21"/>
                <w:lang w:eastAsia="zh-CN"/>
              </w:rPr>
              <w:t>，部分用于厂区绿化</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噪声治理</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eastAsia="zh-CN"/>
              </w:rPr>
            </w:pPr>
            <w:r>
              <w:rPr>
                <w:rFonts w:ascii="Times New Roman" w:hAnsi="Times New Roman" w:eastAsia="宋体"/>
                <w:sz w:val="21"/>
              </w:rPr>
              <w:t>选取低噪设备、合理布局；局部消声、隔音；厂房隔音等</w:t>
            </w:r>
            <w:r>
              <w:rPr>
                <w:rFonts w:hint="eastAsia" w:ascii="Times New Roman" w:hAnsi="Times New Roman" w:eastAsia="宋体"/>
                <w:sz w:val="21"/>
                <w:lang w:eastAsia="zh-CN"/>
              </w:rPr>
              <w:t>，确保厂界达标</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ascii="Times New Roman" w:hAnsi="Times New Roman" w:eastAsia="宋体"/>
                <w:sz w:val="21"/>
              </w:rPr>
              <w:t>风险</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color w:val="auto"/>
                <w:sz w:val="21"/>
              </w:rPr>
            </w:pPr>
            <w:r>
              <w:rPr>
                <w:rFonts w:ascii="Times New Roman" w:hAnsi="Times New Roman" w:eastAsia="宋体"/>
                <w:color w:val="auto"/>
                <w:sz w:val="21"/>
              </w:rPr>
              <w:t>设置</w:t>
            </w:r>
            <w:r>
              <w:rPr>
                <w:rFonts w:hint="eastAsia" w:ascii="Times New Roman" w:hAnsi="Times New Roman" w:eastAsia="宋体"/>
                <w:color w:val="auto"/>
                <w:sz w:val="21"/>
                <w:lang w:eastAsia="zh-CN"/>
              </w:rPr>
              <w:t>循环冷却水池兼</w:t>
            </w:r>
            <w:r>
              <w:rPr>
                <w:rFonts w:ascii="Times New Roman" w:hAnsi="Times New Roman" w:eastAsia="宋体"/>
                <w:color w:val="auto"/>
                <w:sz w:val="21"/>
              </w:rPr>
              <w:t>消防水池</w:t>
            </w:r>
            <w:r>
              <w:rPr>
                <w:rFonts w:hint="eastAsia" w:ascii="Times New Roman" w:hAnsi="Times New Roman" w:eastAsia="宋体"/>
                <w:color w:val="auto"/>
                <w:sz w:val="21"/>
                <w:lang w:val="en-US" w:eastAsia="zh-CN"/>
              </w:rPr>
              <w:t>1</w:t>
            </w:r>
            <w:r>
              <w:rPr>
                <w:rFonts w:ascii="Times New Roman" w:hAnsi="Times New Roman" w:eastAsia="宋体"/>
                <w:color w:val="auto"/>
                <w:sz w:val="21"/>
              </w:rPr>
              <w:t>座，有效容积</w:t>
            </w:r>
            <w:r>
              <w:rPr>
                <w:rFonts w:hint="eastAsia"/>
                <w:color w:val="auto"/>
                <w:sz w:val="21"/>
                <w:lang w:val="en-US" w:eastAsia="zh-CN"/>
              </w:rPr>
              <w:t>616</w:t>
            </w:r>
            <w:r>
              <w:rPr>
                <w:rFonts w:ascii="Times New Roman" w:hAnsi="Times New Roman" w:eastAsia="宋体"/>
                <w:color w:val="auto"/>
                <w:sz w:val="21"/>
              </w:rPr>
              <w:t>m</w:t>
            </w:r>
            <w:r>
              <w:rPr>
                <w:rFonts w:ascii="Times New Roman" w:hAnsi="Times New Roman" w:eastAsia="宋体"/>
                <w:color w:val="auto"/>
                <w:sz w:val="21"/>
                <w:vertAlign w:val="superscript"/>
              </w:rPr>
              <w:t>3</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ascii="Times New Roman" w:hAnsi="Times New Roman" w:eastAsia="宋体"/>
                <w:sz w:val="21"/>
                <w:lang w:val="en-US" w:eastAsia="zh-CN"/>
              </w:rPr>
            </w:pPr>
            <w:r>
              <w:rPr>
                <w:rFonts w:ascii="Times New Roman" w:hAnsi="Times New Roman" w:eastAsia="宋体"/>
                <w:color w:val="auto"/>
                <w:sz w:val="21"/>
              </w:rPr>
              <w:t>设置消防尾水池</w:t>
            </w:r>
            <w:r>
              <w:rPr>
                <w:rFonts w:hint="eastAsia" w:ascii="Times New Roman" w:hAnsi="Times New Roman"/>
                <w:color w:val="auto"/>
                <w:sz w:val="21"/>
                <w:lang w:val="en-US" w:eastAsia="zh-CN"/>
              </w:rPr>
              <w:t>1</w:t>
            </w:r>
            <w:r>
              <w:rPr>
                <w:rFonts w:ascii="Times New Roman" w:hAnsi="Times New Roman" w:eastAsia="宋体"/>
                <w:color w:val="auto"/>
                <w:sz w:val="21"/>
              </w:rPr>
              <w:t>座，有效容积</w:t>
            </w:r>
            <w:r>
              <w:rPr>
                <w:rFonts w:hint="eastAsia"/>
                <w:color w:val="auto"/>
                <w:sz w:val="21"/>
                <w:lang w:val="en-US" w:eastAsia="zh-CN"/>
              </w:rPr>
              <w:t>242</w:t>
            </w:r>
            <w:r>
              <w:rPr>
                <w:rFonts w:ascii="Times New Roman" w:hAnsi="Times New Roman" w:eastAsia="宋体"/>
                <w:color w:val="auto"/>
                <w:sz w:val="21"/>
              </w:rPr>
              <w:t>m</w:t>
            </w:r>
            <w:r>
              <w:rPr>
                <w:rFonts w:ascii="Times New Roman" w:hAnsi="Times New Roman" w:eastAsia="宋体"/>
                <w:color w:val="auto"/>
                <w:sz w:val="21"/>
                <w:vertAlign w:val="superscript"/>
              </w:rPr>
              <w:t>3</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firstLine="0" w:firstLineChars="0"/>
              <w:jc w:val="center"/>
              <w:textAlignment w:val="auto"/>
              <w:rPr>
                <w:rFonts w:hint="eastAsia" w:ascii="Times New Roman" w:hAnsi="Times New Roman" w:eastAsia="宋体" w:cstheme="minorBidi"/>
                <w:b w:val="0"/>
                <w:kern w:val="2"/>
                <w:sz w:val="21"/>
                <w:szCs w:val="24"/>
                <w:lang w:val="en-US" w:eastAsia="zh-CN" w:bidi="ar-SA"/>
              </w:rPr>
            </w:pPr>
            <w:r>
              <w:rPr>
                <w:rFonts w:hint="eastAsia" w:ascii="Times New Roman" w:hAnsi="Times New Roman" w:eastAsia="宋体"/>
                <w:sz w:val="21"/>
                <w:lang w:eastAsia="zh-CN"/>
              </w:rPr>
              <w:t>固废</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default" w:ascii="Times New Roman" w:hAnsi="Times New Roman" w:eastAsia="宋体"/>
                <w:color w:val="auto"/>
                <w:sz w:val="21"/>
                <w:lang w:val="en-US" w:eastAsia="zh-CN"/>
              </w:rPr>
            </w:pPr>
            <w:r>
              <w:rPr>
                <w:rFonts w:hint="eastAsia" w:ascii="Times New Roman" w:hAnsi="Times New Roman" w:eastAsia="宋体"/>
                <w:sz w:val="21"/>
                <w:lang w:val="en-US" w:eastAsia="zh-CN"/>
              </w:rPr>
              <w:fldChar w:fldCharType="begin"/>
            </w:r>
            <w:r>
              <w:rPr>
                <w:rFonts w:hint="eastAsia" w:ascii="Times New Roman" w:hAnsi="Times New Roman" w:eastAsia="宋体"/>
                <w:sz w:val="21"/>
                <w:lang w:val="en-US" w:eastAsia="zh-CN"/>
              </w:rPr>
              <w:instrText xml:space="preserve"> = 1 \* GB2 \* MERGEFORMAT </w:instrText>
            </w:r>
            <w:r>
              <w:rPr>
                <w:rFonts w:hint="eastAsia" w:ascii="Times New Roman" w:hAnsi="Times New Roman" w:eastAsia="宋体"/>
                <w:sz w:val="21"/>
                <w:lang w:val="en-US" w:eastAsia="zh-CN"/>
              </w:rPr>
              <w:fldChar w:fldCharType="separate"/>
            </w:r>
            <w:r>
              <w:rPr>
                <w:rFonts w:ascii="Times New Roman" w:hAnsi="Times New Roman" w:eastAsia="宋体"/>
                <w:sz w:val="21"/>
              </w:rPr>
              <w:t>⑴</w:t>
            </w:r>
            <w:r>
              <w:rPr>
                <w:rFonts w:hint="eastAsia" w:ascii="Times New Roman" w:hAnsi="Times New Roman" w:eastAsia="宋体"/>
                <w:sz w:val="21"/>
                <w:lang w:val="en-US" w:eastAsia="zh-CN"/>
              </w:rPr>
              <w:fldChar w:fldCharType="end"/>
            </w:r>
            <w:r>
              <w:rPr>
                <w:rFonts w:hint="eastAsia" w:ascii="Times New Roman" w:hAnsi="Times New Roman" w:eastAsia="宋体"/>
                <w:sz w:val="21"/>
                <w:lang w:eastAsia="zh-CN"/>
              </w:rPr>
              <w:t>一般固废：一般固废暂存</w:t>
            </w:r>
            <w:r>
              <w:rPr>
                <w:rFonts w:hint="eastAsia" w:ascii="Times New Roman" w:hAnsi="Times New Roman" w:eastAsia="宋体"/>
                <w:color w:val="auto"/>
                <w:sz w:val="21"/>
                <w:lang w:eastAsia="zh-CN"/>
              </w:rPr>
              <w:t>间</w:t>
            </w:r>
            <w:r>
              <w:rPr>
                <w:rFonts w:hint="eastAsia" w:ascii="Times New Roman" w:hAnsi="Times New Roman"/>
                <w:color w:val="auto"/>
                <w:sz w:val="21"/>
                <w:lang w:val="en-US" w:eastAsia="zh-CN"/>
              </w:rPr>
              <w:t>100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hint="eastAsia" w:ascii="Times New Roman" w:hAnsi="Times New Roman" w:eastAsia="宋体"/>
                <w:color w:val="auto"/>
                <w:sz w:val="21"/>
                <w:lang w:eastAsia="zh-CN"/>
              </w:rPr>
              <w:t>电煅炉布袋除尘器除尘下灰、脱硫石膏外售作建材，废原料包装袋外售综合利用，</w:t>
            </w:r>
            <w:r>
              <w:rPr>
                <w:rFonts w:hint="eastAsia" w:ascii="Times New Roman" w:hAnsi="Times New Roman" w:eastAsia="宋体"/>
                <w:color w:val="auto"/>
                <w:sz w:val="21"/>
              </w:rPr>
              <w:t>隔油池废油</w:t>
            </w:r>
            <w:r>
              <w:rPr>
                <w:rFonts w:hint="eastAsia" w:ascii="Times New Roman" w:hAnsi="Times New Roman" w:eastAsia="宋体"/>
                <w:color w:val="auto"/>
                <w:sz w:val="21"/>
                <w:lang w:eastAsia="zh-CN"/>
              </w:rPr>
              <w:t>委托处理，</w:t>
            </w:r>
            <w:r>
              <w:rPr>
                <w:rFonts w:hint="eastAsia" w:ascii="Times New Roman" w:hAnsi="Times New Roman" w:eastAsia="宋体"/>
                <w:color w:val="auto"/>
                <w:sz w:val="21"/>
              </w:rPr>
              <w:t>生活垃圾</w:t>
            </w:r>
            <w:r>
              <w:rPr>
                <w:rFonts w:hint="eastAsia" w:ascii="Times New Roman" w:hAnsi="Times New Roman" w:eastAsia="宋体"/>
                <w:color w:val="auto"/>
                <w:sz w:val="21"/>
                <w:lang w:val="en-US" w:eastAsia="zh-CN"/>
              </w:rPr>
              <w:t>环卫托运，</w:t>
            </w:r>
            <w:r>
              <w:rPr>
                <w:rFonts w:hint="eastAsia" w:ascii="Times New Roman" w:hAnsi="Times New Roman" w:eastAsia="宋体"/>
                <w:color w:val="auto"/>
                <w:sz w:val="21"/>
              </w:rPr>
              <w:t>餐厨垃圾由专门公司进行收集处理</w:t>
            </w:r>
            <w:r>
              <w:rPr>
                <w:rFonts w:hint="eastAsia" w:ascii="Times New Roman" w:hAnsi="Times New Roman" w:eastAsia="宋体"/>
                <w:color w:val="auto"/>
                <w:sz w:val="21"/>
                <w:lang w:eastAsia="zh-CN"/>
              </w:rPr>
              <w:t>。</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val="en-US" w:eastAsia="zh-CN"/>
              </w:rPr>
            </w:pPr>
            <w:r>
              <w:rPr>
                <w:rFonts w:hint="eastAsia" w:ascii="Times New Roman" w:hAnsi="Times New Roman" w:eastAsia="宋体"/>
                <w:color w:val="auto"/>
                <w:sz w:val="21"/>
                <w:lang w:val="en-US" w:eastAsia="zh-CN"/>
              </w:rPr>
              <w:fldChar w:fldCharType="begin"/>
            </w:r>
            <w:r>
              <w:rPr>
                <w:rFonts w:hint="eastAsia" w:ascii="Times New Roman" w:hAnsi="Times New Roman" w:eastAsia="宋体"/>
                <w:color w:val="auto"/>
                <w:sz w:val="21"/>
                <w:lang w:val="en-US" w:eastAsia="zh-CN"/>
              </w:rPr>
              <w:instrText xml:space="preserve"> = 2 \* GB2 \* MERGEFORMAT </w:instrText>
            </w:r>
            <w:r>
              <w:rPr>
                <w:rFonts w:hint="eastAsia" w:ascii="Times New Roman" w:hAnsi="Times New Roman" w:eastAsia="宋体"/>
                <w:color w:val="auto"/>
                <w:sz w:val="21"/>
                <w:lang w:val="en-US" w:eastAsia="zh-CN"/>
              </w:rPr>
              <w:fldChar w:fldCharType="separate"/>
            </w:r>
            <w:r>
              <w:rPr>
                <w:rFonts w:ascii="Times New Roman" w:hAnsi="Times New Roman" w:eastAsia="宋体"/>
                <w:color w:val="auto"/>
                <w:sz w:val="21"/>
              </w:rPr>
              <w:t>⑵</w:t>
            </w:r>
            <w:r>
              <w:rPr>
                <w:rFonts w:hint="eastAsia" w:ascii="Times New Roman" w:hAnsi="Times New Roman" w:eastAsia="宋体"/>
                <w:color w:val="auto"/>
                <w:sz w:val="21"/>
                <w:lang w:val="en-US" w:eastAsia="zh-CN"/>
              </w:rPr>
              <w:fldChar w:fldCharType="end"/>
            </w:r>
            <w:r>
              <w:rPr>
                <w:rFonts w:hint="eastAsia" w:ascii="Times New Roman" w:hAnsi="Times New Roman" w:eastAsia="宋体"/>
                <w:color w:val="auto"/>
                <w:sz w:val="21"/>
                <w:lang w:val="en-US" w:eastAsia="zh-CN"/>
              </w:rPr>
              <w:t>危险废物：危险废物暂存间</w:t>
            </w:r>
            <w:r>
              <w:rPr>
                <w:rFonts w:hint="eastAsia" w:ascii="Times New Roman" w:hAnsi="Times New Roman"/>
                <w:color w:val="auto"/>
                <w:sz w:val="21"/>
                <w:lang w:val="en-US" w:eastAsia="zh-CN"/>
              </w:rPr>
              <w:t>80</w:t>
            </w:r>
            <w:r>
              <w:rPr>
                <w:rFonts w:hint="eastAsia" w:ascii="Times New Roman" w:hAnsi="Times New Roman" w:eastAsia="宋体"/>
                <w:color w:val="auto"/>
                <w:sz w:val="21"/>
                <w:lang w:val="en-US" w:eastAsia="zh-CN"/>
              </w:rPr>
              <w:t>m</w:t>
            </w:r>
            <w:r>
              <w:rPr>
                <w:rFonts w:hint="eastAsia" w:ascii="Times New Roman" w:hAnsi="Times New Roman" w:eastAsia="宋体"/>
                <w:color w:val="auto"/>
                <w:sz w:val="21"/>
                <w:vertAlign w:val="superscript"/>
                <w:lang w:val="en-US" w:eastAsia="zh-CN"/>
              </w:rPr>
              <w:t>2</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olor w:val="auto"/>
                <w:sz w:val="21"/>
                <w:lang w:eastAsia="zh-CN"/>
              </w:rPr>
            </w:pPr>
            <w:r>
              <w:rPr>
                <w:rFonts w:ascii="Times New Roman" w:hAnsi="Times New Roman" w:eastAsia="宋体"/>
                <w:color w:val="auto"/>
                <w:sz w:val="21"/>
              </w:rPr>
              <w:t>项目</w:t>
            </w:r>
            <w:r>
              <w:rPr>
                <w:rFonts w:hint="eastAsia" w:ascii="Times New Roman" w:hAnsi="Times New Roman" w:eastAsia="宋体"/>
                <w:color w:val="auto"/>
                <w:sz w:val="21"/>
                <w:lang w:eastAsia="zh-CN"/>
              </w:rPr>
              <w:t>运营</w:t>
            </w:r>
            <w:r>
              <w:rPr>
                <w:rFonts w:ascii="Times New Roman" w:hAnsi="Times New Roman" w:eastAsia="宋体"/>
                <w:color w:val="auto"/>
                <w:sz w:val="21"/>
              </w:rPr>
              <w:t>过程中产生的</w:t>
            </w:r>
            <w:r>
              <w:rPr>
                <w:rFonts w:hint="eastAsia" w:ascii="Times New Roman" w:hAnsi="Times New Roman" w:eastAsia="宋体"/>
                <w:color w:val="auto"/>
                <w:sz w:val="21"/>
                <w:lang w:eastAsia="zh-CN"/>
              </w:rPr>
              <w:t>危险废物为废树脂、化验室废液和废试剂瓶，委托资质单位进行处理。</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cstheme="minorBidi"/>
                <w:b w:val="0"/>
                <w:kern w:val="2"/>
                <w:sz w:val="21"/>
                <w:szCs w:val="24"/>
                <w:lang w:val="en-US" w:eastAsia="zh-CN" w:bidi="ar-SA"/>
              </w:rPr>
            </w:pPr>
            <w:r>
              <w:rPr>
                <w:rFonts w:ascii="Times New Roman" w:hAnsi="Times New Roman" w:eastAsia="宋体"/>
                <w:sz w:val="21"/>
              </w:rPr>
              <w:t>生活垃圾由环卫部门统一收集清运。</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0" w:type="auto"/>
            <w:vMerge w:val="continue"/>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outlineLvl w:val="9"/>
              <w:rPr>
                <w:rFonts w:ascii="Times New Roman" w:hAnsi="Times New Roman" w:eastAsia="宋体"/>
                <w:sz w:val="21"/>
              </w:rPr>
            </w:pPr>
          </w:p>
        </w:tc>
        <w:tc>
          <w:tcPr>
            <w:tcW w:w="0" w:type="auto"/>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eastAsia="zh-CN"/>
              </w:rPr>
              <w:t>防渗</w:t>
            </w:r>
          </w:p>
        </w:tc>
        <w:tc>
          <w:tcPr>
            <w:tcW w:w="6387" w:type="dxa"/>
            <w:gridSpan w:val="3"/>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危险废物暂存间、石膏池采取防渗措施，渗透系数低于1.0×10</w:t>
            </w:r>
            <w:r>
              <w:rPr>
                <w:rFonts w:hint="eastAsia" w:ascii="Times New Roman" w:hAnsi="Times New Roman" w:eastAsia="宋体"/>
                <w:sz w:val="21"/>
                <w:vertAlign w:val="superscript"/>
                <w:lang w:val="en-US" w:eastAsia="zh-CN"/>
              </w:rPr>
              <w:t>-7</w:t>
            </w:r>
            <w:r>
              <w:rPr>
                <w:rFonts w:hint="eastAsia" w:ascii="Times New Roman" w:hAnsi="Times New Roman" w:eastAsia="宋体"/>
                <w:sz w:val="21"/>
                <w:lang w:val="en-US" w:eastAsia="zh-CN"/>
              </w:rPr>
              <w:t>cm/s</w:t>
            </w:r>
          </w:p>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left"/>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其他一般地面硬化</w:t>
            </w:r>
          </w:p>
        </w:tc>
        <w:tc>
          <w:tcPr>
            <w:tcW w:w="2513" w:type="dxa"/>
            <w:noWrap w:val="0"/>
            <w:vAlign w:val="center"/>
          </w:tcPr>
          <w:p>
            <w:pPr>
              <w:pStyle w:val="28"/>
              <w:keepNext/>
              <w:keepLines/>
              <w:pageBreakBefore w:val="0"/>
              <w:widowControl w:val="0"/>
              <w:suppressLineNumbers w:val="0"/>
              <w:kinsoku/>
              <w:wordWrap/>
              <w:overflowPunct/>
              <w:topLinePunct w:val="0"/>
              <w:autoSpaceDE/>
              <w:autoSpaceDN/>
              <w:bidi w:val="0"/>
              <w:adjustRightInd/>
              <w:snapToGrid/>
              <w:spacing w:before="0" w:after="0"/>
              <w:ind w:left="0" w:right="0"/>
              <w:jc w:val="center"/>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w:t>
            </w:r>
          </w:p>
        </w:tc>
      </w:tr>
    </w:tbl>
    <w:p>
      <w:pPr>
        <w:pStyle w:val="5"/>
        <w:bidi w:val="0"/>
      </w:pPr>
      <w:bookmarkStart w:id="223" w:name="_Toc527487041"/>
      <w:bookmarkStart w:id="224" w:name="_Toc21508_WPSOffice_Level2"/>
      <w:bookmarkStart w:id="225" w:name="_Toc527394307"/>
      <w:r>
        <w:rPr>
          <w:rFonts w:hint="eastAsia"/>
          <w:lang w:val="en-US" w:eastAsia="zh-CN"/>
        </w:rPr>
        <w:t>8.2.2</w:t>
      </w:r>
      <w:r>
        <w:t>原辅材料组分要求</w:t>
      </w:r>
      <w:bookmarkEnd w:id="223"/>
      <w:bookmarkEnd w:id="224"/>
      <w:bookmarkEnd w:id="225"/>
    </w:p>
    <w:p>
      <w:pPr>
        <w:bidi w:val="0"/>
      </w:pPr>
      <w:r>
        <w:t>项目主要煅后焦性能满足</w:t>
      </w:r>
      <w:r>
        <w:rPr>
          <w:rFonts w:hint="eastAsia"/>
          <w:lang w:eastAsia="zh-CN"/>
        </w:rPr>
        <w:t>表</w:t>
      </w:r>
      <w:r>
        <w:rPr>
          <w:rFonts w:hint="eastAsia"/>
          <w:lang w:val="en-US" w:eastAsia="zh-CN"/>
        </w:rPr>
        <w:t>3.1.4-3中的煅后焦控制指标</w:t>
      </w:r>
      <w:r>
        <w:t>的</w:t>
      </w:r>
      <w:r>
        <w:rPr>
          <w:rFonts w:hint="eastAsia"/>
          <w:lang w:eastAsia="zh-CN"/>
        </w:rPr>
        <w:t>要求</w:t>
      </w:r>
      <w:r>
        <w:t>。</w:t>
      </w:r>
    </w:p>
    <w:p>
      <w:pPr>
        <w:bidi w:val="0"/>
        <w:rPr>
          <w:color w:val="000000"/>
        </w:rPr>
      </w:pPr>
      <w:r>
        <w:t>主要辅料氧化钙等均为外购，用于烟气净化系统，属于常规原料，无高毒、致癌危害</w:t>
      </w:r>
      <w:r>
        <w:rPr>
          <w:color w:val="000000"/>
        </w:rPr>
        <w:t>。</w:t>
      </w:r>
    </w:p>
    <w:p>
      <w:pPr>
        <w:pStyle w:val="5"/>
        <w:bidi w:val="0"/>
      </w:pPr>
      <w:bookmarkStart w:id="226" w:name="_Toc28426_WPSOffice_Level2"/>
      <w:bookmarkStart w:id="227" w:name="_Toc527487042"/>
      <w:bookmarkStart w:id="228" w:name="_Toc527394308"/>
      <w:r>
        <w:rPr>
          <w:rFonts w:hint="eastAsia"/>
          <w:lang w:val="en-US" w:eastAsia="zh-CN"/>
        </w:rPr>
        <w:t>8.2.3</w:t>
      </w:r>
      <w:r>
        <w:t xml:space="preserve"> 项目环保措施及运行参数</w:t>
      </w:r>
      <w:bookmarkEnd w:id="226"/>
      <w:bookmarkEnd w:id="227"/>
      <w:bookmarkEnd w:id="228"/>
    </w:p>
    <w:p>
      <w:pPr>
        <w:bidi w:val="0"/>
      </w:pPr>
      <w:r>
        <w:t>（1）废水</w:t>
      </w:r>
    </w:p>
    <w:p>
      <w:pPr>
        <w:bidi w:val="0"/>
      </w:pPr>
      <w:r>
        <w:t>项目无工艺废水，</w:t>
      </w:r>
      <w:r>
        <w:rPr>
          <w:rFonts w:hint="eastAsia"/>
          <w:lang w:eastAsia="zh-CN"/>
        </w:rPr>
        <w:t>食堂废水经隔油池处理后与</w:t>
      </w:r>
      <w:r>
        <w:t>生活污水</w:t>
      </w:r>
      <w:r>
        <w:rPr>
          <w:rFonts w:hint="eastAsia"/>
          <w:lang w:eastAsia="zh-CN"/>
        </w:rPr>
        <w:t>一起</w:t>
      </w:r>
      <w:r>
        <w:t>经化粪池处理后接管</w:t>
      </w:r>
      <w:r>
        <w:rPr>
          <w:rFonts w:hint="eastAsia"/>
          <w:lang w:eastAsia="zh-CN"/>
        </w:rPr>
        <w:t>青湖镇联村生活</w:t>
      </w:r>
      <w:r>
        <w:t>污水处理厂集中处理。循环冷却系统排水水质比较简单，污染物含量较少，可作为清下水排放</w:t>
      </w:r>
      <w:r>
        <w:rPr>
          <w:rFonts w:hint="eastAsia"/>
          <w:lang w:eastAsia="zh-CN"/>
        </w:rPr>
        <w:t>，部分用于厂区绿化</w:t>
      </w:r>
      <w:r>
        <w:t>。项目软水制备系统排水水质比较简单，主要为盐分，</w:t>
      </w:r>
      <w:r>
        <w:rPr>
          <w:rFonts w:hint="eastAsia"/>
          <w:lang w:eastAsia="zh-CN"/>
        </w:rPr>
        <w:t>部分</w:t>
      </w:r>
      <w:r>
        <w:t>通过清下水排口排放</w:t>
      </w:r>
      <w:r>
        <w:rPr>
          <w:rFonts w:hint="eastAsia"/>
          <w:lang w:eastAsia="zh-CN"/>
        </w:rPr>
        <w:t>，部分用于厂区绿化和脱硫系统补充用水</w:t>
      </w:r>
      <w:r>
        <w:t>。</w:t>
      </w:r>
    </w:p>
    <w:p>
      <w:pPr>
        <w:bidi w:val="0"/>
      </w:pPr>
      <w:r>
        <w:t>（2）废气</w:t>
      </w:r>
    </w:p>
    <w:p>
      <w:pPr>
        <w:bidi w:val="0"/>
      </w:pPr>
      <w:r>
        <w:t>本项目</w:t>
      </w:r>
      <w:r>
        <w:rPr>
          <w:rFonts w:hint="eastAsia"/>
          <w:lang w:eastAsia="zh-CN"/>
        </w:rPr>
        <w:t>工艺</w:t>
      </w:r>
      <w:r>
        <w:t>废气处理措施设置情况详见表</w:t>
      </w:r>
      <w:r>
        <w:rPr>
          <w:rFonts w:hint="eastAsia"/>
          <w:lang w:val="en-US" w:eastAsia="zh-CN"/>
        </w:rPr>
        <w:t>8.2</w:t>
      </w:r>
      <w:r>
        <w:t>.3-1。</w:t>
      </w:r>
    </w:p>
    <w:p>
      <w:pPr>
        <w:pStyle w:val="27"/>
        <w:bidi w:val="0"/>
      </w:pPr>
      <w:r>
        <w:t>表</w:t>
      </w:r>
      <w:r>
        <w:rPr>
          <w:rFonts w:hint="eastAsia"/>
          <w:lang w:val="en-US" w:eastAsia="zh-CN"/>
        </w:rPr>
        <w:t>8.2.3</w:t>
      </w:r>
      <w:r>
        <w:t>-1 本项目</w:t>
      </w:r>
      <w:r>
        <w:rPr>
          <w:rFonts w:hint="eastAsia"/>
          <w:lang w:eastAsia="zh-CN"/>
        </w:rPr>
        <w:t>工艺</w:t>
      </w:r>
      <w:r>
        <w:t>废气处理措施设置情况</w:t>
      </w:r>
    </w:p>
    <w:tbl>
      <w:tblPr>
        <w:tblStyle w:val="21"/>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586"/>
        <w:gridCol w:w="1505"/>
        <w:gridCol w:w="1080"/>
        <w:gridCol w:w="959"/>
        <w:gridCol w:w="987"/>
        <w:gridCol w:w="1168"/>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noWrap w:val="0"/>
            <w:vAlign w:val="center"/>
          </w:tcPr>
          <w:p>
            <w:pPr>
              <w:pStyle w:val="28"/>
              <w:suppressLineNumbers w:val="0"/>
              <w:bidi w:val="0"/>
              <w:spacing w:before="0" w:after="0"/>
              <w:ind w:left="0" w:right="0"/>
              <w:rPr>
                <w:rFonts w:hint="eastAsia"/>
                <w:lang w:eastAsia="zh-CN"/>
              </w:rPr>
            </w:pPr>
            <w:r>
              <w:rPr>
                <w:rFonts w:hint="eastAsia"/>
                <w:lang w:eastAsia="zh-CN"/>
              </w:rPr>
              <w:t>阶段</w:t>
            </w: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工序</w:t>
            </w:r>
          </w:p>
        </w:tc>
        <w:tc>
          <w:tcPr>
            <w:tcW w:w="782" w:type="pct"/>
            <w:noWrap w:val="0"/>
            <w:vAlign w:val="center"/>
          </w:tcPr>
          <w:p>
            <w:pPr>
              <w:pStyle w:val="28"/>
              <w:suppressLineNumbers w:val="0"/>
              <w:bidi w:val="0"/>
              <w:spacing w:before="0" w:after="0"/>
              <w:ind w:left="0" w:right="0"/>
              <w:rPr>
                <w:rFonts w:hint="eastAsia"/>
                <w:lang w:eastAsia="zh-CN"/>
              </w:rPr>
            </w:pPr>
            <w:r>
              <w:rPr>
                <w:rFonts w:hint="eastAsia"/>
                <w:lang w:eastAsia="zh-CN"/>
              </w:rPr>
              <w:t>场所</w:t>
            </w:r>
          </w:p>
        </w:tc>
        <w:tc>
          <w:tcPr>
            <w:tcW w:w="1075" w:type="pct"/>
            <w:gridSpan w:val="2"/>
            <w:noWrap w:val="0"/>
            <w:vAlign w:val="center"/>
          </w:tcPr>
          <w:p>
            <w:pPr>
              <w:pStyle w:val="28"/>
              <w:suppressLineNumbers w:val="0"/>
              <w:bidi w:val="0"/>
              <w:spacing w:before="0" w:after="0"/>
              <w:ind w:left="0" w:right="0"/>
            </w:pPr>
            <w:r>
              <w:t>废气处理设施名称</w:t>
            </w:r>
          </w:p>
        </w:tc>
        <w:tc>
          <w:tcPr>
            <w:tcW w:w="521" w:type="pct"/>
            <w:noWrap w:val="0"/>
            <w:vAlign w:val="center"/>
          </w:tcPr>
          <w:p>
            <w:pPr>
              <w:pStyle w:val="28"/>
              <w:suppressLineNumbers w:val="0"/>
              <w:bidi w:val="0"/>
              <w:spacing w:before="0" w:after="0"/>
              <w:ind w:left="0" w:right="0"/>
            </w:pPr>
            <w:r>
              <w:t>套数</w:t>
            </w:r>
          </w:p>
        </w:tc>
        <w:tc>
          <w:tcPr>
            <w:tcW w:w="420" w:type="pct"/>
            <w:noWrap w:val="0"/>
            <w:vAlign w:val="center"/>
          </w:tcPr>
          <w:p>
            <w:pPr>
              <w:pStyle w:val="28"/>
              <w:suppressLineNumbers w:val="0"/>
              <w:bidi w:val="0"/>
              <w:spacing w:before="0" w:after="0"/>
              <w:ind w:left="0" w:right="0"/>
              <w:rPr>
                <w:rFonts w:hint="eastAsia" w:eastAsia="宋体"/>
                <w:lang w:eastAsia="zh-CN"/>
              </w:rPr>
            </w:pPr>
            <w:r>
              <w:t>排气筒</w:t>
            </w:r>
            <w:r>
              <w:rPr>
                <w:rFonts w:hint="eastAsia"/>
                <w:lang w:eastAsia="zh-CN"/>
              </w:rPr>
              <w:t>（高度</w:t>
            </w:r>
            <w:r>
              <w:rPr>
                <w:rFonts w:hint="eastAsia"/>
                <w:lang w:val="en-US" w:eastAsia="zh-CN"/>
              </w:rPr>
              <w:t>m/内径m</w:t>
            </w:r>
            <w:r>
              <w:rPr>
                <w:rFonts w:hint="eastAsia"/>
                <w:lang w:eastAsia="zh-CN"/>
              </w:rPr>
              <w:t>）</w:t>
            </w:r>
          </w:p>
        </w:tc>
        <w:tc>
          <w:tcPr>
            <w:tcW w:w="555" w:type="pct"/>
            <w:noWrap w:val="0"/>
            <w:vAlign w:val="center"/>
          </w:tcPr>
          <w:p>
            <w:pPr>
              <w:pStyle w:val="28"/>
              <w:suppressLineNumbers w:val="0"/>
              <w:bidi w:val="0"/>
              <w:spacing w:before="0" w:after="0"/>
              <w:ind w:left="0" w:right="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进料</w:t>
            </w:r>
          </w:p>
        </w:tc>
        <w:tc>
          <w:tcPr>
            <w:tcW w:w="782"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一车间</w:t>
            </w:r>
          </w:p>
        </w:tc>
        <w:tc>
          <w:tcPr>
            <w:tcW w:w="1075" w:type="pct"/>
            <w:gridSpan w:val="2"/>
            <w:noWrap w:val="0"/>
            <w:vAlign w:val="center"/>
          </w:tcPr>
          <w:p>
            <w:pPr>
              <w:pStyle w:val="28"/>
              <w:suppressLineNumbers w:val="0"/>
              <w:bidi w:val="0"/>
              <w:spacing w:before="0" w:after="0"/>
              <w:ind w:left="0" w:right="0"/>
            </w:pPr>
            <w:r>
              <w:rPr>
                <w:rFonts w:hint="eastAsia"/>
                <w:lang w:eastAsia="zh-CN"/>
              </w:rPr>
              <w:t>集尘罩</w:t>
            </w:r>
            <w:r>
              <w:rPr>
                <w:rFonts w:hint="eastAsia"/>
                <w:lang w:val="en-US" w:eastAsia="zh-CN"/>
              </w:rPr>
              <w:t>+</w:t>
            </w:r>
            <w:r>
              <w:t>布袋除尘</w:t>
            </w:r>
          </w:p>
        </w:tc>
        <w:tc>
          <w:tcPr>
            <w:tcW w:w="521" w:type="pct"/>
            <w:noWrap w:val="0"/>
            <w:vAlign w:val="center"/>
          </w:tcPr>
          <w:p>
            <w:pPr>
              <w:pStyle w:val="28"/>
              <w:suppressLineNumbers w:val="0"/>
              <w:bidi w:val="0"/>
              <w:spacing w:before="0" w:after="0"/>
              <w:ind w:left="0" w:right="0"/>
            </w:pPr>
            <w:r>
              <w:t>1</w:t>
            </w:r>
          </w:p>
        </w:tc>
        <w:tc>
          <w:tcPr>
            <w:tcW w:w="420"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DA001（35/1.3）</w:t>
            </w:r>
          </w:p>
        </w:tc>
        <w:tc>
          <w:tcPr>
            <w:tcW w:w="555"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一期、二期共用排气筒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电煅</w:t>
            </w:r>
          </w:p>
        </w:tc>
        <w:tc>
          <w:tcPr>
            <w:tcW w:w="782" w:type="pct"/>
            <w:vMerge w:val="continue"/>
            <w:noWrap w:val="0"/>
            <w:vAlign w:val="center"/>
          </w:tcPr>
          <w:p>
            <w:pPr>
              <w:pStyle w:val="28"/>
              <w:suppressLineNumbers w:val="0"/>
              <w:bidi w:val="0"/>
              <w:spacing w:before="0" w:after="0"/>
              <w:ind w:left="0" w:right="0"/>
              <w:outlineLvl w:val="9"/>
              <w:rPr>
                <w:rFonts w:hint="eastAsia"/>
                <w:lang w:eastAsia="zh-CN"/>
              </w:rPr>
            </w:pPr>
          </w:p>
        </w:tc>
        <w:tc>
          <w:tcPr>
            <w:tcW w:w="1075" w:type="pct"/>
            <w:gridSpan w:val="2"/>
            <w:noWrap w:val="0"/>
            <w:vAlign w:val="center"/>
          </w:tcPr>
          <w:p>
            <w:pPr>
              <w:pStyle w:val="28"/>
              <w:suppressLineNumbers w:val="0"/>
              <w:bidi w:val="0"/>
              <w:spacing w:before="0" w:after="0"/>
              <w:ind w:left="0" w:right="0"/>
              <w:rPr>
                <w:rFonts w:hint="eastAsia" w:eastAsia="宋体"/>
                <w:lang w:eastAsia="zh-CN"/>
              </w:rPr>
            </w:pPr>
            <w:r>
              <w:t>布袋除尘+氧化钙脱硫（</w:t>
            </w:r>
            <w:r>
              <w:rPr>
                <w:rFonts w:hint="eastAsia"/>
                <w:lang w:eastAsia="zh-CN"/>
              </w:rPr>
              <w:t>二</w:t>
            </w:r>
            <w:r>
              <w:t>级</w:t>
            </w:r>
            <w:r>
              <w:rPr>
                <w:rFonts w:hint="eastAsia"/>
                <w:lang w:eastAsia="zh-CN"/>
              </w:rPr>
              <w:t>）</w:t>
            </w: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排料</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507" w:type="pct"/>
            <w:vMerge w:val="restart"/>
            <w:noWrap w:val="0"/>
            <w:vAlign w:val="center"/>
          </w:tcPr>
          <w:p>
            <w:pPr>
              <w:pStyle w:val="28"/>
              <w:suppressLineNumbers w:val="0"/>
              <w:bidi w:val="0"/>
              <w:spacing w:before="0" w:after="0"/>
              <w:ind w:left="0" w:right="0"/>
            </w:pPr>
            <w:r>
              <w:t>布袋除尘</w:t>
            </w: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中间包装</w:t>
            </w:r>
          </w:p>
        </w:tc>
        <w:tc>
          <w:tcPr>
            <w:tcW w:w="782" w:type="pct"/>
            <w:vMerge w:val="continue"/>
            <w:noWrap w:val="0"/>
            <w:vAlign w:val="center"/>
          </w:tcPr>
          <w:p>
            <w:pPr>
              <w:pStyle w:val="28"/>
              <w:suppressLineNumbers w:val="0"/>
              <w:bidi w:val="0"/>
              <w:spacing w:before="0" w:after="0"/>
              <w:ind w:left="0" w:right="0"/>
              <w:outlineLvl w:val="9"/>
              <w:rPr>
                <w:rFonts w:hint="eastAsia"/>
                <w:lang w:eastAsia="zh-CN"/>
              </w:rPr>
            </w:pP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default" w:eastAsia="宋体"/>
                <w:lang w:val="en-US" w:eastAsia="zh-CN"/>
              </w:rPr>
            </w:pPr>
            <w:r>
              <w:rPr>
                <w:rFonts w:hint="eastAsia"/>
                <w:lang w:eastAsia="zh-CN"/>
              </w:rPr>
              <w:t>半成品仓</w:t>
            </w:r>
            <w:r>
              <w:rPr>
                <w:rFonts w:hint="eastAsia"/>
                <w:lang w:val="en-US" w:eastAsia="zh-CN"/>
              </w:rPr>
              <w:t>2</w:t>
            </w:r>
          </w:p>
        </w:tc>
        <w:tc>
          <w:tcPr>
            <w:tcW w:w="782"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破碎筛分车间</w:t>
            </w: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破碎、筛分</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w:t>
            </w:r>
          </w:p>
        </w:tc>
        <w:tc>
          <w:tcPr>
            <w:tcW w:w="507" w:type="pct"/>
            <w:vMerge w:val="continue"/>
            <w:noWrap w:val="0"/>
            <w:vAlign w:val="center"/>
          </w:tcPr>
          <w:p>
            <w:pPr>
              <w:pStyle w:val="28"/>
              <w:suppressLineNumbers w:val="0"/>
              <w:bidi w:val="0"/>
              <w:spacing w:before="0" w:after="0"/>
              <w:ind w:left="0" w:right="0"/>
              <w:outlineLvl w:val="9"/>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rPr>
                <w:rFonts w:hint="eastAsia" w:eastAsia="宋体"/>
                <w:lang w:eastAsia="zh-CN"/>
              </w:rPr>
            </w:pPr>
            <w:r>
              <w:rPr>
                <w:rFonts w:hint="eastAsia"/>
                <w:lang w:eastAsia="zh-CN"/>
              </w:rPr>
              <w:t>包装</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outlineLvl w:val="9"/>
              <w:rPr>
                <w:rFonts w:hint="eastAsia"/>
                <w:lang w:eastAsia="zh-CN"/>
              </w:rPr>
            </w:pPr>
          </w:p>
        </w:tc>
        <w:tc>
          <w:tcPr>
            <w:tcW w:w="521" w:type="pct"/>
            <w:noWrap w:val="0"/>
            <w:vAlign w:val="center"/>
          </w:tcPr>
          <w:p>
            <w:pPr>
              <w:pStyle w:val="28"/>
              <w:suppressLineNumbers w:val="0"/>
              <w:bidi w:val="0"/>
              <w:spacing w:before="0" w:after="0"/>
              <w:ind w:left="0" w:right="0"/>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二期</w:t>
            </w: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进料</w:t>
            </w:r>
          </w:p>
        </w:tc>
        <w:tc>
          <w:tcPr>
            <w:tcW w:w="782"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二车间</w:t>
            </w:r>
          </w:p>
        </w:tc>
        <w:tc>
          <w:tcPr>
            <w:tcW w:w="1075" w:type="pct"/>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r>
              <w:rPr>
                <w:rFonts w:hint="eastAsia"/>
                <w:lang w:val="en-US" w:eastAsia="zh-CN"/>
              </w:rPr>
              <w:t>+</w:t>
            </w:r>
            <w:r>
              <w:t>布袋除尘</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电煅</w:t>
            </w:r>
          </w:p>
        </w:tc>
        <w:tc>
          <w:tcPr>
            <w:tcW w:w="782" w:type="pct"/>
            <w:vMerge w:val="continue"/>
            <w:noWrap w:val="0"/>
            <w:vAlign w:val="center"/>
          </w:tcPr>
          <w:p>
            <w:pPr>
              <w:pStyle w:val="28"/>
              <w:suppressLineNumbers w:val="0"/>
              <w:bidi w:val="0"/>
              <w:spacing w:before="0" w:after="0"/>
              <w:ind w:left="0" w:right="0"/>
              <w:outlineLvl w:val="9"/>
            </w:pPr>
          </w:p>
        </w:tc>
        <w:tc>
          <w:tcPr>
            <w:tcW w:w="1075" w:type="pct"/>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r>
              <w:rPr>
                <w:rFonts w:hint="eastAsia"/>
                <w:lang w:eastAsia="zh-CN"/>
              </w:rPr>
              <w:t>）</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排料</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507" w:type="pct"/>
            <w:vMerge w:val="restart"/>
            <w:noWrap w:val="0"/>
            <w:vAlign w:val="center"/>
          </w:tcPr>
          <w:p>
            <w:pPr>
              <w:pStyle w:val="28"/>
              <w:suppressLineNumbers w:val="0"/>
              <w:bidi w:val="0"/>
              <w:spacing w:before="0" w:after="0"/>
              <w:ind w:left="0" w:right="0" w:firstLine="0" w:firstLineChars="0"/>
            </w:pPr>
            <w:r>
              <w:t>布袋除尘</w:t>
            </w: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中间包装</w:t>
            </w:r>
          </w:p>
        </w:tc>
        <w:tc>
          <w:tcPr>
            <w:tcW w:w="782"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破碎筛分车间</w:t>
            </w: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半成品仓</w:t>
            </w:r>
            <w:r>
              <w:rPr>
                <w:rFonts w:hint="eastAsia"/>
                <w:lang w:val="en-US" w:eastAsia="zh-CN"/>
              </w:rPr>
              <w:t>2</w:t>
            </w:r>
          </w:p>
        </w:tc>
        <w:tc>
          <w:tcPr>
            <w:tcW w:w="782" w:type="pct"/>
            <w:vMerge w:val="continue"/>
            <w:noWrap w:val="0"/>
            <w:vAlign w:val="center"/>
          </w:tcPr>
          <w:p>
            <w:pPr>
              <w:pStyle w:val="28"/>
              <w:suppressLineNumbers w:val="0"/>
              <w:bidi w:val="0"/>
              <w:spacing w:before="0" w:after="0"/>
              <w:ind w:left="0" w:right="0" w:firstLine="0" w:firstLineChars="0"/>
              <w:outlineLvl w:val="9"/>
              <w:rPr>
                <w:rFonts w:hint="eastAsia" w:ascii="Times New Roman" w:hAnsi="Times New Roman" w:eastAsia="宋体" w:cstheme="minorBidi"/>
                <w:b w:val="0"/>
                <w:kern w:val="2"/>
                <w:sz w:val="21"/>
                <w:szCs w:val="24"/>
                <w:lang w:val="en-US" w:eastAsia="zh-CN" w:bidi="ar-SA"/>
              </w:rPr>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破碎、筛分</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w:t>
            </w:r>
          </w:p>
        </w:tc>
        <w:tc>
          <w:tcPr>
            <w:tcW w:w="507" w:type="pct"/>
            <w:vMerge w:val="continue"/>
            <w:noWrap w:val="0"/>
            <w:vAlign w:val="center"/>
          </w:tcPr>
          <w:p>
            <w:pPr>
              <w:pStyle w:val="28"/>
              <w:suppressLineNumbers w:val="0"/>
              <w:bidi w:val="0"/>
              <w:spacing w:before="0" w:after="0"/>
              <w:ind w:left="0" w:right="0" w:firstLine="0" w:firstLineChars="0"/>
              <w:outlineLvl w:val="9"/>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 w:type="pct"/>
            <w:vMerge w:val="continue"/>
            <w:noWrap w:val="0"/>
            <w:vAlign w:val="center"/>
          </w:tcPr>
          <w:p>
            <w:pPr>
              <w:pStyle w:val="28"/>
              <w:suppressLineNumbers w:val="0"/>
              <w:bidi w:val="0"/>
              <w:spacing w:before="0" w:after="0"/>
              <w:ind w:left="0" w:right="0"/>
              <w:outlineLvl w:val="9"/>
              <w:rPr>
                <w:rFonts w:hint="eastAsia"/>
                <w:lang w:eastAsia="zh-CN"/>
              </w:rPr>
            </w:pPr>
          </w:p>
        </w:tc>
        <w:tc>
          <w:tcPr>
            <w:tcW w:w="823"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包装</w:t>
            </w:r>
          </w:p>
        </w:tc>
        <w:tc>
          <w:tcPr>
            <w:tcW w:w="782" w:type="pct"/>
            <w:vMerge w:val="continue"/>
            <w:noWrap w:val="0"/>
            <w:vAlign w:val="center"/>
          </w:tcPr>
          <w:p>
            <w:pPr>
              <w:pStyle w:val="28"/>
              <w:suppressLineNumbers w:val="0"/>
              <w:bidi w:val="0"/>
              <w:spacing w:before="0" w:after="0"/>
              <w:ind w:left="0" w:right="0"/>
              <w:outlineLvl w:val="9"/>
            </w:pPr>
          </w:p>
        </w:tc>
        <w:tc>
          <w:tcPr>
            <w:tcW w:w="568"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集尘罩</w:t>
            </w:r>
          </w:p>
        </w:tc>
        <w:tc>
          <w:tcPr>
            <w:tcW w:w="507" w:type="pct"/>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521"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1</w:t>
            </w:r>
          </w:p>
        </w:tc>
        <w:tc>
          <w:tcPr>
            <w:tcW w:w="420" w:type="pct"/>
            <w:vMerge w:val="continue"/>
            <w:noWrap w:val="0"/>
            <w:vAlign w:val="center"/>
          </w:tcPr>
          <w:p>
            <w:pPr>
              <w:pStyle w:val="28"/>
              <w:suppressLineNumbers w:val="0"/>
              <w:bidi w:val="0"/>
              <w:spacing w:before="0" w:after="0"/>
              <w:ind w:left="0" w:right="0"/>
              <w:outlineLvl w:val="9"/>
            </w:pPr>
          </w:p>
        </w:tc>
        <w:tc>
          <w:tcPr>
            <w:tcW w:w="555" w:type="pct"/>
            <w:vMerge w:val="continue"/>
            <w:noWrap w:val="0"/>
            <w:vAlign w:val="center"/>
          </w:tcPr>
          <w:p>
            <w:pPr>
              <w:pStyle w:val="28"/>
              <w:suppressLineNumbers w:val="0"/>
              <w:bidi w:val="0"/>
              <w:spacing w:before="0" w:after="0"/>
              <w:ind w:left="0" w:right="0"/>
              <w:outlineLvl w:val="9"/>
            </w:pPr>
          </w:p>
        </w:tc>
      </w:tr>
    </w:tbl>
    <w:p>
      <w:pPr>
        <w:bidi w:val="0"/>
      </w:pPr>
      <w:r>
        <w:t>（3）固废</w:t>
      </w:r>
    </w:p>
    <w:p>
      <w:pPr>
        <w:bidi w:val="0"/>
        <w:rPr>
          <w:rFonts w:hint="eastAsia" w:eastAsia="宋体"/>
          <w:lang w:eastAsia="zh-CN"/>
        </w:rPr>
      </w:pPr>
      <w:r>
        <w:t>项目</w:t>
      </w:r>
      <w:r>
        <w:rPr>
          <w:rFonts w:hint="eastAsia"/>
          <w:lang w:eastAsia="zh-CN"/>
        </w:rPr>
        <w:t>运营</w:t>
      </w:r>
      <w:r>
        <w:t>过程中产生的</w:t>
      </w:r>
      <w:r>
        <w:rPr>
          <w:rFonts w:hint="eastAsia"/>
          <w:lang w:eastAsia="zh-CN"/>
        </w:rPr>
        <w:t>一般固废为电煅炉布袋除尘器除尘下灰、废原料包装袋、脱硫石膏、</w:t>
      </w:r>
      <w:r>
        <w:rPr>
          <w:rFonts w:hint="eastAsia"/>
        </w:rPr>
        <w:t>隔油池废油</w:t>
      </w:r>
      <w:r>
        <w:rPr>
          <w:rFonts w:hint="eastAsia"/>
          <w:lang w:eastAsia="zh-CN"/>
        </w:rPr>
        <w:t>、</w:t>
      </w:r>
      <w:r>
        <w:rPr>
          <w:rFonts w:hint="eastAsia"/>
        </w:rPr>
        <w:t>生活垃圾</w:t>
      </w:r>
      <w:r>
        <w:rPr>
          <w:rFonts w:hint="eastAsia"/>
          <w:lang w:eastAsia="zh-CN"/>
        </w:rPr>
        <w:t>、</w:t>
      </w:r>
      <w:r>
        <w:rPr>
          <w:rFonts w:hint="eastAsia"/>
        </w:rPr>
        <w:t>餐厨垃圾</w:t>
      </w:r>
      <w:r>
        <w:rPr>
          <w:rFonts w:hint="eastAsia"/>
          <w:lang w:eastAsia="zh-CN"/>
        </w:rPr>
        <w:t>，其中电煅炉布袋除尘器除尘下灰、脱硫石膏外售作建材，废原料包装袋外售综合利用，</w:t>
      </w:r>
      <w:r>
        <w:rPr>
          <w:rFonts w:hint="eastAsia"/>
        </w:rPr>
        <w:t>隔油池废油</w:t>
      </w:r>
      <w:r>
        <w:rPr>
          <w:rFonts w:hint="eastAsia"/>
          <w:lang w:eastAsia="zh-CN"/>
        </w:rPr>
        <w:t>委托处理，</w:t>
      </w:r>
      <w:r>
        <w:rPr>
          <w:rFonts w:hint="eastAsia"/>
        </w:rPr>
        <w:t>生活垃圾</w:t>
      </w:r>
      <w:r>
        <w:rPr>
          <w:rFonts w:hint="eastAsia"/>
          <w:vertAlign w:val="baseline"/>
          <w:lang w:val="en-US" w:eastAsia="zh-CN"/>
        </w:rPr>
        <w:t>环卫托运，</w:t>
      </w:r>
      <w:r>
        <w:rPr>
          <w:rFonts w:hint="eastAsia"/>
        </w:rPr>
        <w:t>餐厨垃圾</w:t>
      </w:r>
      <w:r>
        <w:rPr>
          <w:rFonts w:hint="eastAsia" w:ascii="Times New Roman" w:hAnsi="Times New Roman" w:eastAsia="宋体"/>
          <w:szCs w:val="21"/>
        </w:rPr>
        <w:t>由专门公司进行收集处理</w:t>
      </w:r>
      <w:r>
        <w:rPr>
          <w:rFonts w:hint="eastAsia"/>
          <w:lang w:eastAsia="zh-CN"/>
        </w:rPr>
        <w:t>。</w:t>
      </w:r>
    </w:p>
    <w:p>
      <w:pPr>
        <w:bidi w:val="0"/>
      </w:pPr>
      <w:r>
        <w:rPr>
          <w:rFonts w:hint="eastAsia"/>
          <w:lang w:eastAsia="zh-CN"/>
        </w:rPr>
        <w:t>废树脂、废试剂瓶、化验室废液为危险废物，委托资质单位进行处理</w:t>
      </w:r>
      <w:r>
        <w:t>。</w:t>
      </w:r>
    </w:p>
    <w:p>
      <w:pPr>
        <w:bidi w:val="0"/>
      </w:pPr>
      <w:r>
        <w:t>（4）噪声</w:t>
      </w:r>
    </w:p>
    <w:p>
      <w:pPr>
        <w:bidi w:val="0"/>
      </w:pPr>
      <w:r>
        <w:t>项目主要噪声设备为</w:t>
      </w:r>
      <w:r>
        <w:rPr>
          <w:rFonts w:hint="eastAsia"/>
          <w:lang w:eastAsia="zh-CN"/>
        </w:rPr>
        <w:t>电煅炉、</w:t>
      </w:r>
      <w:r>
        <w:t>破碎机、振动筛、风机、泵类、冷却塔等，在设计和设备采购阶段，应优先选用低噪声设备，从而从声源上降低设备本身的噪声。同时通过安装减振装置，厂房隔声、消声等措施降低噪声。</w:t>
      </w:r>
    </w:p>
    <w:p>
      <w:pPr>
        <w:bidi w:val="0"/>
      </w:pPr>
      <w:r>
        <w:t>（5）风险防范措施</w:t>
      </w:r>
    </w:p>
    <w:p>
      <w:pPr>
        <w:bidi w:val="0"/>
      </w:pPr>
      <w:r>
        <w:t>本项目环境风险防范措施情况详见表</w:t>
      </w:r>
      <w:r>
        <w:rPr>
          <w:rFonts w:hint="eastAsia"/>
          <w:lang w:val="en-US" w:eastAsia="zh-CN"/>
        </w:rPr>
        <w:t>8.2</w:t>
      </w:r>
      <w:r>
        <w:t>.3-2。</w:t>
      </w:r>
    </w:p>
    <w:p>
      <w:pPr>
        <w:pStyle w:val="27"/>
        <w:bidi w:val="0"/>
      </w:pPr>
      <w:r>
        <w:t>表</w:t>
      </w:r>
      <w:r>
        <w:rPr>
          <w:rFonts w:hint="eastAsia"/>
          <w:lang w:val="en-US" w:eastAsia="zh-CN"/>
        </w:rPr>
        <w:t>8.2.3</w:t>
      </w:r>
      <w:r>
        <w:t>-2 项目环境风险防范措施一览表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599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484" w:type="dxa"/>
            <w:noWrap w:val="0"/>
            <w:vAlign w:val="center"/>
          </w:tcPr>
          <w:p>
            <w:pPr>
              <w:pStyle w:val="28"/>
              <w:suppressLineNumbers w:val="0"/>
              <w:bidi w:val="0"/>
              <w:spacing w:before="0" w:after="0"/>
              <w:ind w:left="0" w:right="0"/>
            </w:pPr>
            <w:r>
              <w:t>污染源</w:t>
            </w:r>
          </w:p>
        </w:tc>
        <w:tc>
          <w:tcPr>
            <w:tcW w:w="5991" w:type="dxa"/>
            <w:noWrap w:val="0"/>
            <w:vAlign w:val="center"/>
          </w:tcPr>
          <w:p>
            <w:pPr>
              <w:pStyle w:val="28"/>
              <w:suppressLineNumbers w:val="0"/>
              <w:bidi w:val="0"/>
              <w:spacing w:before="0" w:after="0"/>
              <w:ind w:left="0" w:right="0"/>
            </w:pPr>
            <w:r>
              <w:t>治理设施（措施）</w:t>
            </w:r>
          </w:p>
        </w:tc>
        <w:tc>
          <w:tcPr>
            <w:tcW w:w="1811" w:type="dxa"/>
            <w:noWrap w:val="0"/>
            <w:vAlign w:val="center"/>
          </w:tcPr>
          <w:p>
            <w:pPr>
              <w:pStyle w:val="28"/>
              <w:suppressLineNumbers w:val="0"/>
              <w:bidi w:val="0"/>
              <w:spacing w:before="0" w:after="0"/>
              <w:ind w:left="0" w:right="0"/>
            </w:pPr>
            <w:r>
              <w:t>处理效果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484" w:type="dxa"/>
            <w:vMerge w:val="restart"/>
            <w:noWrap w:val="0"/>
            <w:vAlign w:val="center"/>
          </w:tcPr>
          <w:p>
            <w:pPr>
              <w:pStyle w:val="28"/>
              <w:suppressLineNumbers w:val="0"/>
              <w:bidi w:val="0"/>
              <w:spacing w:before="0" w:after="0"/>
              <w:ind w:left="0" w:right="0"/>
            </w:pPr>
            <w:r>
              <w:t>风险防范措施</w:t>
            </w:r>
          </w:p>
        </w:tc>
        <w:tc>
          <w:tcPr>
            <w:tcW w:w="5991" w:type="dxa"/>
            <w:noWrap w:val="0"/>
            <w:vAlign w:val="center"/>
          </w:tcPr>
          <w:p>
            <w:pPr>
              <w:pStyle w:val="28"/>
              <w:suppressLineNumbers w:val="0"/>
              <w:bidi w:val="0"/>
              <w:spacing w:before="0" w:after="0"/>
              <w:ind w:left="0" w:right="0"/>
            </w:pPr>
            <w:r>
              <w:t>报警系统、消防器材等</w:t>
            </w:r>
          </w:p>
        </w:tc>
        <w:tc>
          <w:tcPr>
            <w:tcW w:w="1811" w:type="dxa"/>
            <w:vMerge w:val="restart"/>
            <w:noWrap w:val="0"/>
            <w:vAlign w:val="center"/>
          </w:tcPr>
          <w:p>
            <w:pPr>
              <w:pStyle w:val="28"/>
              <w:suppressLineNumbers w:val="0"/>
              <w:bidi w:val="0"/>
              <w:spacing w:before="0" w:after="0"/>
              <w:ind w:left="0" w:right="0"/>
            </w:pPr>
            <w:r>
              <w:t>将风险水平降低到可接受范围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484" w:type="dxa"/>
            <w:vMerge w:val="continue"/>
            <w:noWrap w:val="0"/>
            <w:vAlign w:val="center"/>
          </w:tcPr>
          <w:p>
            <w:pPr>
              <w:pStyle w:val="28"/>
              <w:suppressLineNumbers w:val="0"/>
              <w:bidi w:val="0"/>
              <w:spacing w:before="0" w:after="0"/>
              <w:ind w:left="0" w:right="0"/>
              <w:outlineLvl w:val="9"/>
            </w:pPr>
          </w:p>
        </w:tc>
        <w:tc>
          <w:tcPr>
            <w:tcW w:w="5991" w:type="dxa"/>
            <w:noWrap w:val="0"/>
            <w:vAlign w:val="center"/>
          </w:tcPr>
          <w:p>
            <w:pPr>
              <w:pStyle w:val="28"/>
              <w:suppressLineNumbers w:val="0"/>
              <w:bidi w:val="0"/>
              <w:spacing w:before="0" w:after="0"/>
              <w:ind w:left="0" w:right="0"/>
              <w:rPr>
                <w:rFonts w:hint="eastAsia" w:eastAsia="宋体"/>
                <w:lang w:eastAsia="zh-CN"/>
              </w:rPr>
            </w:pPr>
            <w:r>
              <w:t>消防排水收集系统，包括消防尾水收集池</w:t>
            </w:r>
            <w:r>
              <w:rPr>
                <w:rFonts w:hint="eastAsia"/>
              </w:rPr>
              <w:t>（</w:t>
            </w:r>
            <w:r>
              <w:rPr>
                <w:rFonts w:hint="eastAsia"/>
                <w:lang w:val="en-US" w:eastAsia="zh-CN"/>
              </w:rPr>
              <w:t>242</w:t>
            </w:r>
            <w:r>
              <w:rPr>
                <w:rFonts w:hint="eastAsia"/>
              </w:rPr>
              <w:t>m</w:t>
            </w:r>
            <w:r>
              <w:rPr>
                <w:rFonts w:hint="eastAsia"/>
                <w:vertAlign w:val="superscript"/>
              </w:rPr>
              <w:t>3</w:t>
            </w:r>
            <w:r>
              <w:rPr>
                <w:rFonts w:hint="eastAsia"/>
              </w:rPr>
              <w:t>）</w:t>
            </w:r>
            <w:r>
              <w:t>、</w:t>
            </w:r>
            <w:r>
              <w:rPr>
                <w:rFonts w:hint="eastAsia"/>
                <w:lang w:eastAsia="zh-CN"/>
              </w:rPr>
              <w:t>明渠</w:t>
            </w:r>
          </w:p>
        </w:tc>
        <w:tc>
          <w:tcPr>
            <w:tcW w:w="1811"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484" w:type="dxa"/>
            <w:vMerge w:val="continue"/>
            <w:noWrap w:val="0"/>
            <w:vAlign w:val="center"/>
          </w:tcPr>
          <w:p>
            <w:pPr>
              <w:pStyle w:val="28"/>
              <w:suppressLineNumbers w:val="0"/>
              <w:bidi w:val="0"/>
              <w:spacing w:before="0" w:after="0"/>
              <w:ind w:left="0" w:right="0"/>
              <w:outlineLvl w:val="9"/>
            </w:pPr>
          </w:p>
        </w:tc>
        <w:tc>
          <w:tcPr>
            <w:tcW w:w="5991" w:type="dxa"/>
            <w:noWrap w:val="0"/>
            <w:vAlign w:val="center"/>
          </w:tcPr>
          <w:p>
            <w:pPr>
              <w:pStyle w:val="28"/>
              <w:suppressLineNumbers w:val="0"/>
              <w:bidi w:val="0"/>
              <w:spacing w:before="0" w:after="0"/>
              <w:ind w:left="0" w:right="0"/>
            </w:pPr>
            <w:r>
              <w:t>建立相应的事故风险紧急监测系统</w:t>
            </w:r>
          </w:p>
        </w:tc>
        <w:tc>
          <w:tcPr>
            <w:tcW w:w="1811" w:type="dxa"/>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484" w:type="dxa"/>
            <w:vMerge w:val="continue"/>
            <w:noWrap w:val="0"/>
            <w:vAlign w:val="center"/>
          </w:tcPr>
          <w:p>
            <w:pPr>
              <w:pStyle w:val="28"/>
              <w:suppressLineNumbers w:val="0"/>
              <w:bidi w:val="0"/>
              <w:spacing w:before="0" w:after="0"/>
              <w:ind w:left="0" w:right="0"/>
              <w:outlineLvl w:val="9"/>
            </w:pPr>
          </w:p>
        </w:tc>
        <w:tc>
          <w:tcPr>
            <w:tcW w:w="5991" w:type="dxa"/>
            <w:noWrap w:val="0"/>
            <w:vAlign w:val="center"/>
          </w:tcPr>
          <w:p>
            <w:pPr>
              <w:pStyle w:val="28"/>
              <w:suppressLineNumbers w:val="0"/>
              <w:bidi w:val="0"/>
              <w:spacing w:before="0" w:after="0"/>
              <w:ind w:left="0" w:right="0"/>
            </w:pPr>
            <w:r>
              <w:t>其它风险防范措施</w:t>
            </w:r>
          </w:p>
        </w:tc>
        <w:tc>
          <w:tcPr>
            <w:tcW w:w="1811" w:type="dxa"/>
            <w:vMerge w:val="continue"/>
            <w:noWrap w:val="0"/>
            <w:vAlign w:val="center"/>
          </w:tcPr>
          <w:p>
            <w:pPr>
              <w:pStyle w:val="28"/>
              <w:suppressLineNumbers w:val="0"/>
              <w:bidi w:val="0"/>
              <w:spacing w:before="0" w:after="0"/>
              <w:ind w:left="0" w:right="0"/>
              <w:outlineLvl w:val="9"/>
            </w:pPr>
          </w:p>
        </w:tc>
      </w:tr>
    </w:tbl>
    <w:p>
      <w:pPr>
        <w:pStyle w:val="5"/>
        <w:bidi w:val="0"/>
      </w:pPr>
      <w:bookmarkStart w:id="229" w:name="_Toc26680_WPSOffice_Level2"/>
      <w:bookmarkStart w:id="230" w:name="_Toc527487043"/>
      <w:bookmarkStart w:id="231" w:name="_Toc527394309"/>
      <w:r>
        <w:rPr>
          <w:rFonts w:hint="eastAsia"/>
          <w:lang w:val="en-US" w:eastAsia="zh-CN"/>
        </w:rPr>
        <w:t>8.2.4</w:t>
      </w:r>
      <w:r>
        <w:t xml:space="preserve"> 污染物排放情况</w:t>
      </w:r>
      <w:bookmarkEnd w:id="229"/>
      <w:bookmarkEnd w:id="230"/>
      <w:bookmarkEnd w:id="231"/>
    </w:p>
    <w:p>
      <w:pPr>
        <w:bidi w:val="0"/>
      </w:pPr>
      <w:r>
        <w:t>（1）污染物种类及排放量</w:t>
      </w:r>
    </w:p>
    <w:p>
      <w:pPr>
        <w:bidi w:val="0"/>
      </w:pPr>
      <w:r>
        <w:fldChar w:fldCharType="begin"/>
      </w:r>
      <w:r>
        <w:instrText xml:space="preserve"> = 1 \* GB3 </w:instrText>
      </w:r>
      <w:r>
        <w:fldChar w:fldCharType="separate"/>
      </w:r>
      <w:r>
        <w:rPr>
          <w:rFonts w:hint="eastAsia"/>
        </w:rPr>
        <w:t>①</w:t>
      </w:r>
      <w:r>
        <w:fldChar w:fldCharType="end"/>
      </w:r>
      <w:r>
        <w:t>废气</w:t>
      </w:r>
    </w:p>
    <w:p>
      <w:pPr>
        <w:bidi w:val="0"/>
      </w:pPr>
      <w:r>
        <w:t>项目废气排放情况汇总见表</w:t>
      </w:r>
      <w:r>
        <w:rPr>
          <w:rFonts w:hint="eastAsia"/>
          <w:lang w:val="en-US" w:eastAsia="zh-CN"/>
        </w:rPr>
        <w:t>8.2</w:t>
      </w:r>
      <w:r>
        <w:t>.4-1。</w:t>
      </w:r>
    </w:p>
    <w:p>
      <w:pPr>
        <w:pStyle w:val="27"/>
        <w:bidi w:val="0"/>
      </w:pPr>
      <w:r>
        <w:t>表</w:t>
      </w:r>
      <w:r>
        <w:rPr>
          <w:rFonts w:hint="eastAsia"/>
          <w:lang w:val="en-US" w:eastAsia="zh-CN"/>
        </w:rPr>
        <w:t>8.2</w:t>
      </w:r>
      <w:r>
        <w:t>.4-1 项目</w:t>
      </w:r>
      <w:r>
        <w:rPr>
          <w:rFonts w:hint="eastAsia"/>
        </w:rPr>
        <w:t>有组织</w:t>
      </w:r>
      <w:r>
        <w:t>废气污染物排放情况表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203"/>
        <w:gridCol w:w="857"/>
        <w:gridCol w:w="971"/>
        <w:gridCol w:w="812"/>
        <w:gridCol w:w="708"/>
        <w:gridCol w:w="720"/>
        <w:gridCol w:w="835"/>
        <w:gridCol w:w="479"/>
        <w:gridCol w:w="516"/>
        <w:gridCol w:w="483"/>
        <w:gridCol w:w="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restart"/>
            <w:noWrap w:val="0"/>
            <w:vAlign w:val="center"/>
          </w:tcPr>
          <w:p>
            <w:pPr>
              <w:pStyle w:val="28"/>
              <w:suppressLineNumbers w:val="0"/>
              <w:bidi w:val="0"/>
              <w:spacing w:before="0" w:after="0"/>
              <w:ind w:left="0" w:right="0"/>
            </w:pPr>
            <w:r>
              <w:t>工程</w:t>
            </w:r>
          </w:p>
          <w:p>
            <w:pPr>
              <w:pStyle w:val="28"/>
              <w:suppressLineNumbers w:val="0"/>
              <w:bidi w:val="0"/>
              <w:spacing w:before="0" w:after="0"/>
              <w:ind w:left="0" w:right="0"/>
            </w:pPr>
            <w:r>
              <w:t>分期</w:t>
            </w:r>
          </w:p>
        </w:tc>
        <w:tc>
          <w:tcPr>
            <w:tcW w:w="1105" w:type="pct"/>
            <w:vMerge w:val="restart"/>
            <w:noWrap w:val="0"/>
            <w:vAlign w:val="center"/>
          </w:tcPr>
          <w:p>
            <w:pPr>
              <w:pStyle w:val="28"/>
              <w:suppressLineNumbers w:val="0"/>
              <w:bidi w:val="0"/>
              <w:spacing w:before="0" w:after="0"/>
              <w:ind w:left="0" w:right="0"/>
            </w:pPr>
            <w:r>
              <w:rPr>
                <w:rFonts w:hint="eastAsia"/>
                <w:lang w:eastAsia="zh-CN"/>
              </w:rPr>
              <w:t>废气</w:t>
            </w:r>
            <w:r>
              <w:t>编号</w:t>
            </w:r>
          </w:p>
        </w:tc>
        <w:tc>
          <w:tcPr>
            <w:tcW w:w="430" w:type="pct"/>
            <w:vMerge w:val="restart"/>
            <w:noWrap w:val="0"/>
            <w:vAlign w:val="center"/>
          </w:tcPr>
          <w:p>
            <w:pPr>
              <w:pStyle w:val="28"/>
              <w:suppressLineNumbers w:val="0"/>
              <w:bidi w:val="0"/>
              <w:spacing w:before="0" w:after="0"/>
              <w:ind w:left="0" w:right="0"/>
            </w:pPr>
            <w:r>
              <w:t>污染物</w:t>
            </w:r>
          </w:p>
        </w:tc>
        <w:tc>
          <w:tcPr>
            <w:tcW w:w="487" w:type="pct"/>
            <w:vMerge w:val="restart"/>
            <w:noWrap w:val="0"/>
            <w:vAlign w:val="center"/>
          </w:tcPr>
          <w:p>
            <w:pPr>
              <w:pStyle w:val="28"/>
              <w:suppressLineNumbers w:val="0"/>
              <w:bidi w:val="0"/>
              <w:spacing w:before="0" w:after="0"/>
              <w:ind w:left="0" w:right="0"/>
            </w:pPr>
            <w:r>
              <w:t>排气量Nm3/h</w:t>
            </w:r>
          </w:p>
        </w:tc>
        <w:tc>
          <w:tcPr>
            <w:tcW w:w="1124" w:type="pct"/>
            <w:gridSpan w:val="3"/>
            <w:noWrap w:val="0"/>
            <w:vAlign w:val="center"/>
          </w:tcPr>
          <w:p>
            <w:pPr>
              <w:pStyle w:val="28"/>
              <w:suppressLineNumbers w:val="0"/>
              <w:bidi w:val="0"/>
              <w:spacing w:before="0" w:after="0"/>
              <w:ind w:left="0" w:right="0"/>
            </w:pPr>
            <w:r>
              <w:t>排放状况</w:t>
            </w:r>
          </w:p>
        </w:tc>
        <w:tc>
          <w:tcPr>
            <w:tcW w:w="1160" w:type="pct"/>
            <w:gridSpan w:val="4"/>
            <w:noWrap w:val="0"/>
            <w:vAlign w:val="center"/>
          </w:tcPr>
          <w:p>
            <w:pPr>
              <w:pStyle w:val="28"/>
              <w:suppressLineNumbers w:val="0"/>
              <w:bidi w:val="0"/>
              <w:spacing w:before="0" w:after="0"/>
              <w:ind w:left="0" w:right="0"/>
            </w:pPr>
            <w:r>
              <w:t>排气筒参数</w:t>
            </w:r>
          </w:p>
        </w:tc>
        <w:tc>
          <w:tcPr>
            <w:tcW w:w="240" w:type="pct"/>
            <w:vMerge w:val="restart"/>
            <w:noWrap w:val="0"/>
            <w:vAlign w:val="center"/>
          </w:tcPr>
          <w:p>
            <w:pPr>
              <w:pStyle w:val="28"/>
              <w:suppressLineNumbers w:val="0"/>
              <w:bidi w:val="0"/>
              <w:spacing w:before="0" w:after="0"/>
              <w:ind w:left="0" w:right="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right="0"/>
              <w:outlineLvl w:val="9"/>
            </w:pPr>
          </w:p>
        </w:tc>
        <w:tc>
          <w:tcPr>
            <w:tcW w:w="430" w:type="pct"/>
            <w:vMerge w:val="continue"/>
            <w:noWrap w:val="0"/>
            <w:vAlign w:val="center"/>
          </w:tcPr>
          <w:p>
            <w:pPr>
              <w:pStyle w:val="28"/>
              <w:suppressLineNumbers w:val="0"/>
              <w:bidi w:val="0"/>
              <w:spacing w:before="0" w:after="0"/>
              <w:ind w:left="0" w:right="0"/>
              <w:outlineLvl w:val="9"/>
            </w:pPr>
          </w:p>
        </w:tc>
        <w:tc>
          <w:tcPr>
            <w:tcW w:w="487" w:type="pct"/>
            <w:vMerge w:val="continue"/>
            <w:noWrap w:val="0"/>
            <w:vAlign w:val="center"/>
          </w:tcPr>
          <w:p>
            <w:pPr>
              <w:pStyle w:val="28"/>
              <w:suppressLineNumbers w:val="0"/>
              <w:bidi w:val="0"/>
              <w:spacing w:before="0" w:after="0"/>
              <w:ind w:left="0" w:right="0"/>
              <w:outlineLvl w:val="9"/>
            </w:pPr>
          </w:p>
        </w:tc>
        <w:tc>
          <w:tcPr>
            <w:tcW w:w="407" w:type="pct"/>
            <w:noWrap w:val="0"/>
            <w:vAlign w:val="center"/>
          </w:tcPr>
          <w:p>
            <w:pPr>
              <w:pStyle w:val="28"/>
              <w:suppressLineNumbers w:val="0"/>
              <w:bidi w:val="0"/>
              <w:spacing w:before="0" w:after="0"/>
              <w:ind w:left="0" w:right="0"/>
            </w:pPr>
            <w:r>
              <w:t>浓度</w:t>
            </w:r>
          </w:p>
          <w:p>
            <w:pPr>
              <w:pStyle w:val="28"/>
              <w:suppressLineNumbers w:val="0"/>
              <w:bidi w:val="0"/>
              <w:spacing w:before="0" w:after="0"/>
              <w:ind w:left="0" w:right="0"/>
            </w:pPr>
            <w:r>
              <w:t>mg/m3</w:t>
            </w:r>
          </w:p>
        </w:tc>
        <w:tc>
          <w:tcPr>
            <w:tcW w:w="355" w:type="pct"/>
            <w:noWrap w:val="0"/>
            <w:vAlign w:val="center"/>
          </w:tcPr>
          <w:p>
            <w:pPr>
              <w:pStyle w:val="28"/>
              <w:suppressLineNumbers w:val="0"/>
              <w:bidi w:val="0"/>
              <w:spacing w:before="0" w:after="0"/>
              <w:ind w:left="0" w:right="0"/>
            </w:pPr>
            <w:r>
              <w:t>速率kg/h</w:t>
            </w:r>
          </w:p>
        </w:tc>
        <w:tc>
          <w:tcPr>
            <w:tcW w:w="361" w:type="pct"/>
            <w:noWrap w:val="0"/>
            <w:vAlign w:val="center"/>
          </w:tcPr>
          <w:p>
            <w:pPr>
              <w:pStyle w:val="28"/>
              <w:suppressLineNumbers w:val="0"/>
              <w:bidi w:val="0"/>
              <w:spacing w:before="0" w:after="0"/>
              <w:ind w:left="0" w:right="0"/>
            </w:pPr>
            <w:r>
              <w:t>排放量t/a</w:t>
            </w:r>
          </w:p>
        </w:tc>
        <w:tc>
          <w:tcPr>
            <w:tcW w:w="419" w:type="pct"/>
            <w:noWrap w:val="0"/>
            <w:vAlign w:val="center"/>
          </w:tcPr>
          <w:p>
            <w:pPr>
              <w:pStyle w:val="28"/>
              <w:suppressLineNumbers w:val="0"/>
              <w:bidi w:val="0"/>
              <w:spacing w:before="0" w:after="0"/>
              <w:ind w:left="0" w:right="0"/>
            </w:pPr>
            <w:r>
              <w:t>编号</w:t>
            </w:r>
          </w:p>
        </w:tc>
        <w:tc>
          <w:tcPr>
            <w:tcW w:w="240" w:type="pct"/>
            <w:noWrap w:val="0"/>
            <w:vAlign w:val="center"/>
          </w:tcPr>
          <w:p>
            <w:pPr>
              <w:pStyle w:val="28"/>
              <w:suppressLineNumbers w:val="0"/>
              <w:bidi w:val="0"/>
              <w:spacing w:before="0" w:after="0"/>
              <w:ind w:left="0" w:right="0"/>
            </w:pPr>
            <w:r>
              <w:t>高度</w:t>
            </w:r>
          </w:p>
          <w:p>
            <w:pPr>
              <w:pStyle w:val="28"/>
              <w:suppressLineNumbers w:val="0"/>
              <w:bidi w:val="0"/>
              <w:spacing w:before="0" w:after="0"/>
              <w:ind w:left="0" w:right="0"/>
            </w:pPr>
            <w:r>
              <w:t>m</w:t>
            </w:r>
          </w:p>
        </w:tc>
        <w:tc>
          <w:tcPr>
            <w:tcW w:w="258" w:type="pct"/>
            <w:noWrap w:val="0"/>
            <w:vAlign w:val="center"/>
          </w:tcPr>
          <w:p>
            <w:pPr>
              <w:pStyle w:val="28"/>
              <w:suppressLineNumbers w:val="0"/>
              <w:bidi w:val="0"/>
              <w:spacing w:before="0" w:after="0"/>
              <w:ind w:left="0" w:right="0"/>
            </w:pPr>
            <w:r>
              <w:t>内径</w:t>
            </w:r>
          </w:p>
          <w:p>
            <w:pPr>
              <w:pStyle w:val="28"/>
              <w:suppressLineNumbers w:val="0"/>
              <w:bidi w:val="0"/>
              <w:spacing w:before="0" w:after="0"/>
              <w:ind w:left="0" w:right="0"/>
            </w:pPr>
            <w:r>
              <w:t>m</w:t>
            </w:r>
          </w:p>
        </w:tc>
        <w:tc>
          <w:tcPr>
            <w:tcW w:w="242" w:type="pct"/>
            <w:noWrap w:val="0"/>
            <w:vAlign w:val="center"/>
          </w:tcPr>
          <w:p>
            <w:pPr>
              <w:pStyle w:val="28"/>
              <w:suppressLineNumbers w:val="0"/>
              <w:bidi w:val="0"/>
              <w:spacing w:before="0" w:after="0"/>
              <w:ind w:left="0" w:right="0"/>
            </w:pPr>
            <w:r>
              <w:t>温度</w:t>
            </w:r>
          </w:p>
          <w:p>
            <w:pPr>
              <w:pStyle w:val="28"/>
              <w:suppressLineNumbers w:val="0"/>
              <w:bidi w:val="0"/>
              <w:spacing w:before="0" w:after="0"/>
              <w:ind w:left="0" w:right="0"/>
            </w:pPr>
            <w:r>
              <w:rPr>
                <w:rFonts w:hint="eastAsia"/>
              </w:rPr>
              <w:t>℃</w:t>
            </w: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restart"/>
            <w:noWrap w:val="0"/>
            <w:vAlign w:val="center"/>
          </w:tcPr>
          <w:p>
            <w:pPr>
              <w:pStyle w:val="28"/>
              <w:suppressLineNumbers w:val="0"/>
              <w:bidi w:val="0"/>
              <w:spacing w:before="0" w:after="0"/>
              <w:ind w:left="0" w:right="0"/>
            </w:pPr>
            <w:r>
              <w:t>一期工程</w:t>
            </w:r>
          </w:p>
        </w:tc>
        <w:tc>
          <w:tcPr>
            <w:tcW w:w="1105" w:type="pct"/>
            <w:vMerge w:val="restar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G</w:t>
            </w:r>
            <w:r>
              <w:rPr>
                <w:rFonts w:hint="eastAsia"/>
                <w:vertAlign w:val="subscript"/>
                <w:lang w:val="en-US" w:eastAsia="zh-CN"/>
              </w:rPr>
              <w:t>1-1</w:t>
            </w:r>
            <w:r>
              <w:rPr>
                <w:rFonts w:hint="eastAsia"/>
                <w:lang w:val="en-US" w:eastAsia="zh-CN"/>
              </w:rPr>
              <w:t>~G</w:t>
            </w:r>
            <w:r>
              <w:rPr>
                <w:rFonts w:hint="eastAsia"/>
                <w:vertAlign w:val="subscript"/>
                <w:lang w:val="en-US" w:eastAsia="zh-CN"/>
              </w:rPr>
              <w:t>1-7</w:t>
            </w:r>
          </w:p>
        </w:tc>
        <w:tc>
          <w:tcPr>
            <w:tcW w:w="430"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颗粒物</w:t>
            </w:r>
          </w:p>
        </w:tc>
        <w:tc>
          <w:tcPr>
            <w:tcW w:w="487" w:type="pct"/>
            <w:vMerge w:val="restar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42000</w:t>
            </w:r>
          </w:p>
        </w:tc>
        <w:tc>
          <w:tcPr>
            <w:tcW w:w="407"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5.86 </w:t>
            </w:r>
          </w:p>
        </w:tc>
        <w:tc>
          <w:tcPr>
            <w:tcW w:w="355"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0.25 </w:t>
            </w:r>
          </w:p>
        </w:tc>
        <w:tc>
          <w:tcPr>
            <w:tcW w:w="361"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1.57 </w:t>
            </w:r>
          </w:p>
        </w:tc>
        <w:tc>
          <w:tcPr>
            <w:tcW w:w="419"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DA001</w:t>
            </w:r>
          </w:p>
        </w:tc>
        <w:tc>
          <w:tcPr>
            <w:tcW w:w="240"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35</w:t>
            </w:r>
          </w:p>
        </w:tc>
        <w:tc>
          <w:tcPr>
            <w:tcW w:w="258"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1.3</w:t>
            </w:r>
          </w:p>
        </w:tc>
        <w:tc>
          <w:tcPr>
            <w:tcW w:w="242"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50</w:t>
            </w:r>
          </w:p>
        </w:tc>
        <w:tc>
          <w:tcPr>
            <w:tcW w:w="240" w:type="pct"/>
            <w:vMerge w:val="restart"/>
            <w:noWrap w:val="0"/>
            <w:vAlign w:val="center"/>
          </w:tcPr>
          <w:p>
            <w:pPr>
              <w:pStyle w:val="28"/>
              <w:suppressLineNumbers w:val="0"/>
              <w:bidi w:val="0"/>
              <w:spacing w:before="0" w:after="0"/>
              <w:ind w:left="0" w:right="0"/>
            </w:pPr>
            <w: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leftChars="0" w:right="0" w:rightChars="0" w:firstLine="0" w:firstLineChars="0"/>
              <w:outlineLvl w:val="9"/>
              <w:rPr>
                <w:rFonts w:hint="default" w:ascii="Times New Roman" w:hAnsi="Times New Roman" w:eastAsia="宋体" w:cstheme="minorBidi"/>
                <w:b w:val="0"/>
                <w:kern w:val="2"/>
                <w:sz w:val="21"/>
                <w:szCs w:val="24"/>
                <w:lang w:val="en-US" w:eastAsia="zh-CN" w:bidi="ar-SA"/>
              </w:rPr>
            </w:pPr>
          </w:p>
        </w:tc>
        <w:tc>
          <w:tcPr>
            <w:tcW w:w="430"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487" w:type="pct"/>
            <w:vMerge w:val="continue"/>
            <w:noWrap w:val="0"/>
            <w:vAlign w:val="center"/>
          </w:tcPr>
          <w:p>
            <w:pPr>
              <w:pStyle w:val="28"/>
              <w:suppressLineNumbers w:val="0"/>
              <w:bidi w:val="0"/>
              <w:spacing w:before="0" w:after="0"/>
              <w:ind w:left="0" w:right="0"/>
              <w:outlineLvl w:val="9"/>
            </w:pPr>
          </w:p>
        </w:tc>
        <w:tc>
          <w:tcPr>
            <w:tcW w:w="407"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48.10 </w:t>
            </w:r>
          </w:p>
        </w:tc>
        <w:tc>
          <w:tcPr>
            <w:tcW w:w="355"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2.02 </w:t>
            </w:r>
          </w:p>
        </w:tc>
        <w:tc>
          <w:tcPr>
            <w:tcW w:w="361"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16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rPr>
                <w:rFonts w:hint="default" w:eastAsia="宋体"/>
                <w:lang w:val="en-US" w:eastAsia="zh-CN"/>
              </w:rPr>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right="0"/>
              <w:outlineLvl w:val="9"/>
            </w:pPr>
          </w:p>
        </w:tc>
        <w:tc>
          <w:tcPr>
            <w:tcW w:w="430"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NOx</w:t>
            </w:r>
          </w:p>
        </w:tc>
        <w:tc>
          <w:tcPr>
            <w:tcW w:w="487" w:type="pct"/>
            <w:vMerge w:val="continue"/>
            <w:noWrap w:val="0"/>
            <w:vAlign w:val="center"/>
          </w:tcPr>
          <w:p>
            <w:pPr>
              <w:pStyle w:val="28"/>
              <w:suppressLineNumbers w:val="0"/>
              <w:bidi w:val="0"/>
              <w:spacing w:before="0" w:after="0"/>
              <w:ind w:left="0" w:right="0"/>
              <w:outlineLvl w:val="9"/>
            </w:pPr>
          </w:p>
        </w:tc>
        <w:tc>
          <w:tcPr>
            <w:tcW w:w="407"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45.00 </w:t>
            </w:r>
          </w:p>
        </w:tc>
        <w:tc>
          <w:tcPr>
            <w:tcW w:w="355"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1.89 </w:t>
            </w:r>
          </w:p>
        </w:tc>
        <w:tc>
          <w:tcPr>
            <w:tcW w:w="361"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 xml:space="preserve">15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1" w:type="pct"/>
            <w:vMerge w:val="restart"/>
            <w:noWrap w:val="0"/>
            <w:vAlign w:val="center"/>
          </w:tcPr>
          <w:p>
            <w:pPr>
              <w:pStyle w:val="28"/>
              <w:suppressLineNumbers w:val="0"/>
              <w:bidi w:val="0"/>
              <w:spacing w:before="0" w:after="0"/>
              <w:ind w:left="0" w:right="0"/>
            </w:pPr>
            <w:r>
              <w:t>二期工程</w:t>
            </w:r>
          </w:p>
        </w:tc>
        <w:tc>
          <w:tcPr>
            <w:tcW w:w="1105" w:type="pct"/>
            <w:vMerge w:val="restart"/>
            <w:noWrap w:val="0"/>
            <w:vAlign w:val="center"/>
          </w:tcPr>
          <w:p>
            <w:pPr>
              <w:pStyle w:val="28"/>
              <w:suppressLineNumbers w:val="0"/>
              <w:bidi w:val="0"/>
              <w:spacing w:before="0" w:after="0"/>
              <w:ind w:left="0" w:leftChars="0" w:right="0" w:rightChars="0" w:firstLine="0" w:firstLineChars="0"/>
            </w:pPr>
            <w:r>
              <w:rPr>
                <w:rFonts w:hint="eastAsia"/>
                <w:lang w:val="en-US" w:eastAsia="zh-CN"/>
              </w:rPr>
              <w:t>G</w:t>
            </w:r>
            <w:r>
              <w:rPr>
                <w:rFonts w:hint="eastAsia"/>
                <w:vertAlign w:val="subscript"/>
                <w:lang w:val="en-US" w:eastAsia="zh-CN"/>
              </w:rPr>
              <w:t>2-1</w:t>
            </w:r>
            <w:r>
              <w:rPr>
                <w:rFonts w:hint="eastAsia"/>
                <w:lang w:val="en-US" w:eastAsia="zh-CN"/>
              </w:rPr>
              <w:t>~G</w:t>
            </w:r>
            <w:r>
              <w:rPr>
                <w:rFonts w:hint="eastAsia"/>
                <w:vertAlign w:val="subscript"/>
                <w:lang w:val="en-US" w:eastAsia="zh-CN"/>
              </w:rPr>
              <w:t>2-7</w:t>
            </w:r>
          </w:p>
        </w:tc>
        <w:tc>
          <w:tcPr>
            <w:tcW w:w="430" w:type="pct"/>
            <w:noWrap w:val="0"/>
            <w:vAlign w:val="center"/>
          </w:tcPr>
          <w:p>
            <w:pPr>
              <w:pStyle w:val="28"/>
              <w:suppressLineNumbers w:val="0"/>
              <w:bidi w:val="0"/>
              <w:spacing w:before="0" w:after="0"/>
              <w:ind w:left="0" w:leftChars="0" w:right="0" w:rightChars="0" w:firstLine="0" w:firstLineChars="0"/>
            </w:pPr>
            <w:r>
              <w:rPr>
                <w:rFonts w:hint="eastAsia"/>
                <w:lang w:val="en-US" w:eastAsia="zh-CN"/>
              </w:rPr>
              <w:t>颗粒物</w:t>
            </w:r>
          </w:p>
        </w:tc>
        <w:tc>
          <w:tcPr>
            <w:tcW w:w="487" w:type="pct"/>
            <w:vMerge w:val="restart"/>
            <w:noWrap w:val="0"/>
            <w:vAlign w:val="center"/>
          </w:tcPr>
          <w:p>
            <w:pPr>
              <w:pStyle w:val="28"/>
              <w:suppressLineNumbers w:val="0"/>
              <w:bidi w:val="0"/>
              <w:spacing w:before="0" w:after="0"/>
              <w:ind w:left="0" w:right="0" w:firstLine="0" w:firstLineChars="0"/>
            </w:pPr>
            <w:r>
              <w:rPr>
                <w:rFonts w:hint="eastAsia"/>
                <w:lang w:val="en-US" w:eastAsia="zh-CN"/>
              </w:rPr>
              <w:t>42000</w:t>
            </w:r>
          </w:p>
        </w:tc>
        <w:tc>
          <w:tcPr>
            <w:tcW w:w="407" w:type="pct"/>
            <w:noWrap w:val="0"/>
            <w:vAlign w:val="center"/>
          </w:tcPr>
          <w:p>
            <w:pPr>
              <w:pStyle w:val="28"/>
              <w:suppressLineNumbers w:val="0"/>
              <w:bidi w:val="0"/>
              <w:spacing w:before="0" w:after="0"/>
              <w:ind w:left="0" w:right="0" w:firstLine="0" w:firstLineChars="0"/>
            </w:pPr>
            <w:r>
              <w:rPr>
                <w:rFonts w:hint="eastAsia"/>
                <w:lang w:val="en-US" w:eastAsia="zh-CN"/>
              </w:rPr>
              <w:t xml:space="preserve">5.86 </w:t>
            </w:r>
          </w:p>
        </w:tc>
        <w:tc>
          <w:tcPr>
            <w:tcW w:w="355" w:type="pct"/>
            <w:noWrap w:val="0"/>
            <w:vAlign w:val="center"/>
          </w:tcPr>
          <w:p>
            <w:pPr>
              <w:pStyle w:val="28"/>
              <w:suppressLineNumbers w:val="0"/>
              <w:bidi w:val="0"/>
              <w:spacing w:before="0" w:after="0"/>
              <w:ind w:left="0" w:right="0" w:firstLine="0" w:firstLineChars="0"/>
            </w:pPr>
            <w:r>
              <w:rPr>
                <w:rFonts w:hint="eastAsia"/>
                <w:lang w:val="en-US" w:eastAsia="zh-CN"/>
              </w:rPr>
              <w:t xml:space="preserve">0.25 </w:t>
            </w:r>
          </w:p>
        </w:tc>
        <w:tc>
          <w:tcPr>
            <w:tcW w:w="361" w:type="pct"/>
            <w:noWrap w:val="0"/>
            <w:vAlign w:val="center"/>
          </w:tcPr>
          <w:p>
            <w:pPr>
              <w:pStyle w:val="28"/>
              <w:suppressLineNumbers w:val="0"/>
              <w:bidi w:val="0"/>
              <w:spacing w:before="0" w:after="0"/>
              <w:ind w:left="0" w:right="0" w:firstLine="0" w:firstLineChars="0"/>
            </w:pPr>
            <w:r>
              <w:rPr>
                <w:rFonts w:hint="eastAsia"/>
                <w:lang w:val="en-US" w:eastAsia="zh-CN"/>
              </w:rPr>
              <w:t xml:space="preserve">1.57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leftChars="0" w:right="0" w:rightChars="0" w:firstLine="0" w:firstLineChars="0"/>
              <w:outlineLvl w:val="9"/>
            </w:pPr>
          </w:p>
        </w:tc>
        <w:tc>
          <w:tcPr>
            <w:tcW w:w="430" w:type="pct"/>
            <w:noWrap w:val="0"/>
            <w:vAlign w:val="center"/>
          </w:tcPr>
          <w:p>
            <w:pPr>
              <w:pStyle w:val="28"/>
              <w:suppressLineNumbers w:val="0"/>
              <w:bidi w:val="0"/>
              <w:spacing w:before="0" w:after="0"/>
              <w:ind w:left="0" w:leftChars="0" w:right="0" w:rightChars="0" w:firstLine="0" w:firstLineChars="0"/>
            </w:pPr>
            <w:r>
              <w:rPr>
                <w:rFonts w:hint="eastAsia"/>
                <w:lang w:val="en-US" w:eastAsia="zh-CN"/>
              </w:rPr>
              <w:t>SO</w:t>
            </w:r>
            <w:r>
              <w:rPr>
                <w:rFonts w:hint="eastAsia"/>
                <w:vertAlign w:val="subscript"/>
                <w:lang w:val="en-US" w:eastAsia="zh-CN"/>
              </w:rPr>
              <w:t>2</w:t>
            </w:r>
          </w:p>
        </w:tc>
        <w:tc>
          <w:tcPr>
            <w:tcW w:w="487" w:type="pct"/>
            <w:vMerge w:val="continue"/>
            <w:noWrap w:val="0"/>
            <w:vAlign w:val="center"/>
          </w:tcPr>
          <w:p>
            <w:pPr>
              <w:pStyle w:val="28"/>
              <w:suppressLineNumbers w:val="0"/>
              <w:bidi w:val="0"/>
              <w:spacing w:before="0" w:after="0"/>
              <w:ind w:left="0" w:right="0" w:firstLine="0" w:firstLineChars="0"/>
              <w:outlineLvl w:val="9"/>
            </w:pPr>
          </w:p>
        </w:tc>
        <w:tc>
          <w:tcPr>
            <w:tcW w:w="407" w:type="pct"/>
            <w:noWrap w:val="0"/>
            <w:vAlign w:val="center"/>
          </w:tcPr>
          <w:p>
            <w:pPr>
              <w:pStyle w:val="28"/>
              <w:suppressLineNumbers w:val="0"/>
              <w:bidi w:val="0"/>
              <w:spacing w:before="0" w:after="0"/>
              <w:ind w:left="0" w:right="0" w:firstLine="0" w:firstLineChars="0"/>
            </w:pPr>
            <w:r>
              <w:rPr>
                <w:rFonts w:hint="eastAsia"/>
                <w:lang w:val="en-US" w:eastAsia="zh-CN"/>
              </w:rPr>
              <w:t xml:space="preserve">48.10 </w:t>
            </w:r>
          </w:p>
        </w:tc>
        <w:tc>
          <w:tcPr>
            <w:tcW w:w="355" w:type="pct"/>
            <w:noWrap w:val="0"/>
            <w:vAlign w:val="center"/>
          </w:tcPr>
          <w:p>
            <w:pPr>
              <w:pStyle w:val="28"/>
              <w:suppressLineNumbers w:val="0"/>
              <w:bidi w:val="0"/>
              <w:spacing w:before="0" w:after="0"/>
              <w:ind w:left="0" w:right="0" w:firstLine="0" w:firstLineChars="0"/>
            </w:pPr>
            <w:r>
              <w:rPr>
                <w:rFonts w:hint="eastAsia"/>
                <w:lang w:val="en-US" w:eastAsia="zh-CN"/>
              </w:rPr>
              <w:t xml:space="preserve">2.02 </w:t>
            </w:r>
          </w:p>
        </w:tc>
        <w:tc>
          <w:tcPr>
            <w:tcW w:w="361" w:type="pct"/>
            <w:noWrap w:val="0"/>
            <w:vAlign w:val="center"/>
          </w:tcPr>
          <w:p>
            <w:pPr>
              <w:pStyle w:val="28"/>
              <w:suppressLineNumbers w:val="0"/>
              <w:bidi w:val="0"/>
              <w:spacing w:before="0" w:after="0"/>
              <w:ind w:left="0" w:right="0" w:firstLine="0" w:firstLineChars="0"/>
            </w:pPr>
            <w:r>
              <w:rPr>
                <w:rFonts w:hint="eastAsia"/>
                <w:lang w:val="en-US" w:eastAsia="zh-CN"/>
              </w:rPr>
              <w:t xml:space="preserve">16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rPr>
                <w:rFonts w:hint="eastAsia"/>
              </w:rPr>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right="0" w:firstLine="0" w:firstLineChars="0"/>
              <w:outlineLvl w:val="9"/>
            </w:pPr>
          </w:p>
        </w:tc>
        <w:tc>
          <w:tcPr>
            <w:tcW w:w="430" w:type="pct"/>
            <w:noWrap w:val="0"/>
            <w:vAlign w:val="center"/>
          </w:tcPr>
          <w:p>
            <w:pPr>
              <w:pStyle w:val="28"/>
              <w:suppressLineNumbers w:val="0"/>
              <w:bidi w:val="0"/>
              <w:spacing w:before="0" w:after="0"/>
              <w:ind w:left="0" w:leftChars="0" w:right="0" w:rightChars="0" w:firstLine="0" w:firstLineChars="0"/>
            </w:pPr>
            <w:r>
              <w:rPr>
                <w:rFonts w:hint="eastAsia"/>
                <w:lang w:val="en-US" w:eastAsia="zh-CN"/>
              </w:rPr>
              <w:t>NOx</w:t>
            </w:r>
          </w:p>
        </w:tc>
        <w:tc>
          <w:tcPr>
            <w:tcW w:w="487" w:type="pct"/>
            <w:vMerge w:val="continue"/>
            <w:noWrap w:val="0"/>
            <w:vAlign w:val="center"/>
          </w:tcPr>
          <w:p>
            <w:pPr>
              <w:pStyle w:val="28"/>
              <w:suppressLineNumbers w:val="0"/>
              <w:bidi w:val="0"/>
              <w:spacing w:before="0" w:after="0"/>
              <w:ind w:left="0" w:right="0" w:firstLine="0" w:firstLineChars="0"/>
              <w:outlineLvl w:val="9"/>
            </w:pPr>
          </w:p>
        </w:tc>
        <w:tc>
          <w:tcPr>
            <w:tcW w:w="407" w:type="pct"/>
            <w:noWrap w:val="0"/>
            <w:vAlign w:val="center"/>
          </w:tcPr>
          <w:p>
            <w:pPr>
              <w:pStyle w:val="28"/>
              <w:suppressLineNumbers w:val="0"/>
              <w:bidi w:val="0"/>
              <w:spacing w:before="0" w:after="0"/>
              <w:ind w:left="0" w:right="0" w:firstLine="0" w:firstLineChars="0"/>
            </w:pPr>
            <w:r>
              <w:rPr>
                <w:rFonts w:hint="eastAsia"/>
                <w:lang w:val="en-US" w:eastAsia="zh-CN"/>
              </w:rPr>
              <w:t xml:space="preserve">45.00 </w:t>
            </w:r>
          </w:p>
        </w:tc>
        <w:tc>
          <w:tcPr>
            <w:tcW w:w="355" w:type="pct"/>
            <w:noWrap w:val="0"/>
            <w:vAlign w:val="center"/>
          </w:tcPr>
          <w:p>
            <w:pPr>
              <w:pStyle w:val="28"/>
              <w:suppressLineNumbers w:val="0"/>
              <w:bidi w:val="0"/>
              <w:spacing w:before="0" w:after="0"/>
              <w:ind w:left="0" w:right="0" w:firstLine="0" w:firstLineChars="0"/>
            </w:pPr>
            <w:r>
              <w:rPr>
                <w:rFonts w:hint="eastAsia"/>
                <w:lang w:val="en-US" w:eastAsia="zh-CN"/>
              </w:rPr>
              <w:t xml:space="preserve">1.89 </w:t>
            </w:r>
          </w:p>
        </w:tc>
        <w:tc>
          <w:tcPr>
            <w:tcW w:w="361" w:type="pct"/>
            <w:noWrap w:val="0"/>
            <w:vAlign w:val="center"/>
          </w:tcPr>
          <w:p>
            <w:pPr>
              <w:pStyle w:val="28"/>
              <w:suppressLineNumbers w:val="0"/>
              <w:bidi w:val="0"/>
              <w:spacing w:before="0" w:after="0"/>
              <w:ind w:left="0" w:right="0" w:firstLine="0" w:firstLineChars="0"/>
            </w:pPr>
            <w:r>
              <w:rPr>
                <w:rFonts w:hint="eastAsia"/>
                <w:lang w:val="en-US" w:eastAsia="zh-CN"/>
              </w:rPr>
              <w:t xml:space="preserve">15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rPr>
                <w:rFonts w:hint="eastAsia"/>
              </w:rPr>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restart"/>
            <w:noWrap w:val="0"/>
            <w:vAlign w:val="center"/>
          </w:tcPr>
          <w:p>
            <w:pPr>
              <w:pStyle w:val="28"/>
              <w:suppressLineNumbers w:val="0"/>
              <w:bidi w:val="0"/>
              <w:spacing w:before="0" w:after="0"/>
              <w:ind w:left="0" w:right="0"/>
            </w:pPr>
            <w:r>
              <w:t>一期</w:t>
            </w:r>
            <w:r>
              <w:rPr>
                <w:rFonts w:hint="eastAsia"/>
                <w:lang w:eastAsia="zh-CN"/>
              </w:rPr>
              <w:t>、</w:t>
            </w:r>
            <w:r>
              <w:t>二期工程</w:t>
            </w:r>
          </w:p>
        </w:tc>
        <w:tc>
          <w:tcPr>
            <w:tcW w:w="1105" w:type="pct"/>
            <w:vMerge w:val="restart"/>
            <w:noWrap w:val="0"/>
            <w:vAlign w:val="center"/>
          </w:tcPr>
          <w:p>
            <w:pPr>
              <w:pStyle w:val="28"/>
              <w:suppressLineNumbers w:val="0"/>
              <w:bidi w:val="0"/>
              <w:spacing w:before="0" w:after="0"/>
              <w:ind w:left="0" w:right="0"/>
            </w:pPr>
            <w:r>
              <w:rPr>
                <w:rFonts w:hint="eastAsia"/>
                <w:lang w:val="en-US" w:eastAsia="zh-CN"/>
              </w:rPr>
              <w:t>G</w:t>
            </w:r>
            <w:r>
              <w:rPr>
                <w:rFonts w:hint="eastAsia"/>
                <w:vertAlign w:val="subscript"/>
                <w:lang w:val="en-US" w:eastAsia="zh-CN"/>
              </w:rPr>
              <w:t>1-1</w:t>
            </w:r>
            <w:r>
              <w:rPr>
                <w:rFonts w:hint="eastAsia"/>
                <w:lang w:val="en-US" w:eastAsia="zh-CN"/>
              </w:rPr>
              <w:t>~G</w:t>
            </w:r>
            <w:r>
              <w:rPr>
                <w:rFonts w:hint="eastAsia"/>
                <w:vertAlign w:val="subscript"/>
                <w:lang w:val="en-US" w:eastAsia="zh-CN"/>
              </w:rPr>
              <w:t>1-7</w:t>
            </w:r>
            <w:r>
              <w:rPr>
                <w:rFonts w:hint="eastAsia"/>
                <w:lang w:val="en-US" w:eastAsia="zh-CN"/>
              </w:rPr>
              <w:t>、G</w:t>
            </w:r>
            <w:r>
              <w:rPr>
                <w:rFonts w:hint="eastAsia"/>
                <w:vertAlign w:val="subscript"/>
                <w:lang w:val="en-US" w:eastAsia="zh-CN"/>
              </w:rPr>
              <w:t>2-1</w:t>
            </w:r>
            <w:r>
              <w:rPr>
                <w:rFonts w:hint="eastAsia"/>
                <w:lang w:val="en-US" w:eastAsia="zh-CN"/>
              </w:rPr>
              <w:t>~G</w:t>
            </w:r>
            <w:r>
              <w:rPr>
                <w:rFonts w:hint="eastAsia"/>
                <w:vertAlign w:val="subscript"/>
                <w:lang w:val="en-US" w:eastAsia="zh-CN"/>
              </w:rPr>
              <w:t>2-7</w:t>
            </w:r>
          </w:p>
        </w:tc>
        <w:tc>
          <w:tcPr>
            <w:tcW w:w="430" w:type="pct"/>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颗粒物</w:t>
            </w:r>
          </w:p>
        </w:tc>
        <w:tc>
          <w:tcPr>
            <w:tcW w:w="487" w:type="pct"/>
            <w:vMerge w:val="restart"/>
            <w:noWrap w:val="0"/>
            <w:vAlign w:val="center"/>
          </w:tcPr>
          <w:p>
            <w:pPr>
              <w:pStyle w:val="28"/>
              <w:suppressLineNumbers w:val="0"/>
              <w:bidi w:val="0"/>
              <w:spacing w:before="0" w:after="0"/>
              <w:ind w:left="0" w:right="0"/>
            </w:pPr>
            <w:r>
              <w:rPr>
                <w:rFonts w:hint="eastAsia"/>
                <w:lang w:val="en-US" w:eastAsia="zh-CN"/>
              </w:rPr>
              <w:t>84</w:t>
            </w:r>
            <w:r>
              <w:t>000</w:t>
            </w:r>
          </w:p>
        </w:tc>
        <w:tc>
          <w:tcPr>
            <w:tcW w:w="407"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 xml:space="preserve">5.86 </w:t>
            </w:r>
          </w:p>
        </w:tc>
        <w:tc>
          <w:tcPr>
            <w:tcW w:w="355" w:type="pct"/>
            <w:noWrap w:val="0"/>
            <w:vAlign w:val="center"/>
          </w:tcPr>
          <w:p>
            <w:pPr>
              <w:pStyle w:val="28"/>
              <w:suppressLineNumbers w:val="0"/>
              <w:bidi w:val="0"/>
              <w:spacing w:before="0" w:after="0"/>
              <w:ind w:left="0" w:right="0"/>
            </w:pPr>
            <w:r>
              <w:rPr>
                <w:rFonts w:hint="eastAsia"/>
                <w:lang w:val="en-US" w:eastAsia="zh-CN"/>
              </w:rPr>
              <w:t xml:space="preserve">0.49 </w:t>
            </w:r>
          </w:p>
        </w:tc>
        <w:tc>
          <w:tcPr>
            <w:tcW w:w="361" w:type="pct"/>
            <w:noWrap w:val="0"/>
            <w:vAlign w:val="center"/>
          </w:tcPr>
          <w:p>
            <w:pPr>
              <w:pStyle w:val="28"/>
              <w:suppressLineNumbers w:val="0"/>
              <w:bidi w:val="0"/>
              <w:spacing w:before="0" w:after="0"/>
              <w:ind w:left="0" w:right="0"/>
            </w:pPr>
            <w:r>
              <w:rPr>
                <w:rFonts w:hint="eastAsia"/>
                <w:lang w:val="en-US" w:eastAsia="zh-CN"/>
              </w:rPr>
              <w:t xml:space="preserve">3.14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right="0"/>
              <w:outlineLvl w:val="9"/>
            </w:pPr>
          </w:p>
        </w:tc>
        <w:tc>
          <w:tcPr>
            <w:tcW w:w="430" w:type="pct"/>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487" w:type="pct"/>
            <w:vMerge w:val="continue"/>
            <w:noWrap w:val="0"/>
            <w:vAlign w:val="center"/>
          </w:tcPr>
          <w:p>
            <w:pPr>
              <w:pStyle w:val="28"/>
              <w:suppressLineNumbers w:val="0"/>
              <w:bidi w:val="0"/>
              <w:spacing w:before="0" w:after="0"/>
              <w:ind w:left="0" w:right="0"/>
              <w:outlineLvl w:val="9"/>
            </w:pPr>
          </w:p>
        </w:tc>
        <w:tc>
          <w:tcPr>
            <w:tcW w:w="407"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 xml:space="preserve">48.10 </w:t>
            </w:r>
          </w:p>
        </w:tc>
        <w:tc>
          <w:tcPr>
            <w:tcW w:w="355" w:type="pct"/>
            <w:noWrap w:val="0"/>
            <w:vAlign w:val="center"/>
          </w:tcPr>
          <w:p>
            <w:pPr>
              <w:pStyle w:val="28"/>
              <w:suppressLineNumbers w:val="0"/>
              <w:bidi w:val="0"/>
              <w:spacing w:before="0" w:after="0"/>
              <w:ind w:left="0" w:right="0"/>
            </w:pPr>
            <w:r>
              <w:rPr>
                <w:rFonts w:hint="eastAsia"/>
                <w:lang w:val="en-US" w:eastAsia="zh-CN"/>
              </w:rPr>
              <w:t xml:space="preserve">4.04 </w:t>
            </w:r>
          </w:p>
        </w:tc>
        <w:tc>
          <w:tcPr>
            <w:tcW w:w="361" w:type="pct"/>
            <w:noWrap w:val="0"/>
            <w:vAlign w:val="center"/>
          </w:tcPr>
          <w:p>
            <w:pPr>
              <w:pStyle w:val="28"/>
              <w:suppressLineNumbers w:val="0"/>
              <w:bidi w:val="0"/>
              <w:spacing w:before="0" w:after="0"/>
              <w:ind w:left="0" w:right="0"/>
            </w:pPr>
            <w:r>
              <w:rPr>
                <w:rFonts w:hint="eastAsia"/>
                <w:lang w:val="en-US" w:eastAsia="zh-CN"/>
              </w:rPr>
              <w:t xml:space="preserve">32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1" w:type="pct"/>
            <w:vMerge w:val="continue"/>
            <w:noWrap w:val="0"/>
            <w:vAlign w:val="center"/>
          </w:tcPr>
          <w:p>
            <w:pPr>
              <w:pStyle w:val="28"/>
              <w:suppressLineNumbers w:val="0"/>
              <w:bidi w:val="0"/>
              <w:spacing w:before="0" w:after="0"/>
              <w:ind w:left="0" w:right="0"/>
              <w:outlineLvl w:val="9"/>
            </w:pPr>
          </w:p>
        </w:tc>
        <w:tc>
          <w:tcPr>
            <w:tcW w:w="1105" w:type="pct"/>
            <w:vMerge w:val="continue"/>
            <w:noWrap w:val="0"/>
            <w:vAlign w:val="center"/>
          </w:tcPr>
          <w:p>
            <w:pPr>
              <w:pStyle w:val="28"/>
              <w:suppressLineNumbers w:val="0"/>
              <w:bidi w:val="0"/>
              <w:spacing w:before="0" w:after="0"/>
              <w:ind w:left="0" w:right="0"/>
              <w:outlineLvl w:val="9"/>
            </w:pPr>
          </w:p>
        </w:tc>
        <w:tc>
          <w:tcPr>
            <w:tcW w:w="430" w:type="pct"/>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NOx</w:t>
            </w:r>
          </w:p>
        </w:tc>
        <w:tc>
          <w:tcPr>
            <w:tcW w:w="487" w:type="pct"/>
            <w:vMerge w:val="continue"/>
            <w:noWrap w:val="0"/>
            <w:vAlign w:val="center"/>
          </w:tcPr>
          <w:p>
            <w:pPr>
              <w:pStyle w:val="28"/>
              <w:suppressLineNumbers w:val="0"/>
              <w:bidi w:val="0"/>
              <w:spacing w:before="0" w:after="0"/>
              <w:ind w:left="0" w:right="0"/>
              <w:outlineLvl w:val="9"/>
            </w:pPr>
          </w:p>
        </w:tc>
        <w:tc>
          <w:tcPr>
            <w:tcW w:w="407"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 xml:space="preserve">45.00 </w:t>
            </w:r>
          </w:p>
        </w:tc>
        <w:tc>
          <w:tcPr>
            <w:tcW w:w="355" w:type="pct"/>
            <w:noWrap w:val="0"/>
            <w:vAlign w:val="center"/>
          </w:tcPr>
          <w:p>
            <w:pPr>
              <w:pStyle w:val="28"/>
              <w:suppressLineNumbers w:val="0"/>
              <w:bidi w:val="0"/>
              <w:spacing w:before="0" w:after="0"/>
              <w:ind w:left="0" w:right="0"/>
            </w:pPr>
            <w:r>
              <w:rPr>
                <w:rFonts w:hint="eastAsia"/>
                <w:lang w:val="en-US" w:eastAsia="zh-CN"/>
              </w:rPr>
              <w:t xml:space="preserve">3.78 </w:t>
            </w:r>
          </w:p>
        </w:tc>
        <w:tc>
          <w:tcPr>
            <w:tcW w:w="361" w:type="pct"/>
            <w:noWrap w:val="0"/>
            <w:vAlign w:val="center"/>
          </w:tcPr>
          <w:p>
            <w:pPr>
              <w:pStyle w:val="28"/>
              <w:suppressLineNumbers w:val="0"/>
              <w:bidi w:val="0"/>
              <w:spacing w:before="0" w:after="0"/>
              <w:ind w:left="0" w:right="0"/>
            </w:pPr>
            <w:r>
              <w:rPr>
                <w:rFonts w:hint="eastAsia"/>
                <w:lang w:val="en-US" w:eastAsia="zh-CN"/>
              </w:rPr>
              <w:t xml:space="preserve">30 </w:t>
            </w:r>
          </w:p>
        </w:tc>
        <w:tc>
          <w:tcPr>
            <w:tcW w:w="419"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c>
          <w:tcPr>
            <w:tcW w:w="258" w:type="pct"/>
            <w:vMerge w:val="continue"/>
            <w:noWrap w:val="0"/>
            <w:vAlign w:val="center"/>
          </w:tcPr>
          <w:p>
            <w:pPr>
              <w:pStyle w:val="28"/>
              <w:suppressLineNumbers w:val="0"/>
              <w:bidi w:val="0"/>
              <w:spacing w:before="0" w:after="0"/>
              <w:ind w:left="0" w:right="0"/>
              <w:outlineLvl w:val="9"/>
            </w:pPr>
          </w:p>
        </w:tc>
        <w:tc>
          <w:tcPr>
            <w:tcW w:w="242" w:type="pct"/>
            <w:vMerge w:val="continue"/>
            <w:noWrap w:val="0"/>
            <w:vAlign w:val="center"/>
          </w:tcPr>
          <w:p>
            <w:pPr>
              <w:pStyle w:val="28"/>
              <w:suppressLineNumbers w:val="0"/>
              <w:bidi w:val="0"/>
              <w:spacing w:before="0" w:after="0"/>
              <w:ind w:left="0" w:right="0"/>
              <w:outlineLvl w:val="9"/>
            </w:pPr>
          </w:p>
        </w:tc>
        <w:tc>
          <w:tcPr>
            <w:tcW w:w="240" w:type="pct"/>
            <w:vMerge w:val="continue"/>
            <w:noWrap w:val="0"/>
            <w:vAlign w:val="center"/>
          </w:tcPr>
          <w:p>
            <w:pPr>
              <w:pStyle w:val="28"/>
              <w:suppressLineNumbers w:val="0"/>
              <w:bidi w:val="0"/>
              <w:spacing w:before="0" w:after="0"/>
              <w:ind w:left="0" w:right="0"/>
              <w:outlineLvl w:val="9"/>
            </w:pPr>
          </w:p>
        </w:tc>
      </w:tr>
    </w:tbl>
    <w:p>
      <w:pPr>
        <w:pStyle w:val="27"/>
        <w:bidi w:val="0"/>
      </w:pPr>
      <w:r>
        <w:t>表</w:t>
      </w:r>
      <w:r>
        <w:rPr>
          <w:rFonts w:hint="eastAsia"/>
          <w:lang w:val="en-US" w:eastAsia="zh-CN"/>
        </w:rPr>
        <w:t>8.2</w:t>
      </w:r>
      <w:r>
        <w:t>.4-</w:t>
      </w:r>
      <w:r>
        <w:rPr>
          <w:rFonts w:hint="eastAsia"/>
          <w:lang w:val="en-US" w:eastAsia="zh-CN"/>
        </w:rPr>
        <w:t>2</w:t>
      </w:r>
      <w:r>
        <w:t>项目</w:t>
      </w:r>
      <w:r>
        <w:rPr>
          <w:rFonts w:hint="eastAsia"/>
          <w:lang w:eastAsia="zh-CN"/>
        </w:rPr>
        <w:t>无</w:t>
      </w:r>
      <w:r>
        <w:rPr>
          <w:rFonts w:hint="eastAsia"/>
        </w:rPr>
        <w:t>组织</w:t>
      </w:r>
      <w:r>
        <w:t>废气污染物排放情况表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805"/>
        <w:gridCol w:w="905"/>
        <w:gridCol w:w="1136"/>
        <w:gridCol w:w="1187"/>
        <w:gridCol w:w="288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restart"/>
            <w:noWrap w:val="0"/>
            <w:vAlign w:val="center"/>
          </w:tcPr>
          <w:p>
            <w:pPr>
              <w:pStyle w:val="28"/>
              <w:suppressLineNumbers w:val="0"/>
              <w:bidi w:val="0"/>
              <w:spacing w:before="0" w:after="0"/>
              <w:ind w:left="0" w:right="0"/>
            </w:pPr>
            <w:r>
              <w:t>工程</w:t>
            </w:r>
          </w:p>
          <w:p>
            <w:pPr>
              <w:pStyle w:val="28"/>
              <w:suppressLineNumbers w:val="0"/>
              <w:bidi w:val="0"/>
              <w:spacing w:before="0" w:after="0"/>
              <w:ind w:left="0" w:right="0"/>
            </w:pPr>
            <w:r>
              <w:t>分期</w:t>
            </w:r>
          </w:p>
        </w:tc>
        <w:tc>
          <w:tcPr>
            <w:tcW w:w="906"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污染源</w:t>
            </w:r>
          </w:p>
        </w:tc>
        <w:tc>
          <w:tcPr>
            <w:tcW w:w="454" w:type="pct"/>
            <w:vMerge w:val="restart"/>
            <w:noWrap w:val="0"/>
            <w:vAlign w:val="center"/>
          </w:tcPr>
          <w:p>
            <w:pPr>
              <w:pStyle w:val="28"/>
              <w:suppressLineNumbers w:val="0"/>
              <w:bidi w:val="0"/>
              <w:spacing w:before="0" w:after="0"/>
              <w:ind w:left="0" w:right="0"/>
            </w:pPr>
            <w:r>
              <w:t>污染物</w:t>
            </w:r>
          </w:p>
        </w:tc>
        <w:tc>
          <w:tcPr>
            <w:tcW w:w="1166" w:type="pct"/>
            <w:gridSpan w:val="2"/>
            <w:noWrap w:val="0"/>
            <w:vAlign w:val="center"/>
          </w:tcPr>
          <w:p>
            <w:pPr>
              <w:pStyle w:val="28"/>
              <w:suppressLineNumbers w:val="0"/>
              <w:bidi w:val="0"/>
              <w:spacing w:before="0" w:after="0"/>
              <w:ind w:left="0" w:right="0"/>
            </w:pPr>
            <w:r>
              <w:t>排放状况</w:t>
            </w:r>
          </w:p>
        </w:tc>
        <w:tc>
          <w:tcPr>
            <w:tcW w:w="1450" w:type="pct"/>
            <w:vMerge w:val="restart"/>
            <w:noWrap w:val="0"/>
            <w:vAlign w:val="center"/>
          </w:tcPr>
          <w:p>
            <w:pPr>
              <w:pStyle w:val="28"/>
              <w:suppressLineNumbers w:val="0"/>
              <w:bidi w:val="0"/>
              <w:spacing w:before="0" w:after="0"/>
              <w:ind w:left="0" w:right="0"/>
            </w:pPr>
            <w:r>
              <w:rPr>
                <w:rFonts w:hint="eastAsia"/>
                <w:lang w:eastAsia="zh-CN"/>
              </w:rPr>
              <w:t>面源</w:t>
            </w:r>
            <w:r>
              <w:t>参数</w:t>
            </w:r>
          </w:p>
        </w:tc>
        <w:tc>
          <w:tcPr>
            <w:tcW w:w="341" w:type="pct"/>
            <w:vMerge w:val="restart"/>
            <w:noWrap w:val="0"/>
            <w:vAlign w:val="center"/>
          </w:tcPr>
          <w:p>
            <w:pPr>
              <w:pStyle w:val="28"/>
              <w:suppressLineNumbers w:val="0"/>
              <w:bidi w:val="0"/>
              <w:spacing w:before="0" w:after="0"/>
              <w:ind w:left="0" w:right="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continue"/>
            <w:noWrap w:val="0"/>
            <w:vAlign w:val="center"/>
          </w:tcPr>
          <w:p>
            <w:pPr>
              <w:pStyle w:val="28"/>
              <w:suppressLineNumbers w:val="0"/>
              <w:bidi w:val="0"/>
              <w:spacing w:before="0" w:after="0"/>
              <w:ind w:left="0" w:right="0"/>
              <w:outlineLvl w:val="9"/>
            </w:pPr>
          </w:p>
        </w:tc>
        <w:tc>
          <w:tcPr>
            <w:tcW w:w="906" w:type="pct"/>
            <w:vMerge w:val="continue"/>
            <w:noWrap w:val="0"/>
            <w:vAlign w:val="center"/>
          </w:tcPr>
          <w:p>
            <w:pPr>
              <w:pStyle w:val="28"/>
              <w:suppressLineNumbers w:val="0"/>
              <w:bidi w:val="0"/>
              <w:spacing w:before="0" w:after="0"/>
              <w:ind w:left="0" w:right="0"/>
              <w:outlineLvl w:val="9"/>
            </w:pPr>
          </w:p>
        </w:tc>
        <w:tc>
          <w:tcPr>
            <w:tcW w:w="454" w:type="pct"/>
            <w:vMerge w:val="continue"/>
            <w:noWrap w:val="0"/>
            <w:vAlign w:val="center"/>
          </w:tcPr>
          <w:p>
            <w:pPr>
              <w:pStyle w:val="28"/>
              <w:suppressLineNumbers w:val="0"/>
              <w:bidi w:val="0"/>
              <w:spacing w:before="0" w:after="0"/>
              <w:ind w:left="0" w:right="0"/>
              <w:outlineLvl w:val="9"/>
            </w:pPr>
          </w:p>
        </w:tc>
        <w:tc>
          <w:tcPr>
            <w:tcW w:w="570" w:type="pct"/>
            <w:noWrap w:val="0"/>
            <w:vAlign w:val="center"/>
          </w:tcPr>
          <w:p>
            <w:pPr>
              <w:pStyle w:val="28"/>
              <w:suppressLineNumbers w:val="0"/>
              <w:bidi w:val="0"/>
              <w:spacing w:before="0" w:after="0"/>
              <w:ind w:left="0" w:right="0"/>
            </w:pPr>
            <w:r>
              <w:t>速率kg/h</w:t>
            </w:r>
          </w:p>
        </w:tc>
        <w:tc>
          <w:tcPr>
            <w:tcW w:w="596" w:type="pct"/>
            <w:noWrap w:val="0"/>
            <w:vAlign w:val="center"/>
          </w:tcPr>
          <w:p>
            <w:pPr>
              <w:pStyle w:val="28"/>
              <w:suppressLineNumbers w:val="0"/>
              <w:bidi w:val="0"/>
              <w:spacing w:before="0" w:after="0"/>
              <w:ind w:left="0" w:right="0"/>
            </w:pPr>
            <w:r>
              <w:t>排放量t/a</w:t>
            </w:r>
          </w:p>
        </w:tc>
        <w:tc>
          <w:tcPr>
            <w:tcW w:w="1450" w:type="pct"/>
            <w:vMerge w:val="continue"/>
            <w:noWrap w:val="0"/>
            <w:vAlign w:val="center"/>
          </w:tcPr>
          <w:p>
            <w:pPr>
              <w:pStyle w:val="28"/>
              <w:suppressLineNumbers w:val="0"/>
              <w:bidi w:val="0"/>
              <w:spacing w:before="0" w:after="0"/>
              <w:ind w:left="0" w:right="0"/>
              <w:outlineLvl w:val="9"/>
            </w:pP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restart"/>
            <w:noWrap w:val="0"/>
            <w:vAlign w:val="center"/>
          </w:tcPr>
          <w:p>
            <w:pPr>
              <w:pStyle w:val="28"/>
              <w:suppressLineNumbers w:val="0"/>
              <w:bidi w:val="0"/>
              <w:spacing w:before="0" w:after="0"/>
              <w:ind w:left="0" w:right="0"/>
            </w:pPr>
            <w:r>
              <w:t>一期工程</w:t>
            </w:r>
          </w:p>
        </w:tc>
        <w:tc>
          <w:tcPr>
            <w:tcW w:w="906"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车间一</w:t>
            </w:r>
          </w:p>
        </w:tc>
        <w:tc>
          <w:tcPr>
            <w:tcW w:w="454"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0.10</w:t>
            </w:r>
          </w:p>
        </w:tc>
        <w:tc>
          <w:tcPr>
            <w:tcW w:w="596"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0.50</w:t>
            </w:r>
          </w:p>
        </w:tc>
        <w:tc>
          <w:tcPr>
            <w:tcW w:w="1450"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高=119.78</w:t>
            </w:r>
            <w:r>
              <w:rPr>
                <w:rFonts w:hint="default"/>
                <w:lang w:val="en-US" w:eastAsia="zh-CN"/>
              </w:rPr>
              <w:t>×</w:t>
            </w:r>
            <w:r>
              <w:rPr>
                <w:rFonts w:hint="eastAsia"/>
                <w:lang w:val="en-US" w:eastAsia="zh-CN"/>
              </w:rPr>
              <w:t>34.98</w:t>
            </w:r>
            <w:r>
              <w:rPr>
                <w:rFonts w:hint="default"/>
                <w:lang w:val="en-US" w:eastAsia="zh-CN"/>
              </w:rPr>
              <w:t>×</w:t>
            </w:r>
            <w:r>
              <w:rPr>
                <w:rFonts w:hint="eastAsia"/>
                <w:lang w:val="en-US" w:eastAsia="zh-CN"/>
              </w:rPr>
              <w:t>12</w:t>
            </w:r>
          </w:p>
        </w:tc>
        <w:tc>
          <w:tcPr>
            <w:tcW w:w="341" w:type="pct"/>
            <w:vMerge w:val="restart"/>
            <w:noWrap w:val="0"/>
            <w:vAlign w:val="center"/>
          </w:tcPr>
          <w:p>
            <w:pPr>
              <w:pStyle w:val="28"/>
              <w:suppressLineNumbers w:val="0"/>
              <w:bidi w:val="0"/>
              <w:spacing w:before="0" w:after="0"/>
              <w:ind w:left="0" w:right="0"/>
            </w:pPr>
            <w: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continue"/>
            <w:noWrap w:val="0"/>
            <w:vAlign w:val="center"/>
          </w:tcPr>
          <w:p>
            <w:pPr>
              <w:pStyle w:val="28"/>
              <w:suppressLineNumbers w:val="0"/>
              <w:bidi w:val="0"/>
              <w:spacing w:before="0" w:after="0"/>
              <w:ind w:left="0" w:right="0"/>
              <w:outlineLvl w:val="9"/>
            </w:pPr>
          </w:p>
        </w:tc>
        <w:tc>
          <w:tcPr>
            <w:tcW w:w="906"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破碎、筛分车间</w:t>
            </w:r>
          </w:p>
        </w:tc>
        <w:tc>
          <w:tcPr>
            <w:tcW w:w="454" w:type="pct"/>
            <w:noWrap w:val="0"/>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0.10</w:t>
            </w:r>
          </w:p>
        </w:tc>
        <w:tc>
          <w:tcPr>
            <w:tcW w:w="596" w:type="pct"/>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0.50</w:t>
            </w:r>
          </w:p>
        </w:tc>
        <w:tc>
          <w:tcPr>
            <w:tcW w:w="1450" w:type="pct"/>
            <w:noWrap w:val="0"/>
            <w:vAlign w:val="center"/>
          </w:tcPr>
          <w:p>
            <w:pPr>
              <w:pStyle w:val="28"/>
              <w:suppressLineNumbers w:val="0"/>
              <w:bidi w:val="0"/>
              <w:spacing w:before="0" w:after="0"/>
              <w:ind w:left="0" w:right="0"/>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二期工程</w:t>
            </w:r>
          </w:p>
        </w:tc>
        <w:tc>
          <w:tcPr>
            <w:tcW w:w="906"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车间二</w:t>
            </w:r>
          </w:p>
        </w:tc>
        <w:tc>
          <w:tcPr>
            <w:tcW w:w="454"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0.10</w:t>
            </w:r>
          </w:p>
        </w:tc>
        <w:tc>
          <w:tcPr>
            <w:tcW w:w="596"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0.50</w:t>
            </w:r>
          </w:p>
        </w:tc>
        <w:tc>
          <w:tcPr>
            <w:tcW w:w="1450"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高=118.78</w:t>
            </w:r>
            <w:r>
              <w:rPr>
                <w:rFonts w:hint="default"/>
                <w:lang w:val="en-US" w:eastAsia="zh-CN"/>
              </w:rPr>
              <w:t>×</w:t>
            </w:r>
            <w:r>
              <w:rPr>
                <w:rFonts w:hint="eastAsia"/>
                <w:lang w:val="en-US" w:eastAsia="zh-CN"/>
              </w:rPr>
              <w:t>46.98</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continue"/>
            <w:noWrap w:val="0"/>
            <w:vAlign w:val="center"/>
          </w:tcPr>
          <w:p>
            <w:pPr>
              <w:pStyle w:val="28"/>
              <w:suppressLineNumbers w:val="0"/>
              <w:bidi w:val="0"/>
              <w:spacing w:before="0" w:after="0"/>
              <w:ind w:left="0" w:right="0"/>
              <w:outlineLvl w:val="9"/>
            </w:pPr>
          </w:p>
        </w:tc>
        <w:tc>
          <w:tcPr>
            <w:tcW w:w="906"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破碎、筛分车间</w:t>
            </w:r>
          </w:p>
        </w:tc>
        <w:tc>
          <w:tcPr>
            <w:tcW w:w="454"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0.10</w:t>
            </w:r>
          </w:p>
        </w:tc>
        <w:tc>
          <w:tcPr>
            <w:tcW w:w="596"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0.50</w:t>
            </w:r>
          </w:p>
        </w:tc>
        <w:tc>
          <w:tcPr>
            <w:tcW w:w="1450"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一期、二期</w:t>
            </w:r>
          </w:p>
        </w:tc>
        <w:tc>
          <w:tcPr>
            <w:tcW w:w="906"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车间一</w:t>
            </w:r>
          </w:p>
        </w:tc>
        <w:tc>
          <w:tcPr>
            <w:tcW w:w="454"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0.10</w:t>
            </w:r>
          </w:p>
        </w:tc>
        <w:tc>
          <w:tcPr>
            <w:tcW w:w="596"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0.50</w:t>
            </w:r>
          </w:p>
        </w:tc>
        <w:tc>
          <w:tcPr>
            <w:tcW w:w="1450"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高=119.78</w:t>
            </w:r>
            <w:r>
              <w:rPr>
                <w:rFonts w:hint="default"/>
                <w:lang w:val="en-US" w:eastAsia="zh-CN"/>
              </w:rPr>
              <w:t>×</w:t>
            </w:r>
            <w:r>
              <w:rPr>
                <w:rFonts w:hint="eastAsia"/>
                <w:lang w:val="en-US" w:eastAsia="zh-CN"/>
              </w:rPr>
              <w:t>34.98</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continue"/>
            <w:noWrap w:val="0"/>
            <w:vAlign w:val="center"/>
          </w:tcPr>
          <w:p>
            <w:pPr>
              <w:pStyle w:val="28"/>
              <w:suppressLineNumbers w:val="0"/>
              <w:bidi w:val="0"/>
              <w:spacing w:before="0" w:after="0"/>
              <w:ind w:left="0" w:right="0"/>
              <w:outlineLvl w:val="9"/>
              <w:rPr>
                <w:rFonts w:hint="eastAsia"/>
                <w:lang w:eastAsia="zh-CN"/>
              </w:rPr>
            </w:pPr>
          </w:p>
        </w:tc>
        <w:tc>
          <w:tcPr>
            <w:tcW w:w="906"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车间二</w:t>
            </w:r>
          </w:p>
        </w:tc>
        <w:tc>
          <w:tcPr>
            <w:tcW w:w="454"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0.10</w:t>
            </w:r>
          </w:p>
        </w:tc>
        <w:tc>
          <w:tcPr>
            <w:tcW w:w="596"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0.50</w:t>
            </w:r>
          </w:p>
        </w:tc>
        <w:tc>
          <w:tcPr>
            <w:tcW w:w="145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高=118.78</w:t>
            </w:r>
            <w:r>
              <w:rPr>
                <w:rFonts w:hint="default"/>
                <w:lang w:val="en-US" w:eastAsia="zh-CN"/>
              </w:rPr>
              <w:t>×</w:t>
            </w:r>
            <w:r>
              <w:rPr>
                <w:rFonts w:hint="eastAsia"/>
                <w:lang w:val="en-US" w:eastAsia="zh-CN"/>
              </w:rPr>
              <w:t>46.98</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0" w:type="pct"/>
            <w:vMerge w:val="continue"/>
            <w:noWrap w:val="0"/>
            <w:vAlign w:val="center"/>
          </w:tcPr>
          <w:p>
            <w:pPr>
              <w:pStyle w:val="28"/>
              <w:suppressLineNumbers w:val="0"/>
              <w:bidi w:val="0"/>
              <w:spacing w:before="0" w:after="0"/>
              <w:ind w:left="0" w:right="0"/>
              <w:outlineLvl w:val="9"/>
            </w:pPr>
          </w:p>
        </w:tc>
        <w:tc>
          <w:tcPr>
            <w:tcW w:w="906"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破碎、筛分车间</w:t>
            </w:r>
          </w:p>
        </w:tc>
        <w:tc>
          <w:tcPr>
            <w:tcW w:w="454" w:type="pct"/>
            <w:noWrap w:val="0"/>
            <w:vAlign w:val="center"/>
          </w:tcPr>
          <w:p>
            <w:pPr>
              <w:pStyle w:val="28"/>
              <w:suppressLineNumbers w:val="0"/>
              <w:bidi w:val="0"/>
              <w:spacing w:before="0" w:after="0"/>
              <w:ind w:left="0" w:leftChars="0" w:right="0" w:rightChars="0" w:firstLine="0" w:firstLineChars="0"/>
              <w:rPr>
                <w:rFonts w:hint="eastAsia" w:ascii="Times New Roman" w:hAnsi="Times New Roman" w:eastAsia="宋体" w:cstheme="minorBidi"/>
                <w:b w:val="0"/>
                <w:kern w:val="2"/>
                <w:sz w:val="21"/>
                <w:szCs w:val="24"/>
                <w:lang w:val="en-US" w:eastAsia="zh-CN" w:bidi="ar-SA"/>
              </w:rPr>
            </w:pPr>
            <w:r>
              <w:rPr>
                <w:rFonts w:hint="eastAsia" w:ascii="Times New Roman" w:hAnsi="Times New Roman" w:cstheme="minorBidi"/>
                <w:b w:val="0"/>
                <w:kern w:val="2"/>
                <w:sz w:val="21"/>
                <w:szCs w:val="24"/>
                <w:lang w:val="en-US" w:eastAsia="zh-CN" w:bidi="ar-SA"/>
              </w:rPr>
              <w:t>颗粒物</w:t>
            </w:r>
          </w:p>
        </w:tc>
        <w:tc>
          <w:tcPr>
            <w:tcW w:w="57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0.20</w:t>
            </w:r>
          </w:p>
        </w:tc>
        <w:tc>
          <w:tcPr>
            <w:tcW w:w="596" w:type="pct"/>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1450" w:type="pc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长</w:t>
            </w:r>
            <w:r>
              <w:rPr>
                <w:rFonts w:hint="default"/>
                <w:lang w:val="en-US" w:eastAsia="zh-CN"/>
              </w:rPr>
              <w:t>×</w:t>
            </w:r>
            <w:r>
              <w:rPr>
                <w:rFonts w:hint="eastAsia"/>
                <w:lang w:val="en-US" w:eastAsia="zh-CN"/>
              </w:rPr>
              <w:t>宽</w:t>
            </w:r>
            <w:r>
              <w:rPr>
                <w:rFonts w:hint="default"/>
                <w:lang w:val="en-US" w:eastAsia="zh-CN"/>
              </w:rPr>
              <w:t>×</w:t>
            </w:r>
            <w:r>
              <w:rPr>
                <w:rFonts w:hint="eastAsia"/>
                <w:lang w:val="en-US" w:eastAsia="zh-CN"/>
              </w:rPr>
              <w:t>高=120.78</w:t>
            </w:r>
            <w:r>
              <w:rPr>
                <w:rFonts w:hint="default"/>
                <w:lang w:val="en-US" w:eastAsia="zh-CN"/>
              </w:rPr>
              <w:t>×</w:t>
            </w:r>
            <w:r>
              <w:rPr>
                <w:rFonts w:hint="eastAsia"/>
                <w:lang w:val="en-US" w:eastAsia="zh-CN"/>
              </w:rPr>
              <w:t>51.89</w:t>
            </w:r>
            <w:r>
              <w:rPr>
                <w:rFonts w:hint="default"/>
                <w:lang w:val="en-US" w:eastAsia="zh-CN"/>
              </w:rPr>
              <w:t>×</w:t>
            </w:r>
            <w:r>
              <w:rPr>
                <w:rFonts w:hint="eastAsia"/>
                <w:lang w:val="en-US" w:eastAsia="zh-CN"/>
              </w:rPr>
              <w:t>12</w:t>
            </w:r>
          </w:p>
        </w:tc>
        <w:tc>
          <w:tcPr>
            <w:tcW w:w="341" w:type="pct"/>
            <w:vMerge w:val="continue"/>
            <w:noWrap w:val="0"/>
            <w:vAlign w:val="center"/>
          </w:tcPr>
          <w:p>
            <w:pPr>
              <w:pStyle w:val="28"/>
              <w:suppressLineNumbers w:val="0"/>
              <w:bidi w:val="0"/>
              <w:spacing w:before="0" w:after="0"/>
              <w:ind w:left="0" w:right="0"/>
              <w:outlineLvl w:val="9"/>
            </w:pPr>
          </w:p>
        </w:tc>
      </w:tr>
    </w:tbl>
    <w:p>
      <w:pPr>
        <w:bidi w:val="0"/>
      </w:pPr>
      <w:r>
        <w:fldChar w:fldCharType="begin"/>
      </w:r>
      <w:r>
        <w:instrText xml:space="preserve"> = 2 \* GB3 </w:instrText>
      </w:r>
      <w:r>
        <w:fldChar w:fldCharType="separate"/>
      </w:r>
      <w:r>
        <w:rPr>
          <w:rFonts w:hint="eastAsia"/>
        </w:rPr>
        <w:t>②</w:t>
      </w:r>
      <w:r>
        <w:fldChar w:fldCharType="end"/>
      </w:r>
      <w:r>
        <w:t>废水</w:t>
      </w:r>
    </w:p>
    <w:p>
      <w:pPr>
        <w:bidi w:val="0"/>
      </w:pPr>
      <w:r>
        <w:t>项目废水排放情况见表</w:t>
      </w:r>
      <w:r>
        <w:rPr>
          <w:rFonts w:hint="eastAsia"/>
          <w:lang w:val="en-US" w:eastAsia="zh-CN"/>
        </w:rPr>
        <w:t>8.2</w:t>
      </w:r>
      <w:r>
        <w:t>.4-</w:t>
      </w:r>
      <w:r>
        <w:rPr>
          <w:rFonts w:hint="eastAsia"/>
          <w:lang w:val="en-US" w:eastAsia="zh-CN"/>
        </w:rPr>
        <w:t>3</w:t>
      </w:r>
      <w:r>
        <w:t>。</w:t>
      </w:r>
    </w:p>
    <w:p>
      <w:pPr>
        <w:pStyle w:val="27"/>
        <w:bidi w:val="0"/>
      </w:pPr>
      <w:r>
        <w:t>表</w:t>
      </w:r>
      <w:r>
        <w:rPr>
          <w:rFonts w:hint="eastAsia"/>
          <w:lang w:val="en-US" w:eastAsia="zh-CN"/>
        </w:rPr>
        <w:t>8.2.4</w:t>
      </w:r>
      <w:r>
        <w:t>-</w:t>
      </w:r>
      <w:r>
        <w:rPr>
          <w:rFonts w:hint="eastAsia"/>
          <w:lang w:val="en-US" w:eastAsia="zh-CN"/>
        </w:rPr>
        <w:t xml:space="preserve">3 </w:t>
      </w:r>
      <w:r>
        <w:t>项目废水排放情况表</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56"/>
        <w:gridCol w:w="2157"/>
        <w:gridCol w:w="1005"/>
        <w:gridCol w:w="1686"/>
        <w:gridCol w:w="1091"/>
        <w:gridCol w:w="846"/>
        <w:gridCol w:w="16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restar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工程分析</w:t>
            </w:r>
          </w:p>
        </w:tc>
        <w:tc>
          <w:tcPr>
            <w:tcW w:w="2157" w:type="dxa"/>
            <w:vMerge w:val="restart"/>
            <w:tcBorders>
              <w:tl2br w:val="nil"/>
              <w:tr2bl w:val="nil"/>
            </w:tcBorders>
            <w:noWrap w:val="0"/>
            <w:vAlign w:val="center"/>
          </w:tcPr>
          <w:p>
            <w:pPr>
              <w:pStyle w:val="28"/>
              <w:suppressLineNumbers w:val="0"/>
              <w:bidi w:val="0"/>
              <w:spacing w:before="0" w:after="0"/>
              <w:ind w:left="0" w:right="0"/>
            </w:pPr>
            <w:r>
              <w:t>来源</w:t>
            </w:r>
          </w:p>
        </w:tc>
        <w:tc>
          <w:tcPr>
            <w:tcW w:w="1005" w:type="dxa"/>
            <w:tcBorders>
              <w:tl2br w:val="nil"/>
              <w:tr2bl w:val="nil"/>
            </w:tcBorders>
            <w:noWrap w:val="0"/>
            <w:vAlign w:val="center"/>
          </w:tcPr>
          <w:p>
            <w:pPr>
              <w:pStyle w:val="28"/>
              <w:suppressLineNumbers w:val="0"/>
              <w:bidi w:val="0"/>
              <w:spacing w:before="0" w:after="0"/>
              <w:ind w:left="0" w:right="0"/>
            </w:pPr>
            <w:r>
              <w:t>废水量</w:t>
            </w:r>
          </w:p>
        </w:tc>
        <w:tc>
          <w:tcPr>
            <w:tcW w:w="1686" w:type="dxa"/>
            <w:vMerge w:val="restart"/>
            <w:tcBorders>
              <w:tl2br w:val="nil"/>
              <w:tr2bl w:val="nil"/>
            </w:tcBorders>
            <w:noWrap w:val="0"/>
            <w:vAlign w:val="center"/>
          </w:tcPr>
          <w:p>
            <w:pPr>
              <w:pStyle w:val="28"/>
              <w:suppressLineNumbers w:val="0"/>
              <w:bidi w:val="0"/>
              <w:spacing w:before="0" w:after="0"/>
              <w:ind w:left="0" w:right="0"/>
            </w:pPr>
            <w:r>
              <w:t>主要污染物名称</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eastAsia="zh-CN"/>
              </w:rPr>
              <w:t>排放</w:t>
            </w:r>
            <w:r>
              <w:t>浓度</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eastAsia="zh-CN"/>
              </w:rPr>
              <w:t>排放</w:t>
            </w:r>
            <w:r>
              <w:t>量</w:t>
            </w:r>
          </w:p>
        </w:tc>
        <w:tc>
          <w:tcPr>
            <w:tcW w:w="1686" w:type="dxa"/>
            <w:vMerge w:val="restart"/>
            <w:tcBorders>
              <w:tl2br w:val="nil"/>
              <w:tr2bl w:val="nil"/>
            </w:tcBorders>
            <w:noWrap w:val="0"/>
            <w:vAlign w:val="center"/>
          </w:tcPr>
          <w:p>
            <w:pPr>
              <w:pStyle w:val="28"/>
              <w:suppressLineNumbers w:val="0"/>
              <w:bidi w:val="0"/>
              <w:spacing w:before="0" w:after="0"/>
              <w:ind w:left="0" w:right="0"/>
            </w:pPr>
            <w:r>
              <w:t>拟采取处理措施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tcBorders>
              <w:tl2br w:val="nil"/>
              <w:tr2bl w:val="nil"/>
            </w:tcBorders>
            <w:noWrap w:val="0"/>
            <w:vAlign w:val="center"/>
          </w:tcPr>
          <w:p>
            <w:pPr>
              <w:pStyle w:val="28"/>
              <w:suppressLineNumbers w:val="0"/>
              <w:bidi w:val="0"/>
              <w:spacing w:before="0" w:after="0"/>
              <w:ind w:left="0" w:right="0"/>
            </w:pPr>
            <w:r>
              <w:t>（m3/a）</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c>
          <w:tcPr>
            <w:tcW w:w="1091" w:type="dxa"/>
            <w:tcBorders>
              <w:tl2br w:val="nil"/>
              <w:tr2bl w:val="nil"/>
            </w:tcBorders>
            <w:noWrap w:val="0"/>
            <w:vAlign w:val="center"/>
          </w:tcPr>
          <w:p>
            <w:pPr>
              <w:pStyle w:val="28"/>
              <w:suppressLineNumbers w:val="0"/>
              <w:bidi w:val="0"/>
              <w:spacing w:before="0" w:after="0"/>
              <w:ind w:left="0" w:right="0"/>
            </w:pPr>
            <w:r>
              <w:t>（mg/L）</w:t>
            </w:r>
          </w:p>
        </w:tc>
        <w:tc>
          <w:tcPr>
            <w:tcW w:w="846" w:type="dxa"/>
            <w:tcBorders>
              <w:tl2br w:val="nil"/>
              <w:tr2bl w:val="nil"/>
            </w:tcBorders>
            <w:noWrap w:val="0"/>
            <w:vAlign w:val="center"/>
          </w:tcPr>
          <w:p>
            <w:pPr>
              <w:pStyle w:val="28"/>
              <w:suppressLineNumbers w:val="0"/>
              <w:bidi w:val="0"/>
              <w:spacing w:before="0" w:after="0"/>
              <w:ind w:left="0" w:right="0"/>
            </w:pPr>
            <w:r>
              <w:t>（t/a）</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1056" w:type="dxa"/>
            <w:vMerge w:val="restar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2157" w:type="dxa"/>
            <w:vMerge w:val="restart"/>
            <w:tcBorders>
              <w:tl2br w:val="nil"/>
              <w:tr2bl w:val="nil"/>
            </w:tcBorders>
            <w:noWrap w:val="0"/>
            <w:vAlign w:val="center"/>
          </w:tcPr>
          <w:p>
            <w:pPr>
              <w:pStyle w:val="28"/>
              <w:suppressLineNumbers w:val="0"/>
              <w:bidi w:val="0"/>
              <w:spacing w:before="0" w:after="0"/>
              <w:ind w:left="0" w:right="0"/>
              <w:rPr>
                <w:rFonts w:hint="eastAsia" w:eastAsia="宋体"/>
                <w:lang w:eastAsia="zh-CN"/>
              </w:rPr>
            </w:pPr>
            <w:r>
              <w:t>生活污水</w:t>
            </w:r>
            <w:r>
              <w:rPr>
                <w:rFonts w:hint="eastAsia"/>
                <w:lang w:eastAsia="zh-CN"/>
              </w:rPr>
              <w:t>、食堂废水</w:t>
            </w:r>
          </w:p>
        </w:tc>
        <w:tc>
          <w:tcPr>
            <w:tcW w:w="1005" w:type="dxa"/>
            <w:vMerge w:val="restar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1104.84</w:t>
            </w:r>
          </w:p>
        </w:tc>
        <w:tc>
          <w:tcPr>
            <w:tcW w:w="1686" w:type="dxa"/>
            <w:tcBorders>
              <w:tl2br w:val="nil"/>
              <w:tr2bl w:val="nil"/>
            </w:tcBorders>
            <w:noWrap w:val="0"/>
            <w:vAlign w:val="center"/>
          </w:tcPr>
          <w:p>
            <w:pPr>
              <w:pStyle w:val="28"/>
              <w:suppressLineNumbers w:val="0"/>
              <w:bidi w:val="0"/>
              <w:spacing w:before="0" w:after="0"/>
              <w:ind w:left="0" w:right="0"/>
            </w:pPr>
            <w:r>
              <w:rPr>
                <w:rFonts w:hint="default"/>
                <w:lang w:val="en-US" w:eastAsia="zh-CN"/>
              </w:rPr>
              <w:t>COD</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0.4419</w:t>
            </w:r>
          </w:p>
        </w:tc>
        <w:tc>
          <w:tcPr>
            <w:tcW w:w="1686" w:type="dxa"/>
            <w:vMerge w:val="restart"/>
            <w:tcBorders>
              <w:tl2br w:val="nil"/>
              <w:tr2bl w:val="nil"/>
            </w:tcBorders>
            <w:noWrap w:val="0"/>
            <w:vAlign w:val="center"/>
          </w:tcPr>
          <w:p>
            <w:pPr>
              <w:pStyle w:val="28"/>
              <w:suppressLineNumbers w:val="0"/>
              <w:bidi w:val="0"/>
              <w:spacing w:before="0" w:after="0"/>
              <w:ind w:left="0" w:right="0"/>
            </w:pPr>
            <w:r>
              <w:rPr>
                <w:rFonts w:hint="eastAsia"/>
                <w:lang w:eastAsia="zh-CN"/>
              </w:rPr>
              <w:t>食堂废水经隔油池处理后与生活污水一起进化粪池处理，</w:t>
            </w:r>
            <w:r>
              <w:rPr>
                <w:rFonts w:hint="eastAsia"/>
                <w:lang w:val="en-US" w:eastAsia="zh-CN"/>
              </w:rPr>
              <w:t>处理后进青湖镇联村生活污水处理厂处理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SS</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0.3315</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氨氮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34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0.038</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总氮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49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0.0538</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总磷</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8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0.0088</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动植物油</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0.0029</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restar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二期</w:t>
            </w:r>
          </w:p>
        </w:tc>
        <w:tc>
          <w:tcPr>
            <w:tcW w:w="2157" w:type="dxa"/>
            <w:vMerge w:val="restart"/>
            <w:tcBorders>
              <w:tl2br w:val="nil"/>
              <w:tr2bl w:val="nil"/>
            </w:tcBorders>
            <w:noWrap w:val="0"/>
            <w:vAlign w:val="center"/>
          </w:tcPr>
          <w:p>
            <w:pPr>
              <w:pStyle w:val="28"/>
              <w:suppressLineNumbers w:val="0"/>
              <w:bidi w:val="0"/>
              <w:spacing w:before="0" w:after="0"/>
              <w:ind w:left="0" w:right="0"/>
            </w:pPr>
            <w:r>
              <w:t>生活污水</w:t>
            </w:r>
            <w:r>
              <w:rPr>
                <w:rFonts w:hint="eastAsia"/>
                <w:lang w:eastAsia="zh-CN"/>
              </w:rPr>
              <w:t>、食堂废水</w:t>
            </w:r>
          </w:p>
        </w:tc>
        <w:tc>
          <w:tcPr>
            <w:tcW w:w="1005" w:type="dxa"/>
            <w:vMerge w:val="restar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531.96</w:t>
            </w: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COD</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0.2128</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SS</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0.1596</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氨氮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34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0.0183</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总氮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49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0.0259</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总磷</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8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0.0042</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动植物油</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0.0014</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restart"/>
            <w:tcBorders>
              <w:tl2br w:val="nil"/>
              <w:tr2bl w:val="nil"/>
            </w:tcBorders>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一期、二期</w:t>
            </w:r>
          </w:p>
        </w:tc>
        <w:tc>
          <w:tcPr>
            <w:tcW w:w="2157" w:type="dxa"/>
            <w:vMerge w:val="restart"/>
            <w:tcBorders>
              <w:tl2br w:val="nil"/>
              <w:tr2bl w:val="nil"/>
            </w:tcBorders>
            <w:noWrap w:val="0"/>
            <w:vAlign w:val="center"/>
          </w:tcPr>
          <w:p>
            <w:pPr>
              <w:pStyle w:val="28"/>
              <w:suppressLineNumbers w:val="0"/>
              <w:bidi w:val="0"/>
              <w:spacing w:before="0" w:after="0"/>
              <w:ind w:left="0" w:right="0"/>
            </w:pPr>
            <w:r>
              <w:t>生活污水</w:t>
            </w:r>
            <w:r>
              <w:rPr>
                <w:rFonts w:hint="eastAsia"/>
                <w:lang w:eastAsia="zh-CN"/>
              </w:rPr>
              <w:t>、食堂废水</w:t>
            </w:r>
          </w:p>
        </w:tc>
        <w:tc>
          <w:tcPr>
            <w:tcW w:w="1005" w:type="dxa"/>
            <w:vMerge w:val="restart"/>
            <w:tcBorders>
              <w:tl2br w:val="nil"/>
              <w:tr2bl w:val="nil"/>
            </w:tcBorders>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1636.80</w:t>
            </w: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COD</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0.6547</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SS</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300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0.4911</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氨氮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34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0.0562</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总氮</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49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0.0797</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总磷</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8 </w:t>
            </w:r>
          </w:p>
        </w:tc>
        <w:tc>
          <w:tcPr>
            <w:tcW w:w="846" w:type="dxa"/>
            <w:tcBorders>
              <w:tl2br w:val="nil"/>
              <w:tr2bl w:val="nil"/>
            </w:tcBorders>
            <w:noWrap w:val="0"/>
            <w:vAlign w:val="center"/>
          </w:tcPr>
          <w:p>
            <w:pPr>
              <w:pStyle w:val="28"/>
              <w:suppressLineNumbers w:val="0"/>
              <w:bidi w:val="0"/>
              <w:spacing w:before="0" w:after="0"/>
              <w:ind w:left="0" w:right="0"/>
              <w:rPr>
                <w:rFonts w:hint="default"/>
                <w:lang w:val="en-US"/>
              </w:rPr>
            </w:pPr>
            <w:r>
              <w:rPr>
                <w:rFonts w:hint="eastAsia"/>
                <w:lang w:val="en-US" w:eastAsia="zh-CN"/>
              </w:rPr>
              <w:t>0.0131</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056" w:type="dxa"/>
            <w:vMerge w:val="continue"/>
            <w:tcBorders>
              <w:tl2br w:val="nil"/>
              <w:tr2bl w:val="nil"/>
            </w:tcBorders>
            <w:noWrap w:val="0"/>
            <w:vAlign w:val="center"/>
          </w:tcPr>
          <w:p>
            <w:pPr>
              <w:pStyle w:val="28"/>
              <w:suppressLineNumbers w:val="0"/>
              <w:bidi w:val="0"/>
              <w:spacing w:before="0" w:after="0"/>
              <w:ind w:left="0" w:right="0"/>
              <w:outlineLvl w:val="9"/>
            </w:pPr>
          </w:p>
        </w:tc>
        <w:tc>
          <w:tcPr>
            <w:tcW w:w="2157" w:type="dxa"/>
            <w:vMerge w:val="continue"/>
            <w:tcBorders>
              <w:tl2br w:val="nil"/>
              <w:tr2bl w:val="nil"/>
            </w:tcBorders>
            <w:noWrap w:val="0"/>
            <w:vAlign w:val="center"/>
          </w:tcPr>
          <w:p>
            <w:pPr>
              <w:pStyle w:val="28"/>
              <w:suppressLineNumbers w:val="0"/>
              <w:bidi w:val="0"/>
              <w:spacing w:before="0" w:after="0"/>
              <w:ind w:left="0" w:right="0"/>
              <w:outlineLvl w:val="9"/>
            </w:pPr>
          </w:p>
        </w:tc>
        <w:tc>
          <w:tcPr>
            <w:tcW w:w="1005" w:type="dxa"/>
            <w:vMerge w:val="continue"/>
            <w:tcBorders>
              <w:tl2br w:val="nil"/>
              <w:tr2bl w:val="nil"/>
            </w:tcBorders>
            <w:noWrap w:val="0"/>
            <w:vAlign w:val="center"/>
          </w:tcPr>
          <w:p>
            <w:pPr>
              <w:pStyle w:val="28"/>
              <w:suppressLineNumbers w:val="0"/>
              <w:bidi w:val="0"/>
              <w:spacing w:before="0" w:after="0"/>
              <w:ind w:left="0" w:right="0"/>
              <w:outlineLvl w:val="9"/>
            </w:pPr>
          </w:p>
        </w:tc>
        <w:tc>
          <w:tcPr>
            <w:tcW w:w="1686" w:type="dxa"/>
            <w:tcBorders>
              <w:tl2br w:val="nil"/>
              <w:tr2bl w:val="nil"/>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动植物油</w:t>
            </w:r>
          </w:p>
        </w:tc>
        <w:tc>
          <w:tcPr>
            <w:tcW w:w="1091"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 xml:space="preserve">3 </w:t>
            </w:r>
          </w:p>
        </w:tc>
        <w:tc>
          <w:tcPr>
            <w:tcW w:w="846" w:type="dxa"/>
            <w:tcBorders>
              <w:tl2br w:val="nil"/>
              <w:tr2bl w:val="nil"/>
            </w:tcBorders>
            <w:noWrap w:val="0"/>
            <w:vAlign w:val="center"/>
          </w:tcPr>
          <w:p>
            <w:pPr>
              <w:pStyle w:val="28"/>
              <w:suppressLineNumbers w:val="0"/>
              <w:bidi w:val="0"/>
              <w:spacing w:before="0" w:after="0"/>
              <w:ind w:left="0" w:right="0"/>
            </w:pPr>
            <w:r>
              <w:rPr>
                <w:rFonts w:hint="eastAsia"/>
                <w:lang w:val="en-US" w:eastAsia="zh-CN"/>
              </w:rPr>
              <w:t>0.0042</w:t>
            </w:r>
          </w:p>
        </w:tc>
        <w:tc>
          <w:tcPr>
            <w:tcW w:w="1686" w:type="dxa"/>
            <w:vMerge w:val="continue"/>
            <w:tcBorders>
              <w:tl2br w:val="nil"/>
              <w:tr2bl w:val="nil"/>
            </w:tcBorders>
            <w:noWrap w:val="0"/>
            <w:vAlign w:val="center"/>
          </w:tcPr>
          <w:p>
            <w:pPr>
              <w:pStyle w:val="28"/>
              <w:suppressLineNumbers w:val="0"/>
              <w:bidi w:val="0"/>
              <w:spacing w:before="0" w:after="0"/>
              <w:ind w:left="0" w:right="0"/>
              <w:outlineLvl w:val="9"/>
            </w:pPr>
          </w:p>
        </w:tc>
      </w:tr>
    </w:tbl>
    <w:p>
      <w:pPr>
        <w:bidi w:val="0"/>
      </w:pPr>
      <w:r>
        <w:fldChar w:fldCharType="begin"/>
      </w:r>
      <w:r>
        <w:instrText xml:space="preserve"> = 3 \* GB3 </w:instrText>
      </w:r>
      <w:r>
        <w:fldChar w:fldCharType="separate"/>
      </w:r>
      <w:r>
        <w:rPr>
          <w:rFonts w:hint="eastAsia"/>
        </w:rPr>
        <w:t>③</w:t>
      </w:r>
      <w:r>
        <w:fldChar w:fldCharType="end"/>
      </w:r>
      <w:r>
        <w:t>固废</w:t>
      </w:r>
    </w:p>
    <w:p>
      <w:pPr>
        <w:bidi w:val="0"/>
      </w:pPr>
      <w:r>
        <w:t>项目固废产生情况详见表</w:t>
      </w:r>
      <w:r>
        <w:rPr>
          <w:rFonts w:hint="eastAsia"/>
          <w:lang w:val="en-US" w:eastAsia="zh-CN"/>
        </w:rPr>
        <w:t>8.2</w:t>
      </w:r>
      <w:r>
        <w:t>.4-</w:t>
      </w:r>
      <w:r>
        <w:rPr>
          <w:rFonts w:hint="eastAsia"/>
          <w:lang w:val="en-US" w:eastAsia="zh-CN"/>
        </w:rPr>
        <w:t>4</w:t>
      </w:r>
      <w:r>
        <w:t>。</w:t>
      </w:r>
    </w:p>
    <w:p>
      <w:pPr>
        <w:pStyle w:val="27"/>
        <w:bidi w:val="0"/>
      </w:pPr>
      <w:r>
        <w:t>表</w:t>
      </w:r>
      <w:r>
        <w:rPr>
          <w:rFonts w:hint="eastAsia"/>
          <w:lang w:val="en-US" w:eastAsia="zh-CN"/>
        </w:rPr>
        <w:t>8.2.4</w:t>
      </w:r>
      <w:r>
        <w:t>-</w:t>
      </w:r>
      <w:r>
        <w:rPr>
          <w:rFonts w:hint="eastAsia"/>
          <w:lang w:val="en-US" w:eastAsia="zh-CN"/>
        </w:rPr>
        <w:t>4</w:t>
      </w:r>
      <w:r>
        <w:t xml:space="preserve"> 项目固体废物产生情况表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890"/>
        <w:gridCol w:w="825"/>
        <w:gridCol w:w="1091"/>
        <w:gridCol w:w="1834"/>
        <w:gridCol w:w="1531"/>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0" w:type="auto"/>
            <w:noWrap w:val="0"/>
            <w:vAlign w:val="center"/>
          </w:tcPr>
          <w:p>
            <w:pPr>
              <w:pStyle w:val="28"/>
              <w:suppressLineNumbers w:val="0"/>
              <w:bidi w:val="0"/>
              <w:spacing w:before="0" w:after="0"/>
              <w:ind w:left="0" w:right="0"/>
              <w:rPr>
                <w:rFonts w:hint="eastAsia"/>
                <w:lang w:eastAsia="zh-CN"/>
              </w:rPr>
            </w:pPr>
            <w:r>
              <w:rPr>
                <w:rFonts w:hint="eastAsia"/>
                <w:lang w:eastAsia="zh-CN"/>
              </w:rPr>
              <w:t>工期</w:t>
            </w:r>
          </w:p>
        </w:tc>
        <w:tc>
          <w:tcPr>
            <w:tcW w:w="0" w:type="auto"/>
            <w:noWrap w:val="0"/>
            <w:vAlign w:val="center"/>
          </w:tcPr>
          <w:p>
            <w:pPr>
              <w:pStyle w:val="28"/>
              <w:suppressLineNumbers w:val="0"/>
              <w:bidi w:val="0"/>
              <w:spacing w:before="0" w:after="0"/>
              <w:ind w:left="0" w:right="0"/>
            </w:pPr>
            <w:r>
              <w:t>固废名称</w:t>
            </w:r>
          </w:p>
        </w:tc>
        <w:tc>
          <w:tcPr>
            <w:tcW w:w="0" w:type="auto"/>
            <w:noWrap w:val="0"/>
            <w:vAlign w:val="center"/>
          </w:tcPr>
          <w:p>
            <w:pPr>
              <w:pStyle w:val="28"/>
              <w:suppressLineNumbers w:val="0"/>
              <w:bidi w:val="0"/>
              <w:spacing w:before="0" w:after="0"/>
              <w:ind w:left="0" w:right="0"/>
            </w:pPr>
            <w:r>
              <w:t>属性</w:t>
            </w:r>
          </w:p>
        </w:tc>
        <w:tc>
          <w:tcPr>
            <w:tcW w:w="0" w:type="auto"/>
            <w:noWrap w:val="0"/>
            <w:vAlign w:val="center"/>
          </w:tcPr>
          <w:p>
            <w:pPr>
              <w:pStyle w:val="28"/>
              <w:suppressLineNumbers w:val="0"/>
              <w:bidi w:val="0"/>
              <w:spacing w:before="0" w:after="0"/>
              <w:ind w:left="0" w:right="0"/>
            </w:pPr>
            <w:r>
              <w:t>产生工序</w:t>
            </w:r>
          </w:p>
        </w:tc>
        <w:tc>
          <w:tcPr>
            <w:tcW w:w="0" w:type="auto"/>
            <w:noWrap w:val="0"/>
            <w:vAlign w:val="center"/>
          </w:tcPr>
          <w:p>
            <w:pPr>
              <w:pStyle w:val="28"/>
              <w:suppressLineNumbers w:val="0"/>
              <w:bidi w:val="0"/>
              <w:spacing w:before="0" w:after="0"/>
              <w:ind w:left="0" w:right="0"/>
            </w:pPr>
            <w:r>
              <w:t>主要成分</w:t>
            </w:r>
          </w:p>
        </w:tc>
        <w:tc>
          <w:tcPr>
            <w:tcW w:w="0" w:type="auto"/>
            <w:noWrap w:val="0"/>
            <w:vAlign w:val="center"/>
          </w:tcPr>
          <w:p>
            <w:pPr>
              <w:pStyle w:val="28"/>
              <w:suppressLineNumbers w:val="0"/>
              <w:bidi w:val="0"/>
              <w:spacing w:before="0" w:after="0"/>
              <w:ind w:left="0" w:right="0"/>
            </w:pPr>
            <w:r>
              <w:t>估算产生量（t/a）</w:t>
            </w:r>
          </w:p>
        </w:tc>
        <w:tc>
          <w:tcPr>
            <w:tcW w:w="0" w:type="auto"/>
            <w:noWrap w:val="0"/>
            <w:vAlign w:val="top"/>
          </w:tcPr>
          <w:p>
            <w:pPr>
              <w:pStyle w:val="28"/>
              <w:suppressLineNumbers w:val="0"/>
              <w:bidi w:val="0"/>
              <w:spacing w:before="0" w:after="0"/>
              <w:ind w:left="0" w:right="0"/>
            </w:pPr>
            <w: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一期</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电煅炉布袋除尘器除尘下灰</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eastAsia="zh-CN"/>
              </w:rPr>
              <w:t>煅后焦、新型增碳剂</w:t>
            </w:r>
            <w:r>
              <w:rPr>
                <w:rFonts w:hint="eastAsia"/>
              </w:rPr>
              <w:t>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184.16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废原料包装袋</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原料包装</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包装织物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废树脂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pPr>
            <w:r>
              <w:rPr>
                <w:rFonts w:hint="eastAsia"/>
                <w:lang w:eastAsia="zh-CN"/>
              </w:rPr>
              <w:t>自来水净化</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离子交换树脂、杂质等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脱硫石膏</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废气净化</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硫酸钙、氢氧化钙、水等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642.58</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化验室废液</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废试剂瓶</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隔油池废油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食堂废水隔油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rPr>
              <w:t>0.</w:t>
            </w:r>
            <w:r>
              <w:rPr>
                <w:rFonts w:hint="eastAsia"/>
                <w:lang w:val="en-US" w:eastAsia="zh-CN"/>
              </w:rPr>
              <w:t>011</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生活垃圾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办公</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废纸等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餐厨垃圾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动植物残渣</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4.46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pStyle w:val="28"/>
              <w:suppressLineNumbers w:val="0"/>
              <w:bidi w:val="0"/>
              <w:spacing w:before="0" w:after="0"/>
              <w:ind w:left="0" w:right="0"/>
              <w:rPr>
                <w:rFonts w:hint="eastAsia"/>
                <w:lang w:val="en-US" w:eastAsia="zh-CN"/>
              </w:rPr>
            </w:pPr>
            <w:r>
              <w:rPr>
                <w:rFonts w:hint="eastAsia"/>
                <w:lang w:eastAsia="zh-CN"/>
              </w:rPr>
              <w:t>二期</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电煅炉布袋除尘器除尘下灰</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eastAsia="zh-CN"/>
              </w:rPr>
              <w:t>煅后焦、新型增碳剂</w:t>
            </w:r>
            <w:r>
              <w:rPr>
                <w:rFonts w:hint="eastAsia"/>
              </w:rPr>
              <w:t>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184.16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废原料包装袋</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原料包装</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包装织物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废树脂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自来水净化</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离子交换树脂、杂质等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脱硫石膏</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废气净化</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硫酸钙、氢氧化钙、水等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642.58</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化验室废液</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废试剂瓶</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0.2</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隔油池废油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食堂废水隔油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rPr>
              <w:t>0.</w:t>
            </w:r>
            <w:r>
              <w:rPr>
                <w:rFonts w:hint="eastAsia"/>
                <w:lang w:val="en-US" w:eastAsia="zh-CN"/>
              </w:rPr>
              <w:t>055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生活垃圾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办公</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废纸等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2.14</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餐厨垃圾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动植物残渣</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2.14</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由专门公司进行收集处理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restart"/>
            <w:noWrap w:val="0"/>
            <w:vAlign w:val="center"/>
          </w:tcPr>
          <w:p>
            <w:pPr>
              <w:pStyle w:val="28"/>
              <w:suppressLineNumbers w:val="0"/>
              <w:bidi w:val="0"/>
              <w:spacing w:before="0" w:after="0"/>
              <w:ind w:left="0" w:right="0"/>
              <w:rPr>
                <w:rFonts w:hint="eastAsia"/>
                <w:lang w:eastAsia="zh-CN"/>
              </w:rPr>
            </w:pPr>
            <w:r>
              <w:rPr>
                <w:rFonts w:hint="eastAsia"/>
                <w:lang w:eastAsia="zh-CN"/>
              </w:rPr>
              <w:t>一期、二期</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电煅炉布袋除尘器除尘下灰</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电煅</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eastAsia="zh-CN"/>
              </w:rPr>
              <w:t>煅后焦、新型增碳剂</w:t>
            </w:r>
            <w:r>
              <w:rPr>
                <w:rFonts w:hint="eastAsia"/>
              </w:rPr>
              <w:t>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368.32</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废原料包装袋</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原料包装</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包装织物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废树脂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自来水净化</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离子交换树脂、杂质等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脱硫石膏</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废气净化</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硫酸钙、氢氧化钙、水等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1285.17</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作建材外售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化验室废液</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0.4</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废试剂瓶</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危险废物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实验</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0.4</w:t>
            </w:r>
          </w:p>
        </w:tc>
        <w:tc>
          <w:tcPr>
            <w:tcW w:w="0" w:type="auto"/>
            <w:noWrap w:val="0"/>
            <w:vAlign w:val="center"/>
          </w:tcPr>
          <w:p>
            <w:pPr>
              <w:pStyle w:val="28"/>
              <w:suppressLineNumbers w:val="0"/>
              <w:bidi w:val="0"/>
              <w:spacing w:before="0" w:after="0"/>
              <w:ind w:left="0" w:right="0"/>
              <w:rPr>
                <w:lang w:val="en-US" w:eastAsia="zh-CN"/>
              </w:rPr>
            </w:pPr>
            <w:r>
              <w:rPr>
                <w:rFonts w:hint="eastAsia"/>
                <w:lang w:eastAsia="zh-CN"/>
              </w:rPr>
              <w:t>委托资质单位处理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隔油池废油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食堂废水隔油</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动植物油</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0.0165</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委托处理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生活垃圾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办公</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废纸等</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环卫托运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vMerge w:val="continue"/>
            <w:noWrap w:val="0"/>
            <w:vAlign w:val="center"/>
          </w:tcPr>
          <w:p>
            <w:pPr>
              <w:pStyle w:val="28"/>
              <w:suppressLineNumbers w:val="0"/>
              <w:bidi w:val="0"/>
              <w:spacing w:before="0" w:after="0"/>
              <w:ind w:left="0" w:right="0"/>
              <w:outlineLvl w:val="9"/>
            </w:pP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餐厨垃圾</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eastAsia="zh-CN"/>
              </w:rPr>
              <w:t>一般废物</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食堂</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动植物残渣</w:t>
            </w:r>
          </w:p>
        </w:tc>
        <w:tc>
          <w:tcPr>
            <w:tcW w:w="0" w:type="auto"/>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6.6</w:t>
            </w:r>
          </w:p>
        </w:tc>
        <w:tc>
          <w:tcPr>
            <w:tcW w:w="0" w:type="auto"/>
            <w:noWrap w:val="0"/>
            <w:vAlign w:val="center"/>
          </w:tcPr>
          <w:p>
            <w:pPr>
              <w:pStyle w:val="28"/>
              <w:suppressLineNumbers w:val="0"/>
              <w:bidi w:val="0"/>
              <w:spacing w:before="0" w:after="0"/>
              <w:ind w:left="0" w:right="0"/>
              <w:rPr>
                <w:rFonts w:hint="eastAsia"/>
                <w:lang w:val="en-US" w:eastAsia="zh-CN"/>
              </w:rPr>
            </w:pPr>
            <w:r>
              <w:rPr>
                <w:rFonts w:hint="eastAsia"/>
              </w:rPr>
              <w:t>由专门公司进行收集处理</w:t>
            </w:r>
          </w:p>
        </w:tc>
      </w:tr>
    </w:tbl>
    <w:p>
      <w:pPr>
        <w:bidi w:val="0"/>
      </w:pPr>
      <w:r>
        <w:t>（2）总量指标</w:t>
      </w:r>
    </w:p>
    <w:p>
      <w:pPr>
        <w:bidi w:val="0"/>
      </w:pPr>
      <w:r>
        <w:t>项目污染物总量控制指标见表</w:t>
      </w:r>
      <w:r>
        <w:rPr>
          <w:rFonts w:hint="eastAsia"/>
          <w:lang w:val="en-US" w:eastAsia="zh-CN"/>
        </w:rPr>
        <w:t>8.2</w:t>
      </w:r>
      <w:r>
        <w:t>.4-</w:t>
      </w:r>
      <w:r>
        <w:rPr>
          <w:rFonts w:hint="eastAsia"/>
          <w:lang w:val="en-US" w:eastAsia="zh-CN"/>
        </w:rPr>
        <w:t>5</w:t>
      </w:r>
      <w:r>
        <w:t>。</w:t>
      </w:r>
    </w:p>
    <w:p>
      <w:pPr>
        <w:pStyle w:val="27"/>
        <w:bidi w:val="0"/>
      </w:pPr>
      <w:r>
        <w:t>表</w:t>
      </w:r>
      <w:r>
        <w:rPr>
          <w:rFonts w:hint="eastAsia"/>
          <w:lang w:val="en-US" w:eastAsia="zh-CN"/>
        </w:rPr>
        <w:t>8.2</w:t>
      </w:r>
      <w:r>
        <w:t>.4-</w:t>
      </w:r>
      <w:r>
        <w:rPr>
          <w:rFonts w:hint="eastAsia"/>
          <w:lang w:val="en-US" w:eastAsia="zh-CN"/>
        </w:rPr>
        <w:t>5</w:t>
      </w:r>
      <w:r>
        <w:t xml:space="preserve"> 项目废气污染物产生及排放情况表（t/a）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30"/>
        <w:gridCol w:w="1777"/>
        <w:gridCol w:w="1487"/>
        <w:gridCol w:w="1432"/>
        <w:gridCol w:w="1207"/>
        <w:gridCol w:w="1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noWrap w:val="0"/>
            <w:vAlign w:val="center"/>
          </w:tcPr>
          <w:p>
            <w:pPr>
              <w:pStyle w:val="28"/>
              <w:suppressLineNumbers w:val="0"/>
              <w:bidi w:val="0"/>
              <w:spacing w:before="0" w:after="0"/>
              <w:ind w:left="0" w:right="0"/>
            </w:pPr>
            <w:r>
              <w:t>分期</w:t>
            </w:r>
          </w:p>
        </w:tc>
        <w:tc>
          <w:tcPr>
            <w:tcW w:w="1330" w:type="dxa"/>
            <w:vMerge w:val="restart"/>
            <w:noWrap w:val="0"/>
            <w:vAlign w:val="center"/>
          </w:tcPr>
          <w:p>
            <w:pPr>
              <w:pStyle w:val="28"/>
              <w:suppressLineNumbers w:val="0"/>
              <w:bidi w:val="0"/>
              <w:spacing w:before="0" w:after="0"/>
              <w:ind w:left="0" w:right="0"/>
            </w:pPr>
            <w:r>
              <w:t>种类</w:t>
            </w:r>
          </w:p>
        </w:tc>
        <w:tc>
          <w:tcPr>
            <w:tcW w:w="1777" w:type="dxa"/>
            <w:vMerge w:val="restart"/>
            <w:noWrap w:val="0"/>
            <w:vAlign w:val="center"/>
          </w:tcPr>
          <w:p>
            <w:pPr>
              <w:pStyle w:val="28"/>
              <w:suppressLineNumbers w:val="0"/>
              <w:bidi w:val="0"/>
              <w:spacing w:before="0" w:after="0"/>
              <w:ind w:left="0" w:right="0"/>
            </w:pPr>
            <w:r>
              <w:t>污染物名称</w:t>
            </w:r>
          </w:p>
        </w:tc>
        <w:tc>
          <w:tcPr>
            <w:tcW w:w="1487" w:type="dxa"/>
            <w:vMerge w:val="restart"/>
            <w:noWrap w:val="0"/>
            <w:vAlign w:val="center"/>
          </w:tcPr>
          <w:p>
            <w:pPr>
              <w:pStyle w:val="28"/>
              <w:suppressLineNumbers w:val="0"/>
              <w:bidi w:val="0"/>
              <w:spacing w:before="0" w:after="0"/>
              <w:ind w:left="0" w:right="0"/>
            </w:pPr>
            <w:r>
              <w:t>产生量</w:t>
            </w:r>
          </w:p>
        </w:tc>
        <w:tc>
          <w:tcPr>
            <w:tcW w:w="1432" w:type="dxa"/>
            <w:vMerge w:val="restart"/>
            <w:noWrap w:val="0"/>
            <w:vAlign w:val="center"/>
          </w:tcPr>
          <w:p>
            <w:pPr>
              <w:pStyle w:val="28"/>
              <w:suppressLineNumbers w:val="0"/>
              <w:bidi w:val="0"/>
              <w:spacing w:before="0" w:after="0"/>
              <w:ind w:left="0" w:right="0"/>
            </w:pPr>
            <w:r>
              <w:t>自身削减量</w:t>
            </w:r>
          </w:p>
        </w:tc>
        <w:tc>
          <w:tcPr>
            <w:tcW w:w="2477" w:type="dxa"/>
            <w:gridSpan w:val="3"/>
            <w:noWrap w:val="0"/>
            <w:vAlign w:val="center"/>
          </w:tcPr>
          <w:p>
            <w:pPr>
              <w:pStyle w:val="28"/>
              <w:suppressLineNumbers w:val="0"/>
              <w:bidi w:val="0"/>
              <w:spacing w:before="0" w:after="0"/>
              <w:ind w:left="0" w:right="0"/>
            </w:pPr>
            <w: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vMerge w:val="continue"/>
            <w:noWrap w:val="0"/>
            <w:vAlign w:val="center"/>
          </w:tcPr>
          <w:p>
            <w:pPr>
              <w:pStyle w:val="28"/>
              <w:suppressLineNumbers w:val="0"/>
              <w:bidi w:val="0"/>
              <w:spacing w:before="0" w:after="0"/>
              <w:ind w:left="0" w:right="0"/>
              <w:outlineLvl w:val="9"/>
            </w:pPr>
          </w:p>
        </w:tc>
        <w:tc>
          <w:tcPr>
            <w:tcW w:w="1487" w:type="dxa"/>
            <w:vMerge w:val="continue"/>
            <w:noWrap w:val="0"/>
            <w:vAlign w:val="center"/>
          </w:tcPr>
          <w:p>
            <w:pPr>
              <w:pStyle w:val="28"/>
              <w:suppressLineNumbers w:val="0"/>
              <w:bidi w:val="0"/>
              <w:spacing w:before="0" w:after="0"/>
              <w:ind w:left="0" w:right="0"/>
              <w:outlineLvl w:val="9"/>
            </w:pPr>
          </w:p>
        </w:tc>
        <w:tc>
          <w:tcPr>
            <w:tcW w:w="1432" w:type="dxa"/>
            <w:vMerge w:val="continue"/>
            <w:noWrap w:val="0"/>
            <w:vAlign w:val="center"/>
          </w:tcPr>
          <w:p>
            <w:pPr>
              <w:pStyle w:val="28"/>
              <w:suppressLineNumbers w:val="0"/>
              <w:bidi w:val="0"/>
              <w:spacing w:before="0" w:after="0"/>
              <w:ind w:left="0" w:right="0"/>
              <w:outlineLvl w:val="9"/>
            </w:pPr>
          </w:p>
        </w:tc>
        <w:tc>
          <w:tcPr>
            <w:tcW w:w="1207" w:type="dxa"/>
            <w:noWrap w:val="0"/>
            <w:vAlign w:val="center"/>
          </w:tcPr>
          <w:p>
            <w:pPr>
              <w:pStyle w:val="28"/>
              <w:suppressLineNumbers w:val="0"/>
              <w:bidi w:val="0"/>
              <w:spacing w:before="0" w:after="0"/>
              <w:ind w:left="0" w:right="0"/>
            </w:pPr>
            <w:r>
              <w:t>接管量</w:t>
            </w:r>
          </w:p>
        </w:tc>
        <w:tc>
          <w:tcPr>
            <w:tcW w:w="1270" w:type="dxa"/>
            <w:gridSpan w:val="2"/>
            <w:noWrap w:val="0"/>
            <w:vAlign w:val="center"/>
          </w:tcPr>
          <w:p>
            <w:pPr>
              <w:pStyle w:val="28"/>
              <w:suppressLineNumbers w:val="0"/>
              <w:bidi w:val="0"/>
              <w:spacing w:before="0" w:after="0"/>
              <w:ind w:left="0" w:right="0"/>
            </w:pPr>
            <w:r>
              <w:t>最终排放量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noWrap w:val="0"/>
            <w:vAlign w:val="center"/>
          </w:tcPr>
          <w:p>
            <w:pPr>
              <w:pStyle w:val="28"/>
              <w:suppressLineNumbers w:val="0"/>
              <w:bidi w:val="0"/>
              <w:spacing w:before="0" w:after="0"/>
              <w:ind w:left="0" w:right="0"/>
            </w:pPr>
            <w:r>
              <w:t>一期</w:t>
            </w:r>
          </w:p>
        </w:tc>
        <w:tc>
          <w:tcPr>
            <w:tcW w:w="1330" w:type="dxa"/>
            <w:vMerge w:val="restart"/>
            <w:noWrap w:val="0"/>
            <w:vAlign w:val="center"/>
          </w:tcPr>
          <w:p>
            <w:pPr>
              <w:pStyle w:val="28"/>
              <w:suppressLineNumbers w:val="0"/>
              <w:bidi w:val="0"/>
              <w:spacing w:before="0" w:after="0"/>
              <w:ind w:left="0" w:right="0"/>
            </w:pPr>
            <w:r>
              <w:t>废水</w:t>
            </w:r>
          </w:p>
        </w:tc>
        <w:tc>
          <w:tcPr>
            <w:tcW w:w="1777" w:type="dxa"/>
            <w:noWrap w:val="0"/>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污水量（m3/a）</w:t>
            </w:r>
          </w:p>
        </w:tc>
        <w:tc>
          <w:tcPr>
            <w:tcW w:w="1487"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1104.84</w:t>
            </w:r>
          </w:p>
        </w:tc>
        <w:tc>
          <w:tcPr>
            <w:tcW w:w="1432"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0</w:t>
            </w:r>
          </w:p>
        </w:tc>
        <w:tc>
          <w:tcPr>
            <w:tcW w:w="2477" w:type="dxa"/>
            <w:gridSpan w:val="3"/>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1104.84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default"/>
                <w:lang w:val="en-US" w:eastAsia="zh-CN"/>
              </w:rPr>
              <w:t>COD</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0.4419</w:t>
            </w:r>
          </w:p>
        </w:tc>
        <w:tc>
          <w:tcPr>
            <w:tcW w:w="1432"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0.4419</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SS</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0.3315</w:t>
            </w:r>
          </w:p>
        </w:tc>
        <w:tc>
          <w:tcPr>
            <w:tcW w:w="1432"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0.3315</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氨氮</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0.038</w:t>
            </w:r>
          </w:p>
        </w:tc>
        <w:tc>
          <w:tcPr>
            <w:tcW w:w="1432"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0.038</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总氮</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0.0538</w:t>
            </w:r>
          </w:p>
        </w:tc>
        <w:tc>
          <w:tcPr>
            <w:tcW w:w="1432"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0.0538</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总磷</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0.0088</w:t>
            </w:r>
          </w:p>
        </w:tc>
        <w:tc>
          <w:tcPr>
            <w:tcW w:w="1432" w:type="dxa"/>
            <w:noWrap w:val="0"/>
            <w:vAlign w:val="center"/>
          </w:tcPr>
          <w:p>
            <w:pPr>
              <w:pStyle w:val="28"/>
              <w:suppressLineNumbers w:val="0"/>
              <w:bidi w:val="0"/>
              <w:spacing w:before="0" w:after="0"/>
              <w:ind w:left="0" w:right="0"/>
              <w:rPr>
                <w:rFonts w:hint="eastAsia" w:eastAsia="宋体"/>
                <w:lang w:val="en-US" w:eastAsia="zh-CN"/>
              </w:rPr>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0.0088</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动植物油</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default"/>
                <w:lang w:val="en-US" w:eastAsia="zh-CN"/>
              </w:rPr>
              <w:t>0.0143</w:t>
            </w:r>
          </w:p>
        </w:tc>
        <w:tc>
          <w:tcPr>
            <w:tcW w:w="1432"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0.0114</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0.0029</w:t>
            </w:r>
          </w:p>
        </w:tc>
        <w:tc>
          <w:tcPr>
            <w:tcW w:w="1270" w:type="dxa"/>
            <w:gridSpan w:val="2"/>
            <w:noWrap w:val="0"/>
            <w:vAlign w:val="center"/>
          </w:tcPr>
          <w:p>
            <w:pPr>
              <w:pStyle w:val="28"/>
              <w:suppressLineNumbers w:val="0"/>
              <w:bidi w:val="0"/>
              <w:spacing w:before="0" w:after="0"/>
              <w:ind w:left="0" w:right="0"/>
            </w:pPr>
            <w:r>
              <w:rPr>
                <w:rFonts w:hint="default"/>
                <w:lang w:val="en-US" w:eastAsia="zh-CN"/>
              </w:rPr>
              <w:t>0.000</w:t>
            </w: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restart"/>
            <w:noWrap w:val="0"/>
            <w:vAlign w:val="center"/>
          </w:tcPr>
          <w:p>
            <w:pPr>
              <w:pStyle w:val="28"/>
              <w:suppressLineNumbers w:val="0"/>
              <w:bidi w:val="0"/>
              <w:spacing w:before="0" w:after="0"/>
              <w:ind w:left="0" w:right="0"/>
            </w:pPr>
            <w:r>
              <w:t>有组织废气</w:t>
            </w: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颗粒物</w:t>
            </w:r>
          </w:p>
        </w:tc>
        <w:tc>
          <w:tcPr>
            <w:tcW w:w="1487" w:type="dxa"/>
            <w:noWrap w:val="0"/>
            <w:vAlign w:val="center"/>
          </w:tcPr>
          <w:p>
            <w:pPr>
              <w:pStyle w:val="28"/>
              <w:suppressLineNumbers w:val="0"/>
              <w:bidi w:val="0"/>
              <w:spacing w:before="0" w:after="0"/>
              <w:ind w:left="0" w:right="0"/>
            </w:pPr>
            <w:r>
              <w:rPr>
                <w:rFonts w:hint="eastAsia"/>
                <w:lang w:val="en-US" w:eastAsia="zh-CN"/>
              </w:rPr>
              <w:t>330</w:t>
            </w:r>
          </w:p>
        </w:tc>
        <w:tc>
          <w:tcPr>
            <w:tcW w:w="1432" w:type="dxa"/>
            <w:noWrap w:val="0"/>
            <w:vAlign w:val="center"/>
          </w:tcPr>
          <w:p>
            <w:pPr>
              <w:pStyle w:val="28"/>
              <w:suppressLineNumbers w:val="0"/>
              <w:bidi w:val="0"/>
              <w:spacing w:before="0" w:after="0"/>
              <w:ind w:left="0" w:right="0"/>
            </w:pPr>
            <w:r>
              <w:rPr>
                <w:rFonts w:hint="default"/>
                <w:lang w:val="en-US" w:eastAsia="zh-CN"/>
              </w:rPr>
              <w:t>328.43</w:t>
            </w:r>
          </w:p>
        </w:tc>
        <w:tc>
          <w:tcPr>
            <w:tcW w:w="2477" w:type="dxa"/>
            <w:gridSpan w:val="3"/>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1487" w:type="dxa"/>
            <w:noWrap w:val="0"/>
            <w:vAlign w:val="center"/>
          </w:tcPr>
          <w:p>
            <w:pPr>
              <w:pStyle w:val="28"/>
              <w:suppressLineNumbers w:val="0"/>
              <w:bidi w:val="0"/>
              <w:spacing w:before="0" w:after="0"/>
              <w:ind w:left="0" w:right="0"/>
            </w:pPr>
            <w:r>
              <w:rPr>
                <w:rFonts w:hint="eastAsia"/>
                <w:lang w:val="en-US" w:eastAsia="zh-CN"/>
              </w:rPr>
              <w:t>252.57</w:t>
            </w:r>
          </w:p>
        </w:tc>
        <w:tc>
          <w:tcPr>
            <w:tcW w:w="1432" w:type="dxa"/>
            <w:noWrap w:val="0"/>
            <w:vAlign w:val="center"/>
          </w:tcPr>
          <w:p>
            <w:pPr>
              <w:pStyle w:val="28"/>
              <w:suppressLineNumbers w:val="0"/>
              <w:bidi w:val="0"/>
              <w:spacing w:before="0" w:after="0"/>
              <w:ind w:left="0" w:right="0"/>
            </w:pPr>
            <w:r>
              <w:rPr>
                <w:rFonts w:hint="default"/>
                <w:lang w:val="en-US" w:eastAsia="zh-CN"/>
              </w:rPr>
              <w:t>236.57</w:t>
            </w:r>
          </w:p>
        </w:tc>
        <w:tc>
          <w:tcPr>
            <w:tcW w:w="2477" w:type="dxa"/>
            <w:gridSpan w:val="3"/>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NOx</w:t>
            </w:r>
          </w:p>
        </w:tc>
        <w:tc>
          <w:tcPr>
            <w:tcW w:w="1487" w:type="dxa"/>
            <w:noWrap w:val="0"/>
            <w:vAlign w:val="center"/>
          </w:tcPr>
          <w:p>
            <w:pPr>
              <w:pStyle w:val="28"/>
              <w:suppressLineNumbers w:val="0"/>
              <w:bidi w:val="0"/>
              <w:spacing w:before="0" w:after="0"/>
              <w:ind w:left="0" w:right="0"/>
            </w:pPr>
            <w:r>
              <w:rPr>
                <w:rFonts w:hint="eastAsia"/>
                <w:lang w:val="en-US" w:eastAsia="zh-CN"/>
              </w:rPr>
              <w:t>15</w:t>
            </w:r>
          </w:p>
        </w:tc>
        <w:tc>
          <w:tcPr>
            <w:tcW w:w="1432" w:type="dxa"/>
            <w:noWrap w:val="0"/>
            <w:vAlign w:val="center"/>
          </w:tcPr>
          <w:p>
            <w:pPr>
              <w:pStyle w:val="28"/>
              <w:suppressLineNumbers w:val="0"/>
              <w:bidi w:val="0"/>
              <w:spacing w:before="0" w:after="0"/>
              <w:ind w:left="0" w:right="0"/>
            </w:pPr>
            <w:r>
              <w:rPr>
                <w:rFonts w:hint="default"/>
                <w:lang w:val="en-US" w:eastAsia="zh-CN"/>
              </w:rPr>
              <w:t>0</w:t>
            </w:r>
          </w:p>
        </w:tc>
        <w:tc>
          <w:tcPr>
            <w:tcW w:w="2477" w:type="dxa"/>
            <w:gridSpan w:val="3"/>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noWrap w:val="0"/>
            <w:vAlign w:val="center"/>
          </w:tcPr>
          <w:p>
            <w:pPr>
              <w:pStyle w:val="28"/>
              <w:suppressLineNumbers w:val="0"/>
              <w:bidi w:val="0"/>
              <w:spacing w:before="0" w:after="0"/>
              <w:ind w:left="0" w:right="0"/>
            </w:pPr>
            <w:r>
              <w:rPr>
                <w:rFonts w:hint="eastAsia"/>
                <w:lang w:eastAsia="zh-CN"/>
              </w:rPr>
              <w:t>无</w:t>
            </w:r>
            <w:r>
              <w:rPr>
                <w:rFonts w:hint="eastAsia"/>
              </w:rPr>
              <w:t>组织废气</w:t>
            </w:r>
          </w:p>
        </w:tc>
        <w:tc>
          <w:tcPr>
            <w:tcW w:w="1777" w:type="dxa"/>
            <w:noWrap w:val="0"/>
            <w:vAlign w:val="center"/>
          </w:tcPr>
          <w:p>
            <w:pPr>
              <w:pStyle w:val="28"/>
              <w:suppressLineNumbers w:val="0"/>
              <w:bidi w:val="0"/>
              <w:spacing w:before="0" w:after="0"/>
              <w:ind w:left="0" w:right="0"/>
            </w:pPr>
            <w:r>
              <w:rPr>
                <w:rFonts w:hint="eastAsia"/>
              </w:rPr>
              <w:t>粉尘</w:t>
            </w:r>
          </w:p>
        </w:tc>
        <w:tc>
          <w:tcPr>
            <w:tcW w:w="1487" w:type="dxa"/>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5.00</w:t>
            </w:r>
          </w:p>
        </w:tc>
        <w:tc>
          <w:tcPr>
            <w:tcW w:w="1432"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4.00</w:t>
            </w:r>
          </w:p>
        </w:tc>
        <w:tc>
          <w:tcPr>
            <w:tcW w:w="2477" w:type="dxa"/>
            <w:gridSpan w:val="3"/>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noWrap w:val="0"/>
            <w:vAlign w:val="center"/>
          </w:tcPr>
          <w:p>
            <w:pPr>
              <w:pStyle w:val="28"/>
              <w:suppressLineNumbers w:val="0"/>
              <w:bidi w:val="0"/>
              <w:spacing w:before="0" w:after="0"/>
              <w:ind w:left="0" w:right="0" w:firstLine="0" w:firstLineChars="0"/>
            </w:pPr>
            <w:r>
              <w:rPr>
                <w:rFonts w:hint="eastAsia"/>
                <w:lang w:eastAsia="zh-CN"/>
              </w:rPr>
              <w:t>二</w:t>
            </w:r>
            <w:r>
              <w:t>期</w:t>
            </w:r>
          </w:p>
        </w:tc>
        <w:tc>
          <w:tcPr>
            <w:tcW w:w="1330" w:type="dxa"/>
            <w:vMerge w:val="restart"/>
            <w:noWrap w:val="0"/>
            <w:vAlign w:val="center"/>
          </w:tcPr>
          <w:p>
            <w:pPr>
              <w:pStyle w:val="28"/>
              <w:suppressLineNumbers w:val="0"/>
              <w:bidi w:val="0"/>
              <w:spacing w:before="0" w:after="0"/>
              <w:ind w:left="0" w:right="0" w:firstLine="0" w:firstLineChars="0"/>
              <w:rPr>
                <w:rFonts w:hint="eastAsia"/>
                <w:lang w:eastAsia="zh-CN"/>
              </w:rPr>
            </w:pPr>
            <w:r>
              <w:t>废水</w:t>
            </w:r>
          </w:p>
        </w:tc>
        <w:tc>
          <w:tcPr>
            <w:tcW w:w="1777"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污水量（m</w:t>
            </w:r>
            <w:r>
              <w:rPr>
                <w:rFonts w:hint="eastAsia"/>
                <w:vertAlign w:val="superscript"/>
                <w:lang w:val="en-US" w:eastAsia="zh-CN"/>
              </w:rPr>
              <w:t>3</w:t>
            </w:r>
            <w:r>
              <w:rPr>
                <w:rFonts w:hint="eastAsia"/>
                <w:lang w:val="en-US" w:eastAsia="zh-CN"/>
              </w:rPr>
              <w:t>/a）</w:t>
            </w:r>
          </w:p>
        </w:tc>
        <w:tc>
          <w:tcPr>
            <w:tcW w:w="1487"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531.96</w:t>
            </w:r>
          </w:p>
        </w:tc>
        <w:tc>
          <w:tcPr>
            <w:tcW w:w="1432"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w:t>
            </w:r>
          </w:p>
        </w:tc>
        <w:tc>
          <w:tcPr>
            <w:tcW w:w="2477" w:type="dxa"/>
            <w:gridSpan w:val="3"/>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531.96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default"/>
                <w:lang w:val="en-US" w:eastAsia="zh-CN"/>
              </w:rPr>
              <w:t>COD</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0.2128</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0.2128</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 xml:space="preserve">0.0319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lang w:val="en-US" w:eastAsia="zh-CN"/>
              </w:rPr>
              <w:t>SS</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0.1596</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0.1596</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 xml:space="preserve">0.0106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lang w:val="en-US" w:eastAsia="zh-CN"/>
              </w:rPr>
              <w:t>氨氮</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0.0183</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0.0183</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 xml:space="preserve">0.0043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lang w:val="en-US" w:eastAsia="zh-CN"/>
              </w:rPr>
              <w:t>总氮</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0.0259</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0.0259</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 xml:space="preserve">0.0106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lang w:val="en-US" w:eastAsia="zh-CN"/>
              </w:rPr>
              <w:t>总磷</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0.0042</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0</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0.0042</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 xml:space="preserve">0.0005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lang w:val="en-US" w:eastAsia="zh-CN"/>
              </w:rPr>
              <w:t>动植物油</w:t>
            </w:r>
          </w:p>
        </w:tc>
        <w:tc>
          <w:tcPr>
            <w:tcW w:w="1487" w:type="dxa"/>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default"/>
                <w:lang w:val="en-US" w:eastAsia="zh-CN"/>
              </w:rPr>
              <w:t>0.0069</w:t>
            </w:r>
          </w:p>
        </w:tc>
        <w:tc>
          <w:tcPr>
            <w:tcW w:w="1432" w:type="dxa"/>
            <w:noWrap w:val="0"/>
            <w:vAlign w:val="center"/>
          </w:tcPr>
          <w:p>
            <w:pPr>
              <w:pStyle w:val="28"/>
              <w:suppressLineNumbers w:val="0"/>
              <w:bidi w:val="0"/>
              <w:spacing w:before="0" w:after="0"/>
              <w:ind w:left="0" w:right="0" w:firstLine="0" w:firstLineChars="0"/>
              <w:rPr>
                <w:rFonts w:hint="default"/>
                <w:lang w:val="en-US" w:eastAsia="zh-CN"/>
              </w:rPr>
            </w:pPr>
            <w:r>
              <w:rPr>
                <w:rFonts w:hint="eastAsia"/>
                <w:lang w:val="en-US" w:eastAsia="zh-CN"/>
              </w:rPr>
              <w:t>0.0055</w:t>
            </w:r>
          </w:p>
        </w:tc>
        <w:tc>
          <w:tcPr>
            <w:tcW w:w="1218" w:type="dxa"/>
            <w:gridSpan w:val="2"/>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val="en-US" w:eastAsia="zh-CN"/>
              </w:rPr>
              <w:t>0.0014</w:t>
            </w:r>
          </w:p>
        </w:tc>
        <w:tc>
          <w:tcPr>
            <w:tcW w:w="1259"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default"/>
                <w:lang w:val="en-US" w:eastAsia="zh-CN"/>
              </w:rPr>
              <w:t>0.00</w:t>
            </w:r>
            <w:r>
              <w:rPr>
                <w:rFonts w:hint="eastAsia"/>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restart"/>
            <w:noWrap w:val="0"/>
            <w:vAlign w:val="center"/>
          </w:tcPr>
          <w:p>
            <w:pPr>
              <w:pStyle w:val="28"/>
              <w:suppressLineNumbers w:val="0"/>
              <w:bidi w:val="0"/>
              <w:spacing w:before="0" w:after="0"/>
              <w:ind w:left="0" w:right="0" w:firstLine="0" w:firstLineChars="0"/>
              <w:rPr>
                <w:rFonts w:hint="eastAsia"/>
                <w:lang w:eastAsia="zh-CN"/>
              </w:rPr>
            </w:pPr>
            <w:r>
              <w:t>有组织废气</w:t>
            </w:r>
          </w:p>
        </w:tc>
        <w:tc>
          <w:tcPr>
            <w:tcW w:w="1777" w:type="dxa"/>
            <w:noWrap w:val="0"/>
            <w:vAlign w:val="center"/>
          </w:tcPr>
          <w:p>
            <w:pPr>
              <w:pStyle w:val="28"/>
              <w:suppressLineNumbers w:val="0"/>
              <w:bidi w:val="0"/>
              <w:spacing w:before="0" w:after="0"/>
              <w:ind w:left="0" w:leftChars="0" w:right="0" w:rightChars="0" w:firstLine="0" w:firstLineChars="0"/>
              <w:rPr>
                <w:rFonts w:hint="eastAsia"/>
              </w:rPr>
            </w:pPr>
            <w:r>
              <w:rPr>
                <w:rFonts w:hint="eastAsia"/>
                <w:lang w:val="en-US" w:eastAsia="zh-CN"/>
              </w:rPr>
              <w:t>颗粒物</w:t>
            </w:r>
          </w:p>
        </w:tc>
        <w:tc>
          <w:tcPr>
            <w:tcW w:w="1487"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330</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default"/>
                <w:lang w:val="en-US" w:eastAsia="zh-CN"/>
              </w:rPr>
              <w:t>328.43</w:t>
            </w:r>
          </w:p>
        </w:tc>
        <w:tc>
          <w:tcPr>
            <w:tcW w:w="2477" w:type="dxa"/>
            <w:gridSpan w:val="3"/>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 xml:space="preserve">1.57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leftChars="0" w:right="0" w:rightChars="0" w:firstLine="0" w:firstLineChars="0"/>
              <w:rPr>
                <w:rFonts w:hint="eastAsia"/>
              </w:rPr>
            </w:pPr>
            <w:r>
              <w:rPr>
                <w:rFonts w:hint="eastAsia"/>
                <w:lang w:val="en-US" w:eastAsia="zh-CN"/>
              </w:rPr>
              <w:t>SO</w:t>
            </w:r>
            <w:r>
              <w:rPr>
                <w:rFonts w:hint="eastAsia"/>
                <w:vertAlign w:val="subscript"/>
                <w:lang w:val="en-US" w:eastAsia="zh-CN"/>
              </w:rPr>
              <w:t>2</w:t>
            </w:r>
          </w:p>
        </w:tc>
        <w:tc>
          <w:tcPr>
            <w:tcW w:w="1487"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252.57</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default"/>
                <w:lang w:val="en-US" w:eastAsia="zh-CN"/>
              </w:rPr>
              <w:t>236.57</w:t>
            </w:r>
          </w:p>
        </w:tc>
        <w:tc>
          <w:tcPr>
            <w:tcW w:w="2477" w:type="dxa"/>
            <w:gridSpan w:val="3"/>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 xml:space="preserve">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vMerge w:val="continue"/>
            <w:noWrap w:val="0"/>
            <w:vAlign w:val="center"/>
          </w:tcPr>
          <w:p>
            <w:pPr>
              <w:pStyle w:val="28"/>
              <w:suppressLineNumbers w:val="0"/>
              <w:bidi w:val="0"/>
              <w:spacing w:before="0" w:after="0"/>
              <w:ind w:left="0" w:right="0" w:firstLine="0" w:firstLineChars="0"/>
              <w:outlineLvl w:val="9"/>
              <w:rPr>
                <w:rFonts w:hint="eastAsia"/>
                <w:lang w:eastAsia="zh-CN"/>
              </w:rPr>
            </w:pPr>
          </w:p>
        </w:tc>
        <w:tc>
          <w:tcPr>
            <w:tcW w:w="1777" w:type="dxa"/>
            <w:noWrap w:val="0"/>
            <w:vAlign w:val="center"/>
          </w:tcPr>
          <w:p>
            <w:pPr>
              <w:pStyle w:val="28"/>
              <w:suppressLineNumbers w:val="0"/>
              <w:bidi w:val="0"/>
              <w:spacing w:before="0" w:after="0"/>
              <w:ind w:left="0" w:leftChars="0" w:right="0" w:rightChars="0" w:firstLine="0" w:firstLineChars="0"/>
              <w:rPr>
                <w:rFonts w:hint="eastAsia"/>
              </w:rPr>
            </w:pPr>
            <w:r>
              <w:rPr>
                <w:rFonts w:hint="eastAsia"/>
                <w:lang w:val="en-US" w:eastAsia="zh-CN"/>
              </w:rPr>
              <w:t>NOx</w:t>
            </w:r>
          </w:p>
        </w:tc>
        <w:tc>
          <w:tcPr>
            <w:tcW w:w="1487"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15</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default"/>
                <w:lang w:val="en-US" w:eastAsia="zh-CN"/>
              </w:rPr>
              <w:t>0</w:t>
            </w:r>
          </w:p>
        </w:tc>
        <w:tc>
          <w:tcPr>
            <w:tcW w:w="2477" w:type="dxa"/>
            <w:gridSpan w:val="3"/>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firstLine="0" w:firstLineChars="0"/>
              <w:outlineLvl w:val="9"/>
            </w:pPr>
          </w:p>
        </w:tc>
        <w:tc>
          <w:tcPr>
            <w:tcW w:w="1330" w:type="dxa"/>
            <w:noWrap w:val="0"/>
            <w:vAlign w:val="center"/>
          </w:tcPr>
          <w:p>
            <w:pPr>
              <w:pStyle w:val="28"/>
              <w:suppressLineNumbers w:val="0"/>
              <w:bidi w:val="0"/>
              <w:spacing w:before="0" w:after="0"/>
              <w:ind w:left="0" w:right="0" w:firstLine="0" w:firstLineChars="0"/>
              <w:rPr>
                <w:rFonts w:hint="eastAsia"/>
                <w:lang w:eastAsia="zh-CN"/>
              </w:rPr>
            </w:pPr>
            <w:r>
              <w:rPr>
                <w:rFonts w:hint="eastAsia"/>
                <w:lang w:eastAsia="zh-CN"/>
              </w:rPr>
              <w:t>无</w:t>
            </w:r>
            <w:r>
              <w:rPr>
                <w:rFonts w:hint="eastAsia"/>
              </w:rPr>
              <w:t>组织废气</w:t>
            </w:r>
          </w:p>
        </w:tc>
        <w:tc>
          <w:tcPr>
            <w:tcW w:w="1777" w:type="dxa"/>
            <w:noWrap w:val="0"/>
            <w:vAlign w:val="center"/>
          </w:tcPr>
          <w:p>
            <w:pPr>
              <w:pStyle w:val="28"/>
              <w:suppressLineNumbers w:val="0"/>
              <w:bidi w:val="0"/>
              <w:spacing w:before="0" w:after="0"/>
              <w:ind w:left="0" w:right="0" w:firstLine="0" w:firstLineChars="0"/>
              <w:rPr>
                <w:rFonts w:hint="eastAsia"/>
              </w:rPr>
            </w:pPr>
            <w:r>
              <w:rPr>
                <w:rFonts w:hint="eastAsia"/>
              </w:rPr>
              <w:t>粉尘</w:t>
            </w:r>
          </w:p>
        </w:tc>
        <w:tc>
          <w:tcPr>
            <w:tcW w:w="1487"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5.00</w:t>
            </w:r>
          </w:p>
        </w:tc>
        <w:tc>
          <w:tcPr>
            <w:tcW w:w="1432" w:type="dxa"/>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4.00</w:t>
            </w:r>
          </w:p>
        </w:tc>
        <w:tc>
          <w:tcPr>
            <w:tcW w:w="2477" w:type="dxa"/>
            <w:gridSpan w:val="3"/>
            <w:noWrap w:val="0"/>
            <w:vAlign w:val="center"/>
          </w:tcPr>
          <w:p>
            <w:pPr>
              <w:pStyle w:val="28"/>
              <w:suppressLineNumbers w:val="0"/>
              <w:bidi w:val="0"/>
              <w:spacing w:before="0" w:after="0"/>
              <w:ind w:left="0" w:right="0" w:firstLine="0" w:firstLineChars="0"/>
              <w:rPr>
                <w:rFonts w:hint="eastAsia"/>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restart"/>
            <w:noWrap w:val="0"/>
            <w:vAlign w:val="center"/>
          </w:tcPr>
          <w:p>
            <w:pPr>
              <w:pStyle w:val="28"/>
              <w:suppressLineNumbers w:val="0"/>
              <w:bidi w:val="0"/>
              <w:spacing w:before="0" w:after="0"/>
              <w:ind w:left="0" w:right="0"/>
            </w:pPr>
            <w:r>
              <w:t>本项目合计</w:t>
            </w:r>
          </w:p>
        </w:tc>
        <w:tc>
          <w:tcPr>
            <w:tcW w:w="1330" w:type="dxa"/>
            <w:vMerge w:val="restart"/>
            <w:noWrap w:val="0"/>
            <w:vAlign w:val="center"/>
          </w:tcPr>
          <w:p>
            <w:pPr>
              <w:pStyle w:val="28"/>
              <w:suppressLineNumbers w:val="0"/>
              <w:bidi w:val="0"/>
              <w:spacing w:before="0" w:after="0"/>
              <w:ind w:left="0" w:right="0"/>
            </w:pPr>
            <w:r>
              <w:t>废水</w:t>
            </w: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污水量（m</w:t>
            </w:r>
            <w:r>
              <w:rPr>
                <w:rFonts w:hint="eastAsia"/>
                <w:vertAlign w:val="superscript"/>
                <w:lang w:val="en-US" w:eastAsia="zh-CN"/>
              </w:rPr>
              <w:t>3</w:t>
            </w:r>
            <w:r>
              <w:rPr>
                <w:rFonts w:hint="eastAsia"/>
                <w:lang w:val="en-US" w:eastAsia="zh-CN"/>
              </w:rPr>
              <w:t>/a）</w:t>
            </w:r>
          </w:p>
        </w:tc>
        <w:tc>
          <w:tcPr>
            <w:tcW w:w="1487" w:type="dxa"/>
            <w:noWrap w:val="0"/>
            <w:vAlign w:val="center"/>
          </w:tcPr>
          <w:p>
            <w:pPr>
              <w:pStyle w:val="28"/>
              <w:suppressLineNumbers w:val="0"/>
              <w:bidi w:val="0"/>
              <w:spacing w:before="0" w:after="0"/>
              <w:ind w:left="0" w:right="0" w:firstLine="0" w:firstLineChars="0"/>
              <w:rPr>
                <w:rFonts w:hint="default"/>
                <w:lang w:val="en-US"/>
              </w:rPr>
            </w:pPr>
            <w:r>
              <w:rPr>
                <w:rFonts w:hint="eastAsia"/>
                <w:lang w:val="en-US" w:eastAsia="zh-CN"/>
              </w:rPr>
              <w:t>1636.80</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2477" w:type="dxa"/>
            <w:gridSpan w:val="3"/>
            <w:noWrap w:val="0"/>
            <w:vAlign w:val="center"/>
          </w:tcPr>
          <w:p>
            <w:pPr>
              <w:pStyle w:val="28"/>
              <w:suppressLineNumbers w:val="0"/>
              <w:bidi w:val="0"/>
              <w:spacing w:before="0" w:after="0"/>
              <w:ind w:left="0" w:right="0" w:firstLine="0" w:firstLineChars="0"/>
              <w:rPr>
                <w:rFonts w:hint="default"/>
                <w:lang w:val="en-US"/>
              </w:rPr>
            </w:pPr>
            <w:r>
              <w:rPr>
                <w:rFonts w:hint="eastAsia"/>
                <w:lang w:val="en-US" w:eastAsia="zh-CN"/>
              </w:rPr>
              <w:t>1636.80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default"/>
                <w:lang w:val="en-US" w:eastAsia="zh-CN"/>
              </w:rPr>
              <w:t>COD</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0.6547</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0.6547</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0.0982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SS</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0.4911</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0.4911</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0.0327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氨氮</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0.0563</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0.0562</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总氮</w:t>
            </w:r>
          </w:p>
        </w:tc>
        <w:tc>
          <w:tcPr>
            <w:tcW w:w="148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0.0797</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0.0797</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0.0327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总磷</w:t>
            </w:r>
          </w:p>
        </w:tc>
        <w:tc>
          <w:tcPr>
            <w:tcW w:w="1487"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0.0131</w:t>
            </w:r>
          </w:p>
        </w:tc>
        <w:tc>
          <w:tcPr>
            <w:tcW w:w="1432" w:type="dxa"/>
            <w:noWrap w:val="0"/>
            <w:vAlign w:val="center"/>
          </w:tcPr>
          <w:p>
            <w:pPr>
              <w:pStyle w:val="28"/>
              <w:suppressLineNumbers w:val="0"/>
              <w:bidi w:val="0"/>
              <w:spacing w:before="0" w:after="0"/>
              <w:ind w:left="0" w:right="0" w:firstLine="0" w:firstLineChars="0"/>
            </w:pPr>
            <w:r>
              <w:rPr>
                <w:rFonts w:hint="eastAsia"/>
                <w:lang w:val="en-US" w:eastAsia="zh-CN"/>
              </w:rPr>
              <w:t>0</w:t>
            </w:r>
          </w:p>
        </w:tc>
        <w:tc>
          <w:tcPr>
            <w:tcW w:w="1207" w:type="dxa"/>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0.0131</w:t>
            </w:r>
          </w:p>
        </w:tc>
        <w:tc>
          <w:tcPr>
            <w:tcW w:w="1270" w:type="dxa"/>
            <w:gridSpan w:val="2"/>
            <w:noWrap w:val="0"/>
            <w:vAlign w:val="center"/>
          </w:tcPr>
          <w:p>
            <w:pPr>
              <w:pStyle w:val="28"/>
              <w:suppressLineNumbers w:val="0"/>
              <w:bidi w:val="0"/>
              <w:spacing w:before="0" w:after="0"/>
              <w:ind w:left="0" w:right="0"/>
            </w:pPr>
            <w:r>
              <w:rPr>
                <w:rFonts w:hint="default"/>
                <w:lang w:val="en-US" w:eastAsia="zh-CN"/>
              </w:rPr>
              <w:t xml:space="preserve">0.0016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right="0" w:firstLine="0" w:firstLineChars="0"/>
            </w:pPr>
            <w:r>
              <w:rPr>
                <w:rFonts w:hint="eastAsia"/>
                <w:lang w:val="en-US" w:eastAsia="zh-CN"/>
              </w:rPr>
              <w:t>动植物油</w:t>
            </w:r>
          </w:p>
        </w:tc>
        <w:tc>
          <w:tcPr>
            <w:tcW w:w="1487" w:type="dxa"/>
            <w:noWrap w:val="0"/>
            <w:vAlign w:val="center"/>
          </w:tcPr>
          <w:p>
            <w:pPr>
              <w:pStyle w:val="28"/>
              <w:suppressLineNumbers w:val="0"/>
              <w:bidi w:val="0"/>
              <w:spacing w:before="0" w:after="0"/>
              <w:ind w:left="0" w:right="0"/>
              <w:rPr>
                <w:lang w:val="en-US" w:eastAsia="zh-CN"/>
              </w:rPr>
            </w:pPr>
            <w:r>
              <w:rPr>
                <w:rFonts w:hint="eastAsia"/>
                <w:lang w:val="en-US" w:eastAsia="zh-CN"/>
              </w:rPr>
              <w:t>0.0211</w:t>
            </w:r>
          </w:p>
        </w:tc>
        <w:tc>
          <w:tcPr>
            <w:tcW w:w="1432" w:type="dxa"/>
            <w:noWrap w:val="0"/>
            <w:vAlign w:val="center"/>
          </w:tcPr>
          <w:p>
            <w:pPr>
              <w:pStyle w:val="28"/>
              <w:suppressLineNumbers w:val="0"/>
              <w:bidi w:val="0"/>
              <w:spacing w:before="0" w:after="0"/>
              <w:ind w:left="0" w:right="0"/>
            </w:pPr>
            <w:r>
              <w:rPr>
                <w:rFonts w:hint="eastAsia"/>
                <w:lang w:val="en-US" w:eastAsia="zh-CN"/>
              </w:rPr>
              <w:t>0.0169</w:t>
            </w:r>
          </w:p>
        </w:tc>
        <w:tc>
          <w:tcPr>
            <w:tcW w:w="1207" w:type="dxa"/>
            <w:noWrap w:val="0"/>
            <w:vAlign w:val="center"/>
          </w:tcPr>
          <w:p>
            <w:pPr>
              <w:pStyle w:val="28"/>
              <w:suppressLineNumbers w:val="0"/>
              <w:bidi w:val="0"/>
              <w:spacing w:before="0" w:after="0"/>
              <w:ind w:left="0" w:right="0"/>
              <w:rPr>
                <w:lang w:val="en-US" w:eastAsia="zh-CN"/>
              </w:rPr>
            </w:pPr>
            <w:r>
              <w:rPr>
                <w:rFonts w:hint="eastAsia"/>
                <w:lang w:val="en-US" w:eastAsia="zh-CN"/>
              </w:rPr>
              <w:t>0.0042</w:t>
            </w:r>
          </w:p>
        </w:tc>
        <w:tc>
          <w:tcPr>
            <w:tcW w:w="1270" w:type="dxa"/>
            <w:gridSpan w:val="2"/>
            <w:noWrap w:val="0"/>
            <w:vAlign w:val="center"/>
          </w:tcPr>
          <w:p>
            <w:pPr>
              <w:pStyle w:val="28"/>
              <w:suppressLineNumbers w:val="0"/>
              <w:bidi w:val="0"/>
              <w:spacing w:before="0" w:after="0"/>
              <w:ind w:left="0" w:right="0"/>
            </w:pPr>
            <w:r>
              <w:rPr>
                <w:rFonts w:hint="eastAsia"/>
                <w:lang w:val="en-US" w:eastAsia="zh-CN"/>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restart"/>
            <w:noWrap w:val="0"/>
            <w:vAlign w:val="center"/>
          </w:tcPr>
          <w:p>
            <w:pPr>
              <w:pStyle w:val="28"/>
              <w:suppressLineNumbers w:val="0"/>
              <w:bidi w:val="0"/>
              <w:spacing w:before="0" w:after="0"/>
              <w:ind w:left="0" w:right="0"/>
            </w:pPr>
            <w:r>
              <w:t>有组织废气</w:t>
            </w: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颗粒物</w:t>
            </w:r>
          </w:p>
        </w:tc>
        <w:tc>
          <w:tcPr>
            <w:tcW w:w="1487" w:type="dxa"/>
            <w:noWrap w:val="0"/>
            <w:vAlign w:val="center"/>
          </w:tcPr>
          <w:p>
            <w:pPr>
              <w:pStyle w:val="28"/>
              <w:suppressLineNumbers w:val="0"/>
              <w:bidi w:val="0"/>
              <w:spacing w:before="0" w:after="0"/>
              <w:ind w:left="0" w:right="0"/>
              <w:rPr>
                <w:lang w:val="en-US" w:eastAsia="zh-CN"/>
              </w:rPr>
            </w:pPr>
            <w:r>
              <w:rPr>
                <w:rFonts w:hint="eastAsia"/>
                <w:lang w:val="en-US" w:eastAsia="zh-CN"/>
              </w:rPr>
              <w:t>660</w:t>
            </w:r>
          </w:p>
        </w:tc>
        <w:tc>
          <w:tcPr>
            <w:tcW w:w="1432" w:type="dxa"/>
            <w:noWrap w:val="0"/>
            <w:vAlign w:val="center"/>
          </w:tcPr>
          <w:p>
            <w:pPr>
              <w:pStyle w:val="28"/>
              <w:suppressLineNumbers w:val="0"/>
              <w:bidi w:val="0"/>
              <w:spacing w:before="0" w:after="0"/>
              <w:ind w:left="0" w:right="0"/>
              <w:rPr>
                <w:lang w:val="en-US" w:eastAsia="zh-CN"/>
              </w:rPr>
            </w:pPr>
            <w:r>
              <w:rPr>
                <w:rFonts w:hint="eastAsia"/>
                <w:lang w:val="en-US" w:eastAsia="zh-CN"/>
              </w:rPr>
              <w:t>656.86</w:t>
            </w:r>
          </w:p>
        </w:tc>
        <w:tc>
          <w:tcPr>
            <w:tcW w:w="2477" w:type="dxa"/>
            <w:gridSpan w:val="3"/>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SO</w:t>
            </w:r>
            <w:r>
              <w:rPr>
                <w:rFonts w:hint="eastAsia"/>
                <w:vertAlign w:val="subscript"/>
                <w:lang w:val="en-US" w:eastAsia="zh-CN"/>
              </w:rPr>
              <w:t>2</w:t>
            </w:r>
          </w:p>
        </w:tc>
        <w:tc>
          <w:tcPr>
            <w:tcW w:w="1487" w:type="dxa"/>
            <w:noWrap w:val="0"/>
            <w:vAlign w:val="center"/>
          </w:tcPr>
          <w:p>
            <w:pPr>
              <w:pStyle w:val="28"/>
              <w:suppressLineNumbers w:val="0"/>
              <w:bidi w:val="0"/>
              <w:spacing w:before="0" w:after="0"/>
              <w:ind w:left="0" w:right="0"/>
              <w:rPr>
                <w:lang w:val="en-US" w:eastAsia="zh-CN"/>
              </w:rPr>
            </w:pPr>
            <w:r>
              <w:rPr>
                <w:rFonts w:hint="eastAsia"/>
                <w:lang w:val="en-US" w:eastAsia="zh-CN"/>
              </w:rPr>
              <w:t>505.14</w:t>
            </w:r>
          </w:p>
        </w:tc>
        <w:tc>
          <w:tcPr>
            <w:tcW w:w="1432" w:type="dxa"/>
            <w:noWrap w:val="0"/>
            <w:vAlign w:val="center"/>
          </w:tcPr>
          <w:p>
            <w:pPr>
              <w:pStyle w:val="28"/>
              <w:suppressLineNumbers w:val="0"/>
              <w:bidi w:val="0"/>
              <w:spacing w:before="0" w:after="0"/>
              <w:ind w:left="0" w:right="0"/>
              <w:rPr>
                <w:lang w:val="en-US" w:eastAsia="zh-CN"/>
              </w:rPr>
            </w:pPr>
            <w:r>
              <w:rPr>
                <w:rFonts w:hint="eastAsia"/>
                <w:lang w:val="en-US" w:eastAsia="zh-CN"/>
              </w:rPr>
              <w:t>473.14</w:t>
            </w:r>
          </w:p>
        </w:tc>
        <w:tc>
          <w:tcPr>
            <w:tcW w:w="2477" w:type="dxa"/>
            <w:gridSpan w:val="3"/>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vMerge w:val="continue"/>
            <w:noWrap w:val="0"/>
            <w:vAlign w:val="center"/>
          </w:tcPr>
          <w:p>
            <w:pPr>
              <w:pStyle w:val="28"/>
              <w:suppressLineNumbers w:val="0"/>
              <w:bidi w:val="0"/>
              <w:spacing w:before="0" w:after="0"/>
              <w:ind w:left="0" w:right="0"/>
              <w:outlineLvl w:val="9"/>
            </w:pPr>
          </w:p>
        </w:tc>
        <w:tc>
          <w:tcPr>
            <w:tcW w:w="1777" w:type="dxa"/>
            <w:noWrap w:val="0"/>
            <w:vAlign w:val="center"/>
          </w:tcPr>
          <w:p>
            <w:pPr>
              <w:pStyle w:val="28"/>
              <w:suppressLineNumbers w:val="0"/>
              <w:bidi w:val="0"/>
              <w:spacing w:before="0" w:after="0"/>
              <w:ind w:left="0" w:leftChars="0" w:right="0" w:rightChars="0" w:firstLine="0" w:firstLineChars="0"/>
              <w:rPr>
                <w:rFonts w:ascii="Times New Roman" w:hAnsi="Times New Roman" w:eastAsia="宋体" w:cstheme="minorBidi"/>
                <w:b w:val="0"/>
                <w:kern w:val="2"/>
                <w:sz w:val="21"/>
                <w:szCs w:val="24"/>
                <w:lang w:val="en-US" w:eastAsia="zh-CN" w:bidi="ar-SA"/>
              </w:rPr>
            </w:pPr>
            <w:r>
              <w:rPr>
                <w:rFonts w:hint="eastAsia"/>
                <w:lang w:val="en-US" w:eastAsia="zh-CN"/>
              </w:rPr>
              <w:t>NOx</w:t>
            </w:r>
          </w:p>
        </w:tc>
        <w:tc>
          <w:tcPr>
            <w:tcW w:w="1487" w:type="dxa"/>
            <w:noWrap w:val="0"/>
            <w:vAlign w:val="center"/>
          </w:tcPr>
          <w:p>
            <w:pPr>
              <w:pStyle w:val="28"/>
              <w:suppressLineNumbers w:val="0"/>
              <w:bidi w:val="0"/>
              <w:spacing w:before="0" w:after="0"/>
              <w:ind w:left="0" w:right="0"/>
              <w:rPr>
                <w:lang w:val="en-US" w:eastAsia="zh-CN"/>
              </w:rPr>
            </w:pPr>
            <w:r>
              <w:rPr>
                <w:rFonts w:hint="eastAsia"/>
                <w:lang w:val="en-US" w:eastAsia="zh-CN"/>
              </w:rPr>
              <w:t>30</w:t>
            </w:r>
          </w:p>
        </w:tc>
        <w:tc>
          <w:tcPr>
            <w:tcW w:w="1432" w:type="dxa"/>
            <w:noWrap w:val="0"/>
            <w:vAlign w:val="center"/>
          </w:tcPr>
          <w:p>
            <w:pPr>
              <w:pStyle w:val="28"/>
              <w:suppressLineNumbers w:val="0"/>
              <w:bidi w:val="0"/>
              <w:spacing w:before="0" w:after="0"/>
              <w:ind w:left="0" w:right="0"/>
              <w:rPr>
                <w:lang w:val="en-US" w:eastAsia="zh-CN"/>
              </w:rPr>
            </w:pPr>
            <w:r>
              <w:rPr>
                <w:rFonts w:hint="eastAsia"/>
                <w:lang w:val="en-US" w:eastAsia="zh-CN"/>
              </w:rPr>
              <w:t>0</w:t>
            </w:r>
          </w:p>
        </w:tc>
        <w:tc>
          <w:tcPr>
            <w:tcW w:w="2477" w:type="dxa"/>
            <w:gridSpan w:val="3"/>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dxa"/>
            <w:vMerge w:val="continue"/>
            <w:noWrap w:val="0"/>
            <w:vAlign w:val="center"/>
          </w:tcPr>
          <w:p>
            <w:pPr>
              <w:pStyle w:val="28"/>
              <w:suppressLineNumbers w:val="0"/>
              <w:bidi w:val="0"/>
              <w:spacing w:before="0" w:after="0"/>
              <w:ind w:left="0" w:right="0"/>
              <w:outlineLvl w:val="9"/>
            </w:pPr>
          </w:p>
        </w:tc>
        <w:tc>
          <w:tcPr>
            <w:tcW w:w="1330" w:type="dxa"/>
            <w:noWrap w:val="0"/>
            <w:vAlign w:val="center"/>
          </w:tcPr>
          <w:p>
            <w:pPr>
              <w:pStyle w:val="28"/>
              <w:suppressLineNumbers w:val="0"/>
              <w:bidi w:val="0"/>
              <w:spacing w:before="0" w:after="0"/>
              <w:ind w:left="0" w:right="0"/>
            </w:pPr>
            <w:r>
              <w:rPr>
                <w:rFonts w:hint="eastAsia"/>
              </w:rPr>
              <w:t>无组织废气</w:t>
            </w:r>
          </w:p>
        </w:tc>
        <w:tc>
          <w:tcPr>
            <w:tcW w:w="1777" w:type="dxa"/>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rPr>
                <w:rFonts w:hint="eastAsia"/>
              </w:rPr>
              <w:t>粉尘</w:t>
            </w:r>
          </w:p>
        </w:tc>
        <w:tc>
          <w:tcPr>
            <w:tcW w:w="1487" w:type="dxa"/>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w:t>
            </w:r>
          </w:p>
        </w:tc>
        <w:tc>
          <w:tcPr>
            <w:tcW w:w="1432" w:type="dxa"/>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8</w:t>
            </w:r>
          </w:p>
        </w:tc>
        <w:tc>
          <w:tcPr>
            <w:tcW w:w="2477" w:type="dxa"/>
            <w:gridSpan w:val="3"/>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w:t>
            </w:r>
          </w:p>
        </w:tc>
      </w:tr>
    </w:tbl>
    <w:p>
      <w:pPr>
        <w:bidi w:val="0"/>
      </w:pPr>
      <w:r>
        <w:t>总量平衡途径：</w:t>
      </w:r>
    </w:p>
    <w:p>
      <w:pPr>
        <w:bidi w:val="0"/>
      </w:pPr>
      <w:r>
        <w:t>废气：项目排放的大气污染物二氧化硫、颗粒物在区域内平衡，NOx排放总量从省环保厅排污权交易平台自行购买。</w:t>
      </w:r>
    </w:p>
    <w:p>
      <w:pPr>
        <w:bidi w:val="0"/>
      </w:pPr>
      <w:r>
        <w:t>废水：项目废水中COD、氨氮、总氮、总磷外排总量通过省环保厅交易平台自行购买，其他因子由当地环保部门核批，在区域内平衡。</w:t>
      </w:r>
    </w:p>
    <w:p>
      <w:pPr>
        <w:pStyle w:val="5"/>
        <w:bidi w:val="0"/>
      </w:pPr>
      <w:bookmarkStart w:id="232" w:name="_Toc527394310"/>
      <w:bookmarkStart w:id="233" w:name="_Toc27096_WPSOffice_Level2"/>
      <w:bookmarkStart w:id="234" w:name="_Toc527487044"/>
      <w:r>
        <w:rPr>
          <w:rFonts w:hint="eastAsia"/>
          <w:lang w:val="en-US" w:eastAsia="zh-CN"/>
        </w:rPr>
        <w:t>8.2</w:t>
      </w:r>
      <w:r>
        <w:t>.5 排污口设置及规范化整治</w:t>
      </w:r>
      <w:bookmarkEnd w:id="232"/>
      <w:bookmarkEnd w:id="233"/>
      <w:bookmarkEnd w:id="234"/>
    </w:p>
    <w:p>
      <w:pPr>
        <w:bidi w:val="0"/>
      </w:pPr>
      <w:r>
        <w:t>（1）废水排放口</w:t>
      </w:r>
    </w:p>
    <w:p>
      <w:pPr>
        <w:bidi w:val="0"/>
      </w:pPr>
      <w:r>
        <w:t>本项目排水采取清污分流制，</w:t>
      </w:r>
      <w:r>
        <w:rPr>
          <w:rFonts w:hint="eastAsia"/>
          <w:lang w:eastAsia="zh-CN"/>
        </w:rPr>
        <w:t>食堂废水经隔油池处理后与生活污水一起经化粪池处理后排入青湖镇联村生活污水处理厂进行处理，</w:t>
      </w:r>
      <w:r>
        <w:t>清净下水经收集后排入区域雨水管网。项目新建污水排放口及清水排放口，废水、清下水排放口需按《江苏省排污口设置及规范化整治管理办法》（苏环控[1997]122号）设置，具体如下设施与标志：</w:t>
      </w:r>
    </w:p>
    <w:p>
      <w:pPr>
        <w:bidi w:val="0"/>
      </w:pPr>
      <w:r>
        <w:rPr>
          <w:rFonts w:hint="eastAsia"/>
        </w:rPr>
        <w:t>①</w:t>
      </w:r>
      <w:r>
        <w:t>废水排放口安装污水流量计，并设置采样点。</w:t>
      </w:r>
    </w:p>
    <w:p>
      <w:pPr>
        <w:bidi w:val="0"/>
      </w:pPr>
      <w:r>
        <w:rPr>
          <w:rFonts w:hint="eastAsia"/>
        </w:rPr>
        <w:t>②</w:t>
      </w:r>
      <w:r>
        <w:t>在公司污水处理站出口设置规范化的排污口。</w:t>
      </w:r>
    </w:p>
    <w:p>
      <w:pPr>
        <w:bidi w:val="0"/>
      </w:pPr>
      <w:r>
        <w:rPr>
          <w:rFonts w:hint="eastAsia"/>
        </w:rPr>
        <w:t>③</w:t>
      </w:r>
      <w:r>
        <w:t>在排污口附近醒目处设置环境保护图形标志牌。</w:t>
      </w:r>
    </w:p>
    <w:p>
      <w:pPr>
        <w:bidi w:val="0"/>
      </w:pPr>
      <w:r>
        <w:t>（2）废气排气口</w:t>
      </w:r>
    </w:p>
    <w:p>
      <w:pPr>
        <w:bidi w:val="0"/>
      </w:pPr>
      <w:r>
        <w:t>项目设</w:t>
      </w:r>
      <w:r>
        <w:rPr>
          <w:rFonts w:hint="eastAsia"/>
          <w:lang w:val="en-US" w:eastAsia="zh-CN"/>
        </w:rPr>
        <w:t>1</w:t>
      </w:r>
      <w:r>
        <w:t>个排气筒，排气筒设置要求见大气污染源强分析部分。废气排口须按《江苏省排污口设置及规范化整治管理办法》（苏环控[1997]122号）进行设置，具体如下：</w:t>
      </w:r>
    </w:p>
    <w:p>
      <w:pPr>
        <w:bidi w:val="0"/>
      </w:pPr>
      <w:r>
        <w:rPr>
          <w:rFonts w:hint="eastAsia"/>
        </w:rPr>
        <w:t>①</w:t>
      </w:r>
      <w:r>
        <w:t>排气筒设置便于采样、监测的采样口和采样监测平台。</w:t>
      </w:r>
    </w:p>
    <w:p>
      <w:pPr>
        <w:bidi w:val="0"/>
      </w:pPr>
      <w:r>
        <w:rPr>
          <w:rFonts w:hint="eastAsia"/>
        </w:rPr>
        <w:t>②</w:t>
      </w:r>
      <w:r>
        <w:t>废气净化设施的进出口均设置采样口。</w:t>
      </w:r>
    </w:p>
    <w:p>
      <w:pPr>
        <w:bidi w:val="0"/>
      </w:pPr>
      <w:r>
        <w:rPr>
          <w:rFonts w:hint="eastAsia"/>
        </w:rPr>
        <w:t>③</w:t>
      </w:r>
      <w:r>
        <w:t>在排气筒附近地面醒目处设置环境保护图形标志牌。</w:t>
      </w:r>
    </w:p>
    <w:p>
      <w:pPr>
        <w:bidi w:val="0"/>
      </w:pPr>
      <w:r>
        <w:rPr>
          <w:rFonts w:hint="eastAsia"/>
        </w:rPr>
        <w:t>④</w:t>
      </w:r>
      <w:r>
        <w:rPr>
          <w:rFonts w:hint="eastAsia"/>
          <w:lang w:val="en-US" w:eastAsia="zh-CN"/>
        </w:rPr>
        <w:t>DA001</w:t>
      </w:r>
      <w:r>
        <w:t>排气筒安装二氧化硫、氮氧化物、颗粒物在线监测仪。</w:t>
      </w:r>
    </w:p>
    <w:p>
      <w:pPr>
        <w:bidi w:val="0"/>
      </w:pPr>
      <w:r>
        <w:t>（3）固定噪声污染源扰民处规范化整治</w:t>
      </w:r>
    </w:p>
    <w:p>
      <w:pPr>
        <w:bidi w:val="0"/>
      </w:pPr>
      <w:r>
        <w:t>应在车间引风机以及其它高噪声源处设置噪声环境保护图形标志牌，进入高噪声区域人员应佩戴性能良好的防噪声护耳器。</w:t>
      </w:r>
    </w:p>
    <w:p>
      <w:pPr>
        <w:bidi w:val="0"/>
      </w:pPr>
      <w:r>
        <w:t>（4） 固体废弃物储存（处置）场所规范化整治</w:t>
      </w:r>
    </w:p>
    <w:p>
      <w:pPr>
        <w:bidi w:val="0"/>
      </w:pPr>
      <w:r>
        <w:t>本工程</w:t>
      </w:r>
      <w:r>
        <w:rPr>
          <w:rFonts w:hint="eastAsia"/>
          <w:lang w:eastAsia="zh-CN"/>
        </w:rPr>
        <w:t>设置一般固废暂存间、危险废物暂存间、垃圾转运站</w:t>
      </w:r>
      <w:r>
        <w:t>，</w:t>
      </w:r>
      <w:r>
        <w:rPr>
          <w:rFonts w:hint="eastAsia"/>
          <w:lang w:eastAsia="zh-CN"/>
        </w:rPr>
        <w:t>脱硫</w:t>
      </w:r>
      <w:r>
        <w:rPr>
          <w:rFonts w:hint="eastAsia"/>
        </w:rPr>
        <w:t>石膏在石膏池内暂存。</w:t>
      </w:r>
      <w:r>
        <w:t>固废的贮存、转移按规定程序进行。</w:t>
      </w:r>
    </w:p>
    <w:p>
      <w:pPr>
        <w:bidi w:val="0"/>
      </w:pPr>
      <w:r>
        <w:rPr>
          <w:rFonts w:hint="eastAsia"/>
        </w:rPr>
        <w:t>①</w:t>
      </w:r>
      <w:r>
        <w:t>固体废物贮存场所要防扬散、防流失、防渗漏、防雨、防洪水。</w:t>
      </w:r>
    </w:p>
    <w:p>
      <w:pPr>
        <w:bidi w:val="0"/>
      </w:pPr>
      <w:r>
        <w:rPr>
          <w:rFonts w:hint="eastAsia"/>
        </w:rPr>
        <w:t>②</w:t>
      </w:r>
      <w:r>
        <w:t>固体贮废物存场所</w:t>
      </w:r>
      <w:r>
        <w:rPr>
          <w:rFonts w:hint="eastAsia"/>
        </w:rPr>
        <w:t>须按照《环境保护图形标志－固体废物贮存（处置）场》（GB 15562.2-1995）</w:t>
      </w:r>
      <w:r>
        <w:t>在醒目处设置一个标志牌。</w:t>
      </w:r>
    </w:p>
    <w:p>
      <w:pPr>
        <w:bidi w:val="0"/>
        <w:rPr>
          <w:rFonts w:hint="eastAsia"/>
          <w:lang w:eastAsia="zh-CN"/>
        </w:rPr>
      </w:pPr>
      <w:r>
        <w:fldChar w:fldCharType="begin"/>
      </w:r>
      <w:r>
        <w:instrText xml:space="preserve"> = 3 \* GB3 \* MERGEFORMAT </w:instrText>
      </w:r>
      <w:r>
        <w:fldChar w:fldCharType="separate"/>
      </w:r>
      <w:r>
        <w:t>③</w:t>
      </w:r>
      <w:r>
        <w:fldChar w:fldCharType="end"/>
      </w:r>
      <w:r>
        <w:rPr>
          <w:rFonts w:hint="eastAsia"/>
          <w:lang w:val="en-US" w:eastAsia="zh-CN"/>
        </w:rPr>
        <w:t xml:space="preserve"> 一般固废暂存间需按</w:t>
      </w:r>
      <w:r>
        <w:t>根据《一般工业固废废物贮存、处置场污染防治措施》（GB18599-2001）及其修改单</w:t>
      </w:r>
      <w:r>
        <w:rPr>
          <w:rFonts w:hint="eastAsia"/>
          <w:lang w:eastAsia="zh-CN"/>
        </w:rPr>
        <w:t>的要求进行建设。</w:t>
      </w:r>
    </w:p>
    <w:p>
      <w:pPr>
        <w:bidi w:val="0"/>
        <w:rPr>
          <w:rFonts w:hint="default"/>
          <w:lang w:val="en-US" w:eastAsia="zh-CN"/>
        </w:rPr>
      </w:pPr>
      <w:r>
        <w:rPr>
          <w:rFonts w:hint="eastAsia"/>
          <w:lang w:val="en-US" w:eastAsia="zh-CN"/>
        </w:rPr>
        <w:fldChar w:fldCharType="begin"/>
      </w:r>
      <w:r>
        <w:rPr>
          <w:rFonts w:hint="eastAsia"/>
          <w:lang w:val="en-US" w:eastAsia="zh-CN"/>
        </w:rPr>
        <w:instrText xml:space="preserve"> = 4 \* GB3 \* MERGEFORMAT </w:instrText>
      </w:r>
      <w:r>
        <w:rPr>
          <w:rFonts w:hint="eastAsia"/>
          <w:lang w:val="en-US" w:eastAsia="zh-CN"/>
        </w:rPr>
        <w:fldChar w:fldCharType="separate"/>
      </w:r>
      <w:r>
        <w:t>④</w:t>
      </w:r>
      <w:r>
        <w:rPr>
          <w:rFonts w:hint="eastAsia"/>
          <w:lang w:val="en-US" w:eastAsia="zh-CN"/>
        </w:rPr>
        <w:fldChar w:fldCharType="end"/>
      </w:r>
      <w:r>
        <w:rPr>
          <w:rFonts w:hint="eastAsia"/>
          <w:lang w:val="en-US" w:eastAsia="zh-CN"/>
        </w:rPr>
        <w:t>危险废物暂存间需按</w:t>
      </w:r>
      <w:r>
        <w:t>根据</w:t>
      </w:r>
      <w:r>
        <w:rPr>
          <w:rFonts w:hint="eastAsia"/>
          <w:lang w:val="en-US" w:eastAsia="zh-CN"/>
        </w:rPr>
        <w:t>《危险废物贮存污染控制标准》（GB18597-2001）</w:t>
      </w:r>
      <w:r>
        <w:t>及其修改单</w:t>
      </w:r>
      <w:r>
        <w:rPr>
          <w:rFonts w:hint="eastAsia"/>
          <w:lang w:eastAsia="zh-CN"/>
        </w:rPr>
        <w:t>的要求进行建设</w:t>
      </w:r>
      <w:r>
        <w:rPr>
          <w:rFonts w:hint="eastAsia"/>
          <w:lang w:val="en-US" w:eastAsia="zh-CN"/>
        </w:rPr>
        <w:t>.</w:t>
      </w:r>
    </w:p>
    <w:p>
      <w:pPr>
        <w:pStyle w:val="5"/>
        <w:bidi w:val="0"/>
      </w:pPr>
      <w:bookmarkStart w:id="235" w:name="_Toc527394311"/>
      <w:bookmarkStart w:id="236" w:name="_Toc527487045"/>
      <w:bookmarkStart w:id="237" w:name="_Toc31148_WPSOffice_Level2"/>
      <w:r>
        <w:rPr>
          <w:rFonts w:hint="eastAsia"/>
          <w:lang w:val="en-US" w:eastAsia="zh-CN"/>
        </w:rPr>
        <w:t>8.2</w:t>
      </w:r>
      <w:r>
        <w:t>.6 执行的环境排放标准</w:t>
      </w:r>
      <w:bookmarkEnd w:id="235"/>
      <w:bookmarkEnd w:id="236"/>
      <w:bookmarkEnd w:id="237"/>
    </w:p>
    <w:p>
      <w:pPr>
        <w:bidi w:val="0"/>
      </w:pPr>
      <w:r>
        <w:t>（1）废水</w:t>
      </w:r>
    </w:p>
    <w:p>
      <w:pPr>
        <w:bidi w:val="0"/>
      </w:pPr>
      <w:r>
        <w:t>本项目无工艺废水，车间地面不进行冲洗，主要为生活污水、</w:t>
      </w:r>
      <w:r>
        <w:rPr>
          <w:rFonts w:hint="eastAsia"/>
          <w:lang w:eastAsia="zh-CN"/>
        </w:rPr>
        <w:t>食堂废水、变压器冷却循环排水</w:t>
      </w:r>
      <w:r>
        <w:t>、</w:t>
      </w:r>
      <w:r>
        <w:rPr>
          <w:rFonts w:hint="eastAsia"/>
          <w:lang w:eastAsia="zh-CN"/>
        </w:rPr>
        <w:t>电煅炉冷却循环排水、</w:t>
      </w:r>
      <w:r>
        <w:t>软水制备的排水。</w:t>
      </w:r>
    </w:p>
    <w:p>
      <w:pPr>
        <w:bidi w:val="0"/>
      </w:pPr>
      <w:r>
        <w:t>本项目生活污水</w:t>
      </w:r>
      <w:r>
        <w:rPr>
          <w:rFonts w:hint="eastAsia"/>
          <w:lang w:eastAsia="zh-CN"/>
        </w:rPr>
        <w:t>、食堂废水</w:t>
      </w:r>
      <w:r>
        <w:t>污染物比较简单，</w:t>
      </w:r>
      <w:r>
        <w:rPr>
          <w:rFonts w:hint="eastAsia"/>
          <w:lang w:eastAsia="zh-CN"/>
        </w:rPr>
        <w:t>经隔油池处理后的食堂废水与生活污水一起进</w:t>
      </w:r>
      <w:r>
        <w:t>经化粪池</w:t>
      </w:r>
      <w:r>
        <w:rPr>
          <w:rFonts w:hint="eastAsia"/>
          <w:lang w:eastAsia="zh-CN"/>
        </w:rPr>
        <w:t>进行处理，</w:t>
      </w:r>
      <w:r>
        <w:t>处理后可满足</w:t>
      </w:r>
      <w:r>
        <w:rPr>
          <w:rFonts w:hint="eastAsia"/>
          <w:lang w:eastAsia="zh-CN"/>
        </w:rPr>
        <w:t>青湖镇联村生活污水处理厂的</w:t>
      </w:r>
      <w:r>
        <w:t>接管标准，直接接</w:t>
      </w:r>
      <w:r>
        <w:rPr>
          <w:rFonts w:hint="eastAsia"/>
          <w:lang w:eastAsia="zh-CN"/>
        </w:rPr>
        <w:t>青湖镇联村生活污水处理厂</w:t>
      </w:r>
      <w:r>
        <w:t>。项目循环冷却系统排水水质比较简单，污染物含量较少，可作为清下水排放</w:t>
      </w:r>
      <w:r>
        <w:rPr>
          <w:rFonts w:hint="eastAsia"/>
          <w:lang w:eastAsia="zh-CN"/>
        </w:rPr>
        <w:t>，部分用于厂区绿化</w:t>
      </w:r>
      <w:r>
        <w:t>。项目软水制备系统排水水质比较简单，主要为盐分，</w:t>
      </w:r>
      <w:r>
        <w:rPr>
          <w:rFonts w:hint="eastAsia"/>
          <w:lang w:eastAsia="zh-CN"/>
        </w:rPr>
        <w:t>部分</w:t>
      </w:r>
      <w:r>
        <w:t>通过清下水排口排放</w:t>
      </w:r>
      <w:r>
        <w:rPr>
          <w:rFonts w:hint="eastAsia"/>
          <w:lang w:eastAsia="zh-CN"/>
        </w:rPr>
        <w:t>，部分用于厂区绿化和脱硫系统补充用水</w:t>
      </w:r>
      <w:r>
        <w:t>。</w:t>
      </w:r>
    </w:p>
    <w:p>
      <w:pPr>
        <w:bidi w:val="0"/>
      </w:pPr>
      <w:r>
        <w:rPr>
          <w:rFonts w:hint="eastAsia"/>
          <w:lang w:eastAsia="zh-CN"/>
        </w:rPr>
        <w:t>接管标准如表</w:t>
      </w:r>
      <w:r>
        <w:rPr>
          <w:rFonts w:hint="eastAsia"/>
          <w:lang w:val="en-US" w:eastAsia="zh-CN"/>
        </w:rPr>
        <w:t>8.2.6-1所示，</w:t>
      </w:r>
      <w:r>
        <w:rPr>
          <w:rFonts w:hint="eastAsia"/>
          <w:lang w:eastAsia="zh-CN"/>
        </w:rPr>
        <w:t>尾水排放执行《城镇污水处理厂污染物排放标准》（GB18918-2002）中一级B标准，尾水排入乌龙河。</w:t>
      </w:r>
    </w:p>
    <w:p>
      <w:pPr>
        <w:pStyle w:val="27"/>
        <w:bidi w:val="0"/>
      </w:pPr>
      <w:r>
        <w:t>表</w:t>
      </w:r>
      <w:r>
        <w:rPr>
          <w:rFonts w:hint="eastAsia"/>
          <w:lang w:val="en-US" w:eastAsia="zh-CN"/>
        </w:rPr>
        <w:t>8.2</w:t>
      </w:r>
      <w:r>
        <w:t>.6-1 项目污水排放标准值（mg/L，pH除外）</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542"/>
        <w:gridCol w:w="569"/>
        <w:gridCol w:w="747"/>
        <w:gridCol w:w="904"/>
        <w:gridCol w:w="555"/>
        <w:gridCol w:w="712"/>
        <w:gridCol w:w="712"/>
        <w:gridCol w:w="712"/>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4" w:hRule="atLeast"/>
          <w:jc w:val="center"/>
        </w:trPr>
        <w:tc>
          <w:tcPr>
            <w:tcW w:w="1807" w:type="pct"/>
            <w:noWrap w:val="0"/>
            <w:vAlign w:val="center"/>
          </w:tcPr>
          <w:p>
            <w:pPr>
              <w:pStyle w:val="28"/>
              <w:suppressLineNumbers w:val="0"/>
              <w:bidi w:val="0"/>
              <w:spacing w:before="0" w:after="0"/>
              <w:ind w:left="0" w:right="0"/>
            </w:pPr>
            <w:r>
              <w:t>类别</w:t>
            </w:r>
          </w:p>
        </w:tc>
        <w:tc>
          <w:tcPr>
            <w:tcW w:w="290" w:type="pct"/>
            <w:noWrap w:val="0"/>
            <w:vAlign w:val="center"/>
          </w:tcPr>
          <w:p>
            <w:pPr>
              <w:pStyle w:val="28"/>
              <w:suppressLineNumbers w:val="0"/>
              <w:bidi w:val="0"/>
              <w:spacing w:before="0" w:after="0"/>
              <w:ind w:left="0" w:right="0"/>
            </w:pPr>
            <w:r>
              <w:t>pH</w:t>
            </w:r>
          </w:p>
        </w:tc>
        <w:tc>
          <w:tcPr>
            <w:tcW w:w="381" w:type="pct"/>
            <w:noWrap w:val="0"/>
            <w:vAlign w:val="center"/>
          </w:tcPr>
          <w:p>
            <w:pPr>
              <w:pStyle w:val="28"/>
              <w:suppressLineNumbers w:val="0"/>
              <w:bidi w:val="0"/>
              <w:spacing w:before="0" w:after="0"/>
              <w:ind w:left="0" w:right="0"/>
            </w:pPr>
            <w:r>
              <w:t>COD</w:t>
            </w:r>
          </w:p>
        </w:tc>
        <w:tc>
          <w:tcPr>
            <w:tcW w:w="461" w:type="pct"/>
            <w:noWrap w:val="0"/>
            <w:vAlign w:val="center"/>
          </w:tcPr>
          <w:p>
            <w:pPr>
              <w:pStyle w:val="28"/>
              <w:suppressLineNumbers w:val="0"/>
              <w:bidi w:val="0"/>
              <w:spacing w:before="0" w:after="0"/>
              <w:ind w:left="0" w:right="0"/>
            </w:pPr>
            <w:r>
              <w:t>BOD</w:t>
            </w:r>
            <w:r>
              <w:rPr>
                <w:rFonts w:hint="eastAsia"/>
                <w:vertAlign w:val="subscript"/>
                <w:lang w:val="en-US" w:eastAsia="zh-CN"/>
              </w:rPr>
              <w:t>5</w:t>
            </w:r>
          </w:p>
        </w:tc>
        <w:tc>
          <w:tcPr>
            <w:tcW w:w="283" w:type="pct"/>
            <w:noWrap w:val="0"/>
            <w:vAlign w:val="center"/>
          </w:tcPr>
          <w:p>
            <w:pPr>
              <w:pStyle w:val="28"/>
              <w:suppressLineNumbers w:val="0"/>
              <w:bidi w:val="0"/>
              <w:spacing w:before="0" w:after="0"/>
              <w:ind w:left="0" w:right="0"/>
            </w:pPr>
            <w:r>
              <w:t>SS</w:t>
            </w:r>
          </w:p>
        </w:tc>
        <w:tc>
          <w:tcPr>
            <w:tcW w:w="363" w:type="pct"/>
            <w:noWrap w:val="0"/>
            <w:vAlign w:val="center"/>
          </w:tcPr>
          <w:p>
            <w:pPr>
              <w:pStyle w:val="28"/>
              <w:suppressLineNumbers w:val="0"/>
              <w:bidi w:val="0"/>
              <w:spacing w:before="0" w:after="0"/>
              <w:ind w:left="0" w:right="0"/>
            </w:pPr>
            <w:r>
              <w:t>氨氮</w:t>
            </w:r>
          </w:p>
        </w:tc>
        <w:tc>
          <w:tcPr>
            <w:tcW w:w="363" w:type="pct"/>
            <w:noWrap w:val="0"/>
            <w:vAlign w:val="center"/>
          </w:tcPr>
          <w:p>
            <w:pPr>
              <w:pStyle w:val="28"/>
              <w:suppressLineNumbers w:val="0"/>
              <w:bidi w:val="0"/>
              <w:spacing w:before="0" w:after="0"/>
              <w:ind w:left="0" w:right="0"/>
            </w:pPr>
            <w:r>
              <w:t>总氮</w:t>
            </w:r>
          </w:p>
        </w:tc>
        <w:tc>
          <w:tcPr>
            <w:tcW w:w="363" w:type="pct"/>
            <w:noWrap w:val="0"/>
            <w:vAlign w:val="center"/>
          </w:tcPr>
          <w:p>
            <w:pPr>
              <w:pStyle w:val="28"/>
              <w:suppressLineNumbers w:val="0"/>
              <w:bidi w:val="0"/>
              <w:spacing w:before="0" w:after="0"/>
              <w:ind w:left="0" w:right="0"/>
            </w:pPr>
            <w:r>
              <w:t>总磷</w:t>
            </w:r>
          </w:p>
        </w:tc>
        <w:tc>
          <w:tcPr>
            <w:tcW w:w="684" w:type="pct"/>
            <w:noWrap w:val="0"/>
            <w:vAlign w:val="center"/>
          </w:tcPr>
          <w:p>
            <w:pPr>
              <w:pStyle w:val="28"/>
              <w:suppressLineNumbers w:val="0"/>
              <w:bidi w:val="0"/>
              <w:spacing w:before="0" w:after="0"/>
              <w:ind w:left="0" w:right="0"/>
              <w:rPr>
                <w:rFonts w:hint="eastAsia"/>
                <w:lang w:eastAsia="zh-CN"/>
              </w:rPr>
            </w:pPr>
            <w:r>
              <w:rPr>
                <w:rFonts w:hint="eastAsia"/>
                <w:lang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1" w:hRule="atLeast"/>
          <w:jc w:val="center"/>
        </w:trPr>
        <w:tc>
          <w:tcPr>
            <w:tcW w:w="1807" w:type="pct"/>
            <w:noWrap w:val="0"/>
            <w:vAlign w:val="center"/>
          </w:tcPr>
          <w:p>
            <w:pPr>
              <w:pStyle w:val="28"/>
              <w:suppressLineNumbers w:val="0"/>
              <w:bidi w:val="0"/>
              <w:spacing w:before="0" w:after="0"/>
              <w:ind w:left="0" w:right="0"/>
            </w:pPr>
            <w:r>
              <w:t>接管指标</w:t>
            </w:r>
          </w:p>
        </w:tc>
        <w:tc>
          <w:tcPr>
            <w:tcW w:w="290" w:type="pct"/>
            <w:noWrap w:val="0"/>
            <w:vAlign w:val="center"/>
          </w:tcPr>
          <w:p>
            <w:pPr>
              <w:pStyle w:val="28"/>
              <w:suppressLineNumbers w:val="0"/>
              <w:bidi w:val="0"/>
              <w:spacing w:before="0" w:after="0"/>
              <w:ind w:left="0" w:right="0"/>
            </w:pPr>
            <w:r>
              <w:t>6~9</w:t>
            </w:r>
          </w:p>
        </w:tc>
        <w:tc>
          <w:tcPr>
            <w:tcW w:w="381" w:type="pct"/>
            <w:noWrap w:val="0"/>
            <w:vAlign w:val="center"/>
          </w:tcPr>
          <w:p>
            <w:pPr>
              <w:pStyle w:val="28"/>
              <w:suppressLineNumbers w:val="0"/>
              <w:bidi w:val="0"/>
              <w:spacing w:before="0" w:after="0"/>
              <w:ind w:left="0" w:right="0"/>
            </w:pPr>
            <w:r>
              <w:t>500</w:t>
            </w:r>
          </w:p>
        </w:tc>
        <w:tc>
          <w:tcPr>
            <w:tcW w:w="461" w:type="pct"/>
            <w:noWrap w:val="0"/>
            <w:vAlign w:val="center"/>
          </w:tcPr>
          <w:p>
            <w:pPr>
              <w:pStyle w:val="28"/>
              <w:suppressLineNumbers w:val="0"/>
              <w:bidi w:val="0"/>
              <w:spacing w:before="0" w:after="0"/>
              <w:ind w:left="0" w:right="0"/>
            </w:pPr>
            <w:r>
              <w:t>300</w:t>
            </w:r>
          </w:p>
        </w:tc>
        <w:tc>
          <w:tcPr>
            <w:tcW w:w="283" w:type="pct"/>
            <w:noWrap w:val="0"/>
            <w:vAlign w:val="center"/>
          </w:tcPr>
          <w:p>
            <w:pPr>
              <w:pStyle w:val="28"/>
              <w:suppressLineNumbers w:val="0"/>
              <w:bidi w:val="0"/>
              <w:spacing w:before="0" w:after="0"/>
              <w:ind w:left="0" w:right="0"/>
            </w:pPr>
            <w:r>
              <w:t>400</w:t>
            </w:r>
          </w:p>
        </w:tc>
        <w:tc>
          <w:tcPr>
            <w:tcW w:w="36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35</w:t>
            </w:r>
          </w:p>
        </w:tc>
        <w:tc>
          <w:tcPr>
            <w:tcW w:w="363" w:type="pct"/>
            <w:noWrap w:val="0"/>
            <w:vAlign w:val="center"/>
          </w:tcPr>
          <w:p>
            <w:pPr>
              <w:pStyle w:val="28"/>
              <w:suppressLineNumbers w:val="0"/>
              <w:bidi w:val="0"/>
              <w:spacing w:before="0" w:after="0"/>
              <w:ind w:left="0" w:right="0"/>
            </w:pPr>
            <w:r>
              <w:t>70</w:t>
            </w:r>
          </w:p>
        </w:tc>
        <w:tc>
          <w:tcPr>
            <w:tcW w:w="363" w:type="pct"/>
            <w:noWrap w:val="0"/>
            <w:vAlign w:val="center"/>
          </w:tcPr>
          <w:p>
            <w:pPr>
              <w:pStyle w:val="28"/>
              <w:suppressLineNumbers w:val="0"/>
              <w:bidi w:val="0"/>
              <w:spacing w:before="0" w:after="0"/>
              <w:ind w:left="0" w:right="0"/>
            </w:pPr>
            <w:r>
              <w:t>8</w:t>
            </w:r>
          </w:p>
        </w:tc>
        <w:tc>
          <w:tcPr>
            <w:tcW w:w="684"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5" w:hRule="atLeast"/>
          <w:jc w:val="center"/>
        </w:trPr>
        <w:tc>
          <w:tcPr>
            <w:tcW w:w="1807" w:type="pct"/>
            <w:noWrap w:val="0"/>
            <w:vAlign w:val="center"/>
          </w:tcPr>
          <w:p>
            <w:pPr>
              <w:pStyle w:val="28"/>
              <w:suppressLineNumbers w:val="0"/>
              <w:bidi w:val="0"/>
              <w:spacing w:before="0" w:after="0"/>
              <w:ind w:left="0" w:right="0"/>
            </w:pPr>
            <w:r>
              <w:t>污水处理厂尾水排放标准</w:t>
            </w:r>
          </w:p>
        </w:tc>
        <w:tc>
          <w:tcPr>
            <w:tcW w:w="290" w:type="pct"/>
            <w:noWrap w:val="0"/>
            <w:vAlign w:val="center"/>
          </w:tcPr>
          <w:p>
            <w:pPr>
              <w:pStyle w:val="28"/>
              <w:suppressLineNumbers w:val="0"/>
              <w:bidi w:val="0"/>
              <w:spacing w:before="0" w:after="0"/>
              <w:ind w:left="0" w:right="0"/>
            </w:pPr>
            <w:r>
              <w:t>6~9</w:t>
            </w:r>
          </w:p>
        </w:tc>
        <w:tc>
          <w:tcPr>
            <w:tcW w:w="381"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60</w:t>
            </w:r>
          </w:p>
        </w:tc>
        <w:tc>
          <w:tcPr>
            <w:tcW w:w="461"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w:t>
            </w:r>
          </w:p>
        </w:tc>
        <w:tc>
          <w:tcPr>
            <w:tcW w:w="28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w:t>
            </w:r>
          </w:p>
        </w:tc>
        <w:tc>
          <w:tcPr>
            <w:tcW w:w="363" w:type="pct"/>
            <w:noWrap w:val="0"/>
            <w:vAlign w:val="center"/>
          </w:tcPr>
          <w:p>
            <w:pPr>
              <w:pStyle w:val="28"/>
              <w:suppressLineNumbers w:val="0"/>
              <w:bidi w:val="0"/>
              <w:spacing w:before="0" w:after="0"/>
              <w:ind w:left="0" w:right="0"/>
              <w:rPr>
                <w:rFonts w:hint="eastAsia"/>
                <w:lang w:eastAsia="zh-CN"/>
              </w:rPr>
            </w:pPr>
            <w:r>
              <w:rPr>
                <w:rFonts w:hint="eastAsia"/>
                <w:lang w:val="en-US" w:eastAsia="zh-CN"/>
              </w:rPr>
              <w:t>8</w:t>
            </w:r>
          </w:p>
        </w:tc>
        <w:tc>
          <w:tcPr>
            <w:tcW w:w="36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20</w:t>
            </w:r>
          </w:p>
        </w:tc>
        <w:tc>
          <w:tcPr>
            <w:tcW w:w="363" w:type="pct"/>
            <w:noWrap w:val="0"/>
            <w:vAlign w:val="center"/>
          </w:tcPr>
          <w:p>
            <w:pPr>
              <w:pStyle w:val="28"/>
              <w:suppressLineNumbers w:val="0"/>
              <w:bidi w:val="0"/>
              <w:spacing w:before="0" w:after="0"/>
              <w:ind w:left="0" w:right="0"/>
              <w:rPr>
                <w:rFonts w:hint="eastAsia"/>
                <w:lang w:eastAsia="zh-CN"/>
              </w:rPr>
            </w:pPr>
            <w:r>
              <w:rPr>
                <w:rFonts w:hint="eastAsia"/>
                <w:lang w:val="en-US" w:eastAsia="zh-CN"/>
              </w:rPr>
              <w:t>1</w:t>
            </w:r>
          </w:p>
        </w:tc>
        <w:tc>
          <w:tcPr>
            <w:tcW w:w="684"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3</w:t>
            </w:r>
          </w:p>
        </w:tc>
      </w:tr>
    </w:tbl>
    <w:p>
      <w:pPr>
        <w:spacing w:line="500" w:lineRule="exact"/>
        <w:ind w:firstLine="480" w:firstLineChars="200"/>
        <w:rPr>
          <w:color w:val="000000"/>
          <w:sz w:val="24"/>
        </w:rPr>
      </w:pPr>
      <w:r>
        <w:rPr>
          <w:color w:val="000000"/>
          <w:sz w:val="24"/>
        </w:rPr>
        <w:t>（2）废气</w:t>
      </w:r>
    </w:p>
    <w:p>
      <w:pPr>
        <w:snapToGrid w:val="0"/>
        <w:spacing w:line="500" w:lineRule="exact"/>
        <w:ind w:firstLine="560" w:firstLineChars="200"/>
        <w:rPr>
          <w:color w:val="000000"/>
          <w:sz w:val="24"/>
        </w:rPr>
      </w:pPr>
      <w:r>
        <w:t>项目运营期</w:t>
      </w:r>
      <w:r>
        <w:rPr>
          <w:rFonts w:hint="eastAsia"/>
          <w:lang w:eastAsia="zh-CN"/>
        </w:rPr>
        <w:t>有组织</w:t>
      </w:r>
      <w:r>
        <w:t>废气</w:t>
      </w:r>
      <w:r>
        <w:rPr>
          <w:rFonts w:hint="eastAsia"/>
          <w:lang w:eastAsia="zh-CN"/>
        </w:rPr>
        <w:t>颗粒物、</w:t>
      </w:r>
      <w:r>
        <w:t>SO</w:t>
      </w:r>
      <w:r>
        <w:rPr>
          <w:vertAlign w:val="subscript"/>
        </w:rPr>
        <w:t>2</w:t>
      </w:r>
      <w:r>
        <w:t>、NOx</w:t>
      </w:r>
      <w:r>
        <w:rPr>
          <w:rFonts w:hint="eastAsia"/>
          <w:lang w:eastAsia="zh-CN"/>
        </w:rPr>
        <w:t>、烟气黑度</w:t>
      </w:r>
      <w:r>
        <w:t>排放</w:t>
      </w:r>
      <w:r>
        <w:rPr>
          <w:rFonts w:hint="eastAsia"/>
          <w:lang w:eastAsia="zh-CN"/>
        </w:rPr>
        <w:t>执行《</w:t>
      </w:r>
      <w:r>
        <w:rPr>
          <w:rFonts w:hint="eastAsia"/>
        </w:rPr>
        <w:t>工业炉窑大气污染物排放标准</w:t>
      </w:r>
      <w:r>
        <w:rPr>
          <w:rFonts w:hint="eastAsia"/>
          <w:lang w:eastAsia="zh-CN"/>
        </w:rPr>
        <w:t>》（</w:t>
      </w:r>
      <w:r>
        <w:t>DB</w:t>
      </w:r>
      <w:r>
        <w:rPr>
          <w:rFonts w:hint="eastAsia"/>
        </w:rPr>
        <w:t xml:space="preserve"> </w:t>
      </w:r>
      <w:r>
        <w:t>32/</w:t>
      </w:r>
      <w:r>
        <w:rPr>
          <w:rFonts w:hint="eastAsia"/>
        </w:rPr>
        <w:t>3728</w:t>
      </w:r>
      <w:r>
        <w:t>—201</w:t>
      </w:r>
      <w:r>
        <w:rPr>
          <w:rFonts w:hint="eastAsia"/>
        </w:rPr>
        <w:t>9</w:t>
      </w:r>
      <w:r>
        <w:rPr>
          <w:rFonts w:hint="eastAsia"/>
          <w:lang w:eastAsia="zh-CN"/>
        </w:rPr>
        <w:t>）表</w:t>
      </w:r>
      <w:r>
        <w:rPr>
          <w:rFonts w:hint="eastAsia"/>
          <w:lang w:val="en-US" w:eastAsia="zh-CN"/>
        </w:rPr>
        <w:t>1标准</w:t>
      </w:r>
      <w:r>
        <w:t>，详见表</w:t>
      </w:r>
      <w:r>
        <w:rPr>
          <w:rFonts w:hint="eastAsia"/>
          <w:lang w:val="en-US" w:eastAsia="zh-CN"/>
        </w:rPr>
        <w:t>8.2.6-2</w:t>
      </w:r>
      <w:r>
        <w:t>。</w:t>
      </w:r>
      <w:r>
        <w:rPr>
          <w:rFonts w:hint="eastAsia"/>
          <w:lang w:eastAsia="zh-CN"/>
        </w:rPr>
        <w:t>无组织颗粒排放执行</w:t>
      </w:r>
      <w:r>
        <w:t>DB</w:t>
      </w:r>
      <w:r>
        <w:rPr>
          <w:rFonts w:hint="eastAsia"/>
        </w:rPr>
        <w:t xml:space="preserve"> </w:t>
      </w:r>
      <w:r>
        <w:t>32/</w:t>
      </w:r>
      <w:r>
        <w:rPr>
          <w:rFonts w:hint="eastAsia"/>
        </w:rPr>
        <w:t>3728</w:t>
      </w:r>
      <w:r>
        <w:t>—201</w:t>
      </w:r>
      <w:r>
        <w:rPr>
          <w:rFonts w:hint="eastAsia"/>
        </w:rPr>
        <w:t>9</w:t>
      </w:r>
      <w:r>
        <w:rPr>
          <w:rFonts w:hint="eastAsia"/>
          <w:lang w:eastAsia="zh-CN"/>
        </w:rPr>
        <w:t>表</w:t>
      </w:r>
      <w:r>
        <w:rPr>
          <w:rFonts w:hint="eastAsia"/>
          <w:lang w:val="en-US" w:eastAsia="zh-CN"/>
        </w:rPr>
        <w:t>3标准，详见表8.2.6-3</w:t>
      </w:r>
      <w:r>
        <w:rPr>
          <w:color w:val="000000"/>
          <w:sz w:val="24"/>
        </w:rPr>
        <w:t>。</w:t>
      </w:r>
    </w:p>
    <w:p>
      <w:pPr>
        <w:pStyle w:val="27"/>
        <w:bidi w:val="0"/>
      </w:pPr>
      <w:r>
        <w:t>表</w:t>
      </w:r>
      <w:r>
        <w:rPr>
          <w:rFonts w:hint="eastAsia"/>
          <w:lang w:val="en-US" w:eastAsia="zh-CN"/>
        </w:rPr>
        <w:t>8.2.6-2</w:t>
      </w:r>
      <w:r>
        <w:t>连续石墨化炉</w:t>
      </w:r>
      <w:r>
        <w:rPr>
          <w:rFonts w:hint="eastAsia"/>
          <w:lang w:eastAsia="zh-CN"/>
        </w:rPr>
        <w:t>有组织</w:t>
      </w:r>
      <w:r>
        <w:t>烟气排放标准</w:t>
      </w:r>
    </w:p>
    <w:tbl>
      <w:tblPr>
        <w:tblStyle w:val="21"/>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2136"/>
        <w:gridCol w:w="2843"/>
        <w:gridCol w:w="3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序号</w:t>
            </w:r>
          </w:p>
        </w:tc>
        <w:tc>
          <w:tcPr>
            <w:tcW w:w="1072" w:type="pct"/>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污染物项目</w:t>
            </w:r>
          </w:p>
        </w:tc>
        <w:tc>
          <w:tcPr>
            <w:tcW w:w="1427" w:type="pct"/>
            <w:tcBorders>
              <w:top w:val="single" w:color="auto" w:sz="8" w:space="0"/>
              <w:bottom w:val="single" w:color="auto" w:sz="8" w:space="0"/>
            </w:tcBorders>
            <w:noWrap w:val="0"/>
            <w:vAlign w:val="center"/>
          </w:tcPr>
          <w:p>
            <w:pPr>
              <w:pStyle w:val="28"/>
              <w:suppressLineNumbers w:val="0"/>
              <w:bidi w:val="0"/>
              <w:spacing w:before="0" w:after="0"/>
              <w:ind w:left="0" w:right="0"/>
              <w:rPr>
                <w:rFonts w:hint="eastAsia"/>
              </w:rPr>
            </w:pPr>
            <w:r>
              <w:rPr>
                <w:rFonts w:hint="eastAsia"/>
              </w:rPr>
              <w:t>排放限值</w:t>
            </w:r>
          </w:p>
        </w:tc>
        <w:tc>
          <w:tcPr>
            <w:tcW w:w="1961" w:type="pct"/>
            <w:tcBorders>
              <w:top w:val="single" w:color="auto" w:sz="8" w:space="0"/>
              <w:bottom w:val="single" w:color="auto" w:sz="8" w:space="0"/>
            </w:tcBorders>
            <w:noWrap w:val="0"/>
            <w:vAlign w:val="center"/>
          </w:tcPr>
          <w:p>
            <w:pPr>
              <w:pStyle w:val="28"/>
              <w:suppressLineNumbers w:val="0"/>
              <w:bidi w:val="0"/>
              <w:spacing w:before="0" w:after="0"/>
              <w:ind w:left="0" w:right="0"/>
            </w:pPr>
            <w:r>
              <w:rPr>
                <w:rFonts w:hint="eastAsia"/>
              </w:rPr>
              <w:t>污染物排放监控位置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noWrap w:val="0"/>
            <w:vAlign w:val="center"/>
          </w:tcPr>
          <w:p>
            <w:pPr>
              <w:pStyle w:val="28"/>
              <w:suppressLineNumbers w:val="0"/>
              <w:bidi w:val="0"/>
              <w:spacing w:before="0" w:after="0"/>
              <w:ind w:left="0" w:right="0"/>
              <w:rPr>
                <w:rFonts w:hint="eastAsia"/>
              </w:rPr>
            </w:pPr>
            <w:r>
              <w:rPr>
                <w:rFonts w:hint="eastAsia"/>
              </w:rPr>
              <w:t>1</w:t>
            </w:r>
          </w:p>
        </w:tc>
        <w:tc>
          <w:tcPr>
            <w:tcW w:w="1072" w:type="pct"/>
            <w:noWrap w:val="0"/>
            <w:vAlign w:val="center"/>
          </w:tcPr>
          <w:p>
            <w:pPr>
              <w:pStyle w:val="28"/>
              <w:suppressLineNumbers w:val="0"/>
              <w:bidi w:val="0"/>
              <w:spacing w:before="0" w:after="0"/>
              <w:ind w:left="0" w:right="0"/>
              <w:rPr>
                <w:rFonts w:hint="eastAsia"/>
              </w:rPr>
            </w:pPr>
            <w:r>
              <w:rPr>
                <w:rFonts w:hint="eastAsia"/>
              </w:rPr>
              <w:t>颗粒物</w:t>
            </w:r>
          </w:p>
        </w:tc>
        <w:tc>
          <w:tcPr>
            <w:tcW w:w="1427" w:type="pct"/>
            <w:noWrap w:val="0"/>
            <w:vAlign w:val="center"/>
          </w:tcPr>
          <w:p>
            <w:pPr>
              <w:pStyle w:val="28"/>
              <w:suppressLineNumbers w:val="0"/>
              <w:bidi w:val="0"/>
              <w:spacing w:before="0" w:after="0"/>
              <w:ind w:left="0" w:right="0"/>
              <w:rPr>
                <w:rFonts w:hint="eastAsia"/>
              </w:rPr>
            </w:pPr>
            <w:r>
              <w:rPr>
                <w:rFonts w:hint="eastAsia"/>
              </w:rPr>
              <w:t>20 mg/m</w:t>
            </w:r>
            <w:r>
              <w:rPr>
                <w:rFonts w:hint="eastAsia"/>
                <w:vertAlign w:val="superscript"/>
              </w:rPr>
              <w:t>3</w:t>
            </w:r>
          </w:p>
        </w:tc>
        <w:tc>
          <w:tcPr>
            <w:tcW w:w="1961" w:type="pct"/>
            <w:vMerge w:val="restart"/>
            <w:noWrap w:val="0"/>
            <w:vAlign w:val="center"/>
          </w:tcPr>
          <w:p>
            <w:pPr>
              <w:pStyle w:val="28"/>
              <w:suppressLineNumbers w:val="0"/>
              <w:bidi w:val="0"/>
              <w:spacing w:before="0" w:after="0"/>
              <w:ind w:left="0" w:right="0"/>
            </w:pPr>
            <w:r>
              <w:rPr>
                <w:rFonts w:hint="eastAsia"/>
              </w:rPr>
              <w:t>排气筒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noWrap w:val="0"/>
            <w:vAlign w:val="center"/>
          </w:tcPr>
          <w:p>
            <w:pPr>
              <w:pStyle w:val="28"/>
              <w:suppressLineNumbers w:val="0"/>
              <w:bidi w:val="0"/>
              <w:spacing w:before="0" w:after="0"/>
              <w:ind w:left="0" w:right="0"/>
              <w:rPr>
                <w:rFonts w:hint="eastAsia"/>
              </w:rPr>
            </w:pPr>
            <w:r>
              <w:rPr>
                <w:rFonts w:hint="eastAsia"/>
              </w:rPr>
              <w:t>2</w:t>
            </w:r>
          </w:p>
        </w:tc>
        <w:tc>
          <w:tcPr>
            <w:tcW w:w="1072" w:type="pct"/>
            <w:noWrap w:val="0"/>
            <w:vAlign w:val="center"/>
          </w:tcPr>
          <w:p>
            <w:pPr>
              <w:pStyle w:val="28"/>
              <w:suppressLineNumbers w:val="0"/>
              <w:bidi w:val="0"/>
              <w:spacing w:before="0" w:after="0"/>
              <w:ind w:left="0" w:right="0"/>
              <w:rPr>
                <w:rFonts w:hint="eastAsia"/>
              </w:rPr>
            </w:pPr>
            <w:r>
              <w:rPr>
                <w:rFonts w:hint="eastAsia"/>
              </w:rPr>
              <w:t>二氧化硫</w:t>
            </w:r>
          </w:p>
        </w:tc>
        <w:tc>
          <w:tcPr>
            <w:tcW w:w="1427" w:type="pct"/>
            <w:noWrap w:val="0"/>
            <w:vAlign w:val="center"/>
          </w:tcPr>
          <w:p>
            <w:pPr>
              <w:pStyle w:val="28"/>
              <w:suppressLineNumbers w:val="0"/>
              <w:bidi w:val="0"/>
              <w:spacing w:before="0" w:after="0"/>
              <w:ind w:left="0" w:right="0"/>
              <w:rPr>
                <w:rFonts w:hint="eastAsia"/>
              </w:rPr>
            </w:pPr>
            <w:r>
              <w:rPr>
                <w:rFonts w:hint="eastAsia"/>
              </w:rPr>
              <w:t>80 mg/m</w:t>
            </w:r>
            <w:r>
              <w:rPr>
                <w:rFonts w:hint="eastAsia"/>
                <w:vertAlign w:val="superscript"/>
              </w:rPr>
              <w:t>3</w:t>
            </w:r>
          </w:p>
        </w:tc>
        <w:tc>
          <w:tcPr>
            <w:tcW w:w="1961" w:type="pct"/>
            <w:vMerge w:val="continue"/>
            <w:noWrap w:val="0"/>
            <w:vAlign w:val="center"/>
          </w:tcPr>
          <w:p>
            <w:pPr>
              <w:pStyle w:val="28"/>
              <w:suppressLineNumbers w:val="0"/>
              <w:bidi w:val="0"/>
              <w:spacing w:before="0" w:after="0"/>
              <w:ind w:left="0" w:right="0"/>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noWrap w:val="0"/>
            <w:vAlign w:val="center"/>
          </w:tcPr>
          <w:p>
            <w:pPr>
              <w:pStyle w:val="28"/>
              <w:suppressLineNumbers w:val="0"/>
              <w:bidi w:val="0"/>
              <w:spacing w:before="0" w:after="0"/>
              <w:ind w:left="0" w:right="0"/>
              <w:rPr>
                <w:rFonts w:hint="eastAsia"/>
              </w:rPr>
            </w:pPr>
            <w:r>
              <w:rPr>
                <w:rFonts w:hint="eastAsia"/>
              </w:rPr>
              <w:t>3</w:t>
            </w:r>
          </w:p>
        </w:tc>
        <w:tc>
          <w:tcPr>
            <w:tcW w:w="1072" w:type="pct"/>
            <w:noWrap w:val="0"/>
            <w:vAlign w:val="center"/>
          </w:tcPr>
          <w:p>
            <w:pPr>
              <w:pStyle w:val="28"/>
              <w:suppressLineNumbers w:val="0"/>
              <w:bidi w:val="0"/>
              <w:spacing w:before="0" w:after="0"/>
              <w:ind w:left="0" w:right="0"/>
              <w:rPr>
                <w:rFonts w:hint="eastAsia"/>
              </w:rPr>
            </w:pPr>
            <w:r>
              <w:rPr>
                <w:rFonts w:hint="eastAsia"/>
              </w:rPr>
              <w:t>氮氧化物</w:t>
            </w:r>
          </w:p>
        </w:tc>
        <w:tc>
          <w:tcPr>
            <w:tcW w:w="1427" w:type="pct"/>
            <w:noWrap w:val="0"/>
            <w:vAlign w:val="center"/>
          </w:tcPr>
          <w:p>
            <w:pPr>
              <w:pStyle w:val="28"/>
              <w:suppressLineNumbers w:val="0"/>
              <w:bidi w:val="0"/>
              <w:spacing w:before="0" w:after="0"/>
              <w:ind w:left="0" w:right="0"/>
              <w:rPr>
                <w:rFonts w:hint="eastAsia"/>
              </w:rPr>
            </w:pPr>
            <w:r>
              <w:rPr>
                <w:rFonts w:hint="eastAsia"/>
              </w:rPr>
              <w:t>180 mg/m</w:t>
            </w:r>
            <w:r>
              <w:rPr>
                <w:rFonts w:hint="eastAsia"/>
                <w:vertAlign w:val="superscript"/>
              </w:rPr>
              <w:t>3</w:t>
            </w:r>
          </w:p>
        </w:tc>
        <w:tc>
          <w:tcPr>
            <w:tcW w:w="1961" w:type="pct"/>
            <w:vMerge w:val="continue"/>
            <w:noWrap w:val="0"/>
            <w:vAlign w:val="center"/>
          </w:tcPr>
          <w:p>
            <w:pPr>
              <w:pStyle w:val="28"/>
              <w:suppressLineNumbers w:val="0"/>
              <w:bidi w:val="0"/>
              <w:spacing w:before="0" w:after="0"/>
              <w:ind w:left="0" w:right="0"/>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8" w:type="pct"/>
            <w:noWrap w:val="0"/>
            <w:vAlign w:val="center"/>
          </w:tcPr>
          <w:p>
            <w:pPr>
              <w:pStyle w:val="28"/>
              <w:suppressLineNumbers w:val="0"/>
              <w:bidi w:val="0"/>
              <w:spacing w:before="0" w:after="0"/>
              <w:ind w:left="0" w:right="0"/>
              <w:rPr>
                <w:rFonts w:hint="eastAsia"/>
              </w:rPr>
            </w:pPr>
            <w:r>
              <w:rPr>
                <w:rFonts w:hint="eastAsia"/>
              </w:rPr>
              <w:t>4</w:t>
            </w:r>
          </w:p>
        </w:tc>
        <w:tc>
          <w:tcPr>
            <w:tcW w:w="1072" w:type="pct"/>
            <w:noWrap w:val="0"/>
            <w:vAlign w:val="center"/>
          </w:tcPr>
          <w:p>
            <w:pPr>
              <w:pStyle w:val="28"/>
              <w:suppressLineNumbers w:val="0"/>
              <w:bidi w:val="0"/>
              <w:spacing w:before="0" w:after="0"/>
              <w:ind w:left="0" w:right="0"/>
              <w:rPr>
                <w:rFonts w:hint="eastAsia"/>
              </w:rPr>
            </w:pPr>
            <w:r>
              <w:rPr>
                <w:rFonts w:hint="eastAsia"/>
              </w:rPr>
              <w:t>烟气黑度</w:t>
            </w:r>
          </w:p>
        </w:tc>
        <w:tc>
          <w:tcPr>
            <w:tcW w:w="1427" w:type="pct"/>
            <w:noWrap w:val="0"/>
            <w:vAlign w:val="center"/>
          </w:tcPr>
          <w:p>
            <w:pPr>
              <w:pStyle w:val="28"/>
              <w:suppressLineNumbers w:val="0"/>
              <w:bidi w:val="0"/>
              <w:spacing w:before="0" w:after="0"/>
              <w:ind w:left="0" w:right="0"/>
              <w:rPr>
                <w:rFonts w:hint="eastAsia"/>
              </w:rPr>
            </w:pPr>
            <w:r>
              <w:rPr>
                <w:rFonts w:hint="eastAsia"/>
              </w:rPr>
              <w:t>林格曼黑度1 级</w:t>
            </w:r>
          </w:p>
        </w:tc>
        <w:tc>
          <w:tcPr>
            <w:tcW w:w="1961" w:type="pct"/>
            <w:vMerge w:val="continue"/>
            <w:noWrap w:val="0"/>
            <w:vAlign w:val="center"/>
          </w:tcPr>
          <w:p>
            <w:pPr>
              <w:pStyle w:val="28"/>
              <w:suppressLineNumbers w:val="0"/>
              <w:bidi w:val="0"/>
              <w:spacing w:before="0" w:after="0"/>
              <w:ind w:left="0" w:right="0"/>
              <w:outlineLvl w:val="9"/>
            </w:pPr>
          </w:p>
        </w:tc>
      </w:tr>
    </w:tbl>
    <w:p>
      <w:pPr>
        <w:pStyle w:val="27"/>
        <w:bidi w:val="0"/>
        <w:rPr>
          <w:rFonts w:hint="eastAsia" w:eastAsia="宋体"/>
          <w:lang w:val="en-US" w:eastAsia="zh-CN"/>
        </w:rPr>
      </w:pPr>
      <w:r>
        <w:t>表</w:t>
      </w:r>
      <w:r>
        <w:rPr>
          <w:rFonts w:hint="eastAsia"/>
          <w:lang w:val="en-US" w:eastAsia="zh-CN"/>
        </w:rPr>
        <w:t>8.2.6-3</w:t>
      </w:r>
      <w:r>
        <w:t xml:space="preserve"> 连续石墨化炉</w:t>
      </w:r>
      <w:r>
        <w:rPr>
          <w:rFonts w:hint="eastAsia"/>
          <w:lang w:eastAsia="zh-CN"/>
        </w:rPr>
        <w:t>无组织</w:t>
      </w:r>
      <w:r>
        <w:t>烟气排放标准</w:t>
      </w:r>
      <w:r>
        <w:rPr>
          <w:rFonts w:hint="eastAsia"/>
          <w:lang w:val="en-US" w:eastAsia="zh-CN"/>
        </w:rPr>
        <w:t xml:space="preserve"> </w:t>
      </w:r>
      <w:r>
        <w:t>（单位：mg/m</w:t>
      </w:r>
      <w:r>
        <w:rPr>
          <w:vertAlign w:val="superscript"/>
        </w:rPr>
        <w:t>3</w:t>
      </w:r>
      <w:r>
        <w:t>）</w:t>
      </w:r>
    </w:p>
    <w:tbl>
      <w:tblPr>
        <w:tblStyle w:val="21"/>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208"/>
        <w:gridCol w:w="2248"/>
        <w:gridCol w:w="3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op w:val="single" w:color="auto" w:sz="8" w:space="0"/>
              <w:bottom w:val="single" w:color="auto" w:sz="8" w:space="0"/>
            </w:tcBorders>
            <w:noWrap w:val="0"/>
            <w:vAlign w:val="center"/>
          </w:tcPr>
          <w:p>
            <w:pPr>
              <w:pStyle w:val="28"/>
              <w:suppressLineNumbers w:val="0"/>
              <w:bidi w:val="0"/>
              <w:spacing w:before="0" w:after="0"/>
              <w:ind w:left="0" w:right="0"/>
            </w:pPr>
            <w:r>
              <w:t>序号</w:t>
            </w:r>
          </w:p>
        </w:tc>
        <w:tc>
          <w:tcPr>
            <w:tcW w:w="1611" w:type="pct"/>
            <w:tcBorders>
              <w:top w:val="single" w:color="auto" w:sz="8" w:space="0"/>
              <w:bottom w:val="single" w:color="auto" w:sz="8" w:space="0"/>
            </w:tcBorders>
            <w:noWrap w:val="0"/>
            <w:vAlign w:val="center"/>
          </w:tcPr>
          <w:p>
            <w:pPr>
              <w:pStyle w:val="28"/>
              <w:suppressLineNumbers w:val="0"/>
              <w:bidi w:val="0"/>
              <w:spacing w:before="0" w:after="0"/>
              <w:ind w:left="0" w:right="0"/>
            </w:pPr>
            <w:r>
              <w:t>工业炉窑安装位置</w:t>
            </w:r>
          </w:p>
        </w:tc>
        <w:tc>
          <w:tcPr>
            <w:tcW w:w="1129" w:type="pct"/>
            <w:tcBorders>
              <w:top w:val="single" w:color="auto" w:sz="8" w:space="0"/>
              <w:bottom w:val="single" w:color="auto" w:sz="8" w:space="0"/>
            </w:tcBorders>
            <w:noWrap w:val="0"/>
            <w:vAlign w:val="center"/>
          </w:tcPr>
          <w:p>
            <w:pPr>
              <w:pStyle w:val="28"/>
              <w:suppressLineNumbers w:val="0"/>
              <w:bidi w:val="0"/>
              <w:spacing w:before="0" w:after="0"/>
              <w:ind w:left="0" w:right="0"/>
            </w:pPr>
            <w:r>
              <w:t>工业炉窑类别</w:t>
            </w:r>
          </w:p>
        </w:tc>
        <w:tc>
          <w:tcPr>
            <w:tcW w:w="1772" w:type="pct"/>
            <w:tcBorders>
              <w:top w:val="single" w:color="auto" w:sz="8" w:space="0"/>
              <w:bottom w:val="single" w:color="auto" w:sz="8" w:space="0"/>
            </w:tcBorders>
            <w:noWrap w:val="0"/>
            <w:vAlign w:val="center"/>
          </w:tcPr>
          <w:p>
            <w:pPr>
              <w:pStyle w:val="28"/>
              <w:suppressLineNumbers w:val="0"/>
              <w:bidi w:val="0"/>
              <w:spacing w:before="0" w:after="0"/>
              <w:ind w:left="0" w:right="0"/>
            </w:pPr>
            <w:r>
              <w:t>总悬浮颗粒物浓度限值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op w:val="single" w:color="auto" w:sz="8" w:space="0"/>
            </w:tcBorders>
            <w:noWrap w:val="0"/>
            <w:vAlign w:val="center"/>
          </w:tcPr>
          <w:p>
            <w:pPr>
              <w:pStyle w:val="28"/>
              <w:suppressLineNumbers w:val="0"/>
              <w:bidi w:val="0"/>
              <w:spacing w:before="0" w:after="0"/>
              <w:ind w:left="0" w:right="0"/>
            </w:pPr>
            <w:r>
              <w:t>1</w:t>
            </w:r>
          </w:p>
        </w:tc>
        <w:tc>
          <w:tcPr>
            <w:tcW w:w="1611" w:type="pct"/>
            <w:tcBorders>
              <w:top w:val="single" w:color="auto" w:sz="8" w:space="0"/>
            </w:tcBorders>
            <w:noWrap w:val="0"/>
            <w:vAlign w:val="center"/>
          </w:tcPr>
          <w:p>
            <w:pPr>
              <w:pStyle w:val="28"/>
              <w:suppressLineNumbers w:val="0"/>
              <w:bidi w:val="0"/>
              <w:spacing w:before="0" w:after="0"/>
              <w:ind w:left="0" w:right="0"/>
            </w:pPr>
            <w:r>
              <w:rPr>
                <w:rFonts w:hint="eastAsia"/>
              </w:rPr>
              <w:t>有厂房生产车间</w:t>
            </w:r>
          </w:p>
        </w:tc>
        <w:tc>
          <w:tcPr>
            <w:tcW w:w="1129" w:type="pct"/>
            <w:tcBorders>
              <w:top w:val="single" w:color="auto" w:sz="8"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其他炉窑</w:t>
            </w:r>
          </w:p>
        </w:tc>
        <w:tc>
          <w:tcPr>
            <w:tcW w:w="1772" w:type="pct"/>
            <w:tcBorders>
              <w:top w:val="single" w:color="auto" w:sz="8" w:space="0"/>
            </w:tcBorders>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5.0</w:t>
            </w:r>
          </w:p>
        </w:tc>
      </w:tr>
    </w:tbl>
    <w:p>
      <w:pPr>
        <w:bidi w:val="0"/>
      </w:pPr>
      <w:r>
        <w:t>（3）噪声</w:t>
      </w:r>
    </w:p>
    <w:p>
      <w:pPr>
        <w:bidi w:val="0"/>
      </w:pPr>
      <w:r>
        <w:t>施工期执行《建筑施工厂界噪声限值》(GB12523-2011)。详见表</w:t>
      </w:r>
      <w:r>
        <w:rPr>
          <w:rFonts w:hint="eastAsia"/>
          <w:lang w:val="en-US" w:eastAsia="zh-CN"/>
        </w:rPr>
        <w:t>8.2.6</w:t>
      </w:r>
      <w:r>
        <w:t>-4。</w:t>
      </w:r>
    </w:p>
    <w:p>
      <w:pPr>
        <w:pStyle w:val="27"/>
        <w:bidi w:val="0"/>
      </w:pPr>
      <w:r>
        <w:t xml:space="preserve">          表</w:t>
      </w:r>
      <w:r>
        <w:rPr>
          <w:rFonts w:hint="eastAsia"/>
          <w:lang w:val="en-US" w:eastAsia="zh-CN"/>
        </w:rPr>
        <w:t>8.2.6</w:t>
      </w:r>
      <w:r>
        <w:t>-4 建筑施工场界环境噪声排放限值   单位：dB（A）</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0" w:type="pct"/>
            <w:noWrap w:val="0"/>
            <w:vAlign w:val="center"/>
          </w:tcPr>
          <w:p>
            <w:pPr>
              <w:pStyle w:val="28"/>
              <w:suppressLineNumbers w:val="0"/>
              <w:bidi w:val="0"/>
              <w:spacing w:before="0" w:after="0"/>
              <w:ind w:left="0" w:right="0"/>
            </w:pPr>
            <w:r>
              <w:t>昼间</w:t>
            </w:r>
          </w:p>
        </w:tc>
        <w:tc>
          <w:tcPr>
            <w:tcW w:w="2500" w:type="pct"/>
            <w:noWrap w:val="0"/>
            <w:vAlign w:val="center"/>
          </w:tcPr>
          <w:p>
            <w:pPr>
              <w:pStyle w:val="28"/>
              <w:suppressLineNumbers w:val="0"/>
              <w:bidi w:val="0"/>
              <w:spacing w:before="0" w:after="0"/>
              <w:ind w:left="0" w:right="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00" w:type="pct"/>
            <w:noWrap w:val="0"/>
            <w:vAlign w:val="center"/>
          </w:tcPr>
          <w:p>
            <w:pPr>
              <w:pStyle w:val="28"/>
              <w:suppressLineNumbers w:val="0"/>
              <w:bidi w:val="0"/>
              <w:spacing w:before="0" w:after="0"/>
              <w:ind w:left="0" w:right="0"/>
            </w:pPr>
            <w:r>
              <w:t>70</w:t>
            </w:r>
          </w:p>
        </w:tc>
        <w:tc>
          <w:tcPr>
            <w:tcW w:w="2500" w:type="pct"/>
            <w:noWrap w:val="0"/>
            <w:vAlign w:val="center"/>
          </w:tcPr>
          <w:p>
            <w:pPr>
              <w:pStyle w:val="28"/>
              <w:suppressLineNumbers w:val="0"/>
              <w:bidi w:val="0"/>
              <w:spacing w:before="0" w:after="0"/>
              <w:ind w:left="0" w:right="0"/>
            </w:pPr>
            <w:r>
              <w:t>55</w:t>
            </w:r>
          </w:p>
        </w:tc>
      </w:tr>
    </w:tbl>
    <w:p>
      <w:pPr>
        <w:bidi w:val="0"/>
      </w:pPr>
      <w:r>
        <w:t>项目运营期执行《工业企业厂界环境噪声排放标准》（GB12348-2008），详见表</w:t>
      </w:r>
      <w:r>
        <w:rPr>
          <w:rFonts w:hint="eastAsia"/>
          <w:lang w:val="en-US" w:eastAsia="zh-CN"/>
        </w:rPr>
        <w:t>8.2</w:t>
      </w:r>
      <w:r>
        <w:t>.6-5。</w:t>
      </w:r>
    </w:p>
    <w:p>
      <w:pPr>
        <w:pStyle w:val="27"/>
        <w:bidi w:val="0"/>
      </w:pPr>
      <w:r>
        <w:t xml:space="preserve">          表</w:t>
      </w:r>
      <w:r>
        <w:rPr>
          <w:rFonts w:hint="eastAsia"/>
          <w:lang w:val="en-US" w:eastAsia="zh-CN"/>
        </w:rPr>
        <w:t>8.2</w:t>
      </w:r>
      <w:r>
        <w:t>.6-5 工业企业厂界环境噪声排放标准   单位：dB（A）</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9"/>
        <w:gridCol w:w="1763"/>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27" w:type="pct"/>
            <w:vMerge w:val="restart"/>
            <w:noWrap w:val="0"/>
            <w:vAlign w:val="center"/>
          </w:tcPr>
          <w:p>
            <w:pPr>
              <w:pStyle w:val="28"/>
              <w:suppressLineNumbers w:val="0"/>
              <w:bidi w:val="0"/>
              <w:spacing w:before="0" w:after="0"/>
              <w:ind w:left="0" w:right="0"/>
            </w:pPr>
            <w:r>
              <w:t>厂界声环境功能区类别</w:t>
            </w:r>
          </w:p>
        </w:tc>
        <w:tc>
          <w:tcPr>
            <w:tcW w:w="1772" w:type="pct"/>
            <w:gridSpan w:val="2"/>
            <w:noWrap w:val="0"/>
            <w:vAlign w:val="center"/>
          </w:tcPr>
          <w:p>
            <w:pPr>
              <w:pStyle w:val="28"/>
              <w:suppressLineNumbers w:val="0"/>
              <w:bidi w:val="0"/>
              <w:spacing w:before="0" w:after="0"/>
              <w:ind w:left="0" w:right="0"/>
            </w:pPr>
            <w: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27" w:type="pct"/>
            <w:vMerge w:val="continue"/>
            <w:noWrap w:val="0"/>
            <w:vAlign w:val="center"/>
          </w:tcPr>
          <w:p>
            <w:pPr>
              <w:pStyle w:val="28"/>
              <w:suppressLineNumbers w:val="0"/>
              <w:bidi w:val="0"/>
              <w:spacing w:before="0" w:after="0"/>
              <w:ind w:left="0" w:right="0"/>
              <w:outlineLvl w:val="9"/>
            </w:pPr>
          </w:p>
        </w:tc>
        <w:tc>
          <w:tcPr>
            <w:tcW w:w="885" w:type="pct"/>
            <w:noWrap w:val="0"/>
            <w:vAlign w:val="center"/>
          </w:tcPr>
          <w:p>
            <w:pPr>
              <w:pStyle w:val="28"/>
              <w:suppressLineNumbers w:val="0"/>
              <w:bidi w:val="0"/>
              <w:spacing w:before="0" w:after="0"/>
              <w:ind w:left="0" w:right="0"/>
            </w:pPr>
            <w:r>
              <w:t>昼间</w:t>
            </w:r>
          </w:p>
        </w:tc>
        <w:tc>
          <w:tcPr>
            <w:tcW w:w="886" w:type="pct"/>
            <w:noWrap w:val="0"/>
            <w:vAlign w:val="center"/>
          </w:tcPr>
          <w:p>
            <w:pPr>
              <w:pStyle w:val="28"/>
              <w:suppressLineNumbers w:val="0"/>
              <w:bidi w:val="0"/>
              <w:spacing w:before="0" w:after="0"/>
              <w:ind w:left="0" w:right="0"/>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227" w:type="pct"/>
            <w:noWrap w:val="0"/>
            <w:vAlign w:val="center"/>
          </w:tcPr>
          <w:p>
            <w:pPr>
              <w:pStyle w:val="28"/>
              <w:suppressLineNumbers w:val="0"/>
              <w:bidi w:val="0"/>
              <w:spacing w:before="0" w:after="0"/>
              <w:ind w:left="0" w:right="0"/>
            </w:pPr>
            <w:r>
              <w:t>3类</w:t>
            </w:r>
          </w:p>
        </w:tc>
        <w:tc>
          <w:tcPr>
            <w:tcW w:w="885" w:type="pct"/>
            <w:noWrap w:val="0"/>
            <w:vAlign w:val="center"/>
          </w:tcPr>
          <w:p>
            <w:pPr>
              <w:pStyle w:val="28"/>
              <w:suppressLineNumbers w:val="0"/>
              <w:bidi w:val="0"/>
              <w:spacing w:before="0" w:after="0"/>
              <w:ind w:left="0" w:right="0"/>
            </w:pPr>
            <w:r>
              <w:t>65</w:t>
            </w:r>
          </w:p>
        </w:tc>
        <w:tc>
          <w:tcPr>
            <w:tcW w:w="886" w:type="pct"/>
            <w:noWrap w:val="0"/>
            <w:vAlign w:val="center"/>
          </w:tcPr>
          <w:p>
            <w:pPr>
              <w:pStyle w:val="28"/>
              <w:suppressLineNumbers w:val="0"/>
              <w:bidi w:val="0"/>
              <w:spacing w:before="0" w:after="0"/>
              <w:ind w:left="0" w:right="0"/>
            </w:pPr>
            <w:r>
              <w:t>55</w:t>
            </w:r>
          </w:p>
        </w:tc>
      </w:tr>
    </w:tbl>
    <w:p>
      <w:pPr>
        <w:bidi w:val="0"/>
      </w:pPr>
      <w:r>
        <w:t>（4）固废贮存标准</w:t>
      </w:r>
    </w:p>
    <w:p>
      <w:pPr>
        <w:bidi w:val="0"/>
      </w:pPr>
      <w:r>
        <w:t>一般固体废物管理应遵照《中华人民共和国固体废物污染环境防治法》、《一般工业固体废物贮存、处置场污染控制标准》（GB18599-2001）及修改单</w:t>
      </w:r>
      <w:r>
        <w:rPr>
          <w:rFonts w:hint="eastAsia"/>
          <w:lang w:eastAsia="zh-CN"/>
        </w:rPr>
        <w:t>、</w:t>
      </w:r>
      <w:r>
        <w:rPr>
          <w:rFonts w:hint="eastAsia"/>
        </w:rPr>
        <w:t>《危险废物贮存污染控制标准》（GB18597-2001）中有关规定及2013修改单</w:t>
      </w:r>
      <w:r>
        <w:t>的有关规定。</w:t>
      </w:r>
    </w:p>
    <w:p>
      <w:pPr>
        <w:pStyle w:val="5"/>
        <w:bidi w:val="0"/>
      </w:pPr>
      <w:bookmarkStart w:id="238" w:name="_Toc527394312"/>
      <w:bookmarkStart w:id="239" w:name="_Toc527487046"/>
      <w:bookmarkStart w:id="240" w:name="_Toc14212_WPSOffice_Level2"/>
      <w:r>
        <w:rPr>
          <w:rFonts w:hint="eastAsia"/>
          <w:lang w:val="en-US" w:eastAsia="zh-CN"/>
        </w:rPr>
        <w:t>8.2.7</w:t>
      </w:r>
      <w:r>
        <w:t xml:space="preserve"> 环境风险管理</w:t>
      </w:r>
      <w:bookmarkEnd w:id="238"/>
      <w:bookmarkEnd w:id="239"/>
      <w:bookmarkEnd w:id="240"/>
    </w:p>
    <w:p>
      <w:pPr>
        <w:bidi w:val="0"/>
      </w:pPr>
      <w:r>
        <w:fldChar w:fldCharType="begin"/>
      </w:r>
      <w:r>
        <w:instrText xml:space="preserve"> = 1 \* GB2 </w:instrText>
      </w:r>
      <w:r>
        <w:fldChar w:fldCharType="separate"/>
      </w:r>
      <w:r>
        <w:rPr>
          <w:rFonts w:hint="eastAsia"/>
        </w:rPr>
        <w:t>⑴</w:t>
      </w:r>
      <w:r>
        <w:fldChar w:fldCharType="end"/>
      </w:r>
      <w:r>
        <w:t xml:space="preserve"> 环境风险管理要求</w:t>
      </w:r>
    </w:p>
    <w:p>
      <w:pPr>
        <w:bidi w:val="0"/>
      </w:pPr>
      <w:r>
        <w:t>公司需建立环境风险防控和应急措施制度，包括应急物资维护管理制度、应急设施维护管理制度、人员安全防护管理制度、仓库安全管理制度、危化品装卸管理制度等，需落实定期巡检和维护责任制度。</w:t>
      </w:r>
    </w:p>
    <w:p>
      <w:pPr>
        <w:bidi w:val="0"/>
      </w:pPr>
      <w:r>
        <w:t>公司需建立应急预案体系，应急救援组织机构中技术组协助指挥部做好事件报警、通报及处置工作；向周边企业、村落提供本单位有关危险物质特性、应急措施、救援知识等；疏散组根据现场情况判断是否需要人员紧急疏散和抢救物资，如需紧急疏散须及时规定疏散路线和疏散路口；并及时协助厂内员工和周围人员及居民的紧急疏散工作。</w:t>
      </w:r>
    </w:p>
    <w:p>
      <w:pPr>
        <w:bidi w:val="0"/>
      </w:pPr>
      <w:r>
        <w:t>定期对职工开展环境风险和环境应急管理宣传和培训。在厂区内张贴应急救援机构和人员、风险物质危险特性、急救措施、风险事故内部疏散路线等标识牌。定期开展安全生产动员大会；定期组织员工进行专题培训等。</w:t>
      </w:r>
    </w:p>
    <w:p>
      <w:pPr>
        <w:bidi w:val="0"/>
      </w:pPr>
      <w:r>
        <w:fldChar w:fldCharType="begin"/>
      </w:r>
      <w:r>
        <w:instrText xml:space="preserve"> = 2 \* GB2 </w:instrText>
      </w:r>
      <w:r>
        <w:fldChar w:fldCharType="separate"/>
      </w:r>
      <w:r>
        <w:rPr>
          <w:rFonts w:hint="eastAsia"/>
        </w:rPr>
        <w:t>⑵</w:t>
      </w:r>
      <w:r>
        <w:fldChar w:fldCharType="end"/>
      </w:r>
      <w:r>
        <w:t xml:space="preserve"> 项目风险应急预案</w:t>
      </w:r>
    </w:p>
    <w:p>
      <w:pPr>
        <w:bidi w:val="0"/>
      </w:pPr>
      <w:r>
        <w:t>本项目需拟定风险应急预案，主要内容可参照表</w:t>
      </w:r>
      <w:r>
        <w:rPr>
          <w:rFonts w:hint="eastAsia"/>
          <w:lang w:val="en-US" w:eastAsia="zh-CN"/>
        </w:rPr>
        <w:t>8.2</w:t>
      </w:r>
      <w:r>
        <w:t>.7-1。</w:t>
      </w:r>
    </w:p>
    <w:p>
      <w:pPr>
        <w:pStyle w:val="27"/>
        <w:bidi w:val="0"/>
      </w:pPr>
      <w:r>
        <w:t>表</w:t>
      </w:r>
      <w:r>
        <w:rPr>
          <w:rFonts w:hint="eastAsia"/>
          <w:lang w:val="en-US" w:eastAsia="zh-CN"/>
        </w:rPr>
        <w:t>8.2</w:t>
      </w:r>
      <w:r>
        <w:t>.7-1 企业事故应急预案内容</w:t>
      </w:r>
    </w:p>
    <w:tbl>
      <w:tblPr>
        <w:tblStyle w:val="2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96"/>
        <w:gridCol w:w="2255"/>
        <w:gridCol w:w="65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76" w:hRule="atLeast"/>
        </w:trPr>
        <w:tc>
          <w:tcPr>
            <w:tcW w:w="496" w:type="dxa"/>
            <w:noWrap w:val="0"/>
            <w:vAlign w:val="center"/>
          </w:tcPr>
          <w:p>
            <w:pPr>
              <w:pStyle w:val="28"/>
              <w:suppressLineNumbers w:val="0"/>
              <w:bidi w:val="0"/>
              <w:spacing w:before="0" w:after="0"/>
              <w:ind w:left="0" w:right="0"/>
            </w:pPr>
            <w:r>
              <w:t>序号</w:t>
            </w:r>
          </w:p>
        </w:tc>
        <w:tc>
          <w:tcPr>
            <w:tcW w:w="2255" w:type="dxa"/>
            <w:noWrap w:val="0"/>
            <w:vAlign w:val="center"/>
          </w:tcPr>
          <w:p>
            <w:pPr>
              <w:pStyle w:val="28"/>
              <w:suppressLineNumbers w:val="0"/>
              <w:bidi w:val="0"/>
              <w:spacing w:before="0" w:after="0"/>
              <w:ind w:left="0" w:right="0"/>
            </w:pPr>
            <w:r>
              <w:t>项目</w:t>
            </w:r>
          </w:p>
        </w:tc>
        <w:tc>
          <w:tcPr>
            <w:tcW w:w="6535" w:type="dxa"/>
            <w:noWrap w:val="0"/>
            <w:vAlign w:val="center"/>
          </w:tcPr>
          <w:p>
            <w:pPr>
              <w:pStyle w:val="28"/>
              <w:suppressLineNumbers w:val="0"/>
              <w:bidi w:val="0"/>
              <w:spacing w:before="0" w:after="0"/>
              <w:ind w:left="0" w:right="0"/>
            </w:pPr>
            <w:r>
              <w:t>内容及要求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w:t>
            </w:r>
          </w:p>
        </w:tc>
        <w:tc>
          <w:tcPr>
            <w:tcW w:w="2255" w:type="dxa"/>
            <w:noWrap w:val="0"/>
            <w:vAlign w:val="center"/>
          </w:tcPr>
          <w:p>
            <w:pPr>
              <w:pStyle w:val="28"/>
              <w:suppressLineNumbers w:val="0"/>
              <w:bidi w:val="0"/>
              <w:spacing w:before="0" w:after="0"/>
              <w:ind w:left="0" w:right="0"/>
            </w:pPr>
            <w:r>
              <w:t>总则</w:t>
            </w:r>
          </w:p>
        </w:tc>
        <w:tc>
          <w:tcPr>
            <w:tcW w:w="6535" w:type="dxa"/>
            <w:noWrap w:val="0"/>
            <w:vAlign w:val="center"/>
          </w:tcPr>
          <w:p>
            <w:pPr>
              <w:pStyle w:val="28"/>
              <w:suppressLineNumbers w:val="0"/>
              <w:bidi w:val="0"/>
              <w:spacing w:before="0" w:after="0"/>
              <w:ind w:left="0" w:right="0"/>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2</w:t>
            </w:r>
          </w:p>
        </w:tc>
        <w:tc>
          <w:tcPr>
            <w:tcW w:w="2255" w:type="dxa"/>
            <w:noWrap w:val="0"/>
            <w:vAlign w:val="center"/>
          </w:tcPr>
          <w:p>
            <w:pPr>
              <w:pStyle w:val="28"/>
              <w:suppressLineNumbers w:val="0"/>
              <w:bidi w:val="0"/>
              <w:spacing w:before="0" w:after="0"/>
              <w:ind w:left="0" w:right="0"/>
            </w:pPr>
            <w:r>
              <w:t>危险源概况</w:t>
            </w:r>
          </w:p>
        </w:tc>
        <w:tc>
          <w:tcPr>
            <w:tcW w:w="6535" w:type="dxa"/>
            <w:noWrap w:val="0"/>
            <w:vAlign w:val="center"/>
          </w:tcPr>
          <w:p>
            <w:pPr>
              <w:pStyle w:val="28"/>
              <w:suppressLineNumbers w:val="0"/>
              <w:bidi w:val="0"/>
              <w:spacing w:before="0" w:after="0"/>
              <w:ind w:left="0" w:right="0"/>
              <w:jc w:val="left"/>
            </w:pPr>
            <w:r>
              <w:t>详述危险源概况、数据及分布。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3</w:t>
            </w:r>
          </w:p>
        </w:tc>
        <w:tc>
          <w:tcPr>
            <w:tcW w:w="2255" w:type="dxa"/>
            <w:noWrap w:val="0"/>
            <w:vAlign w:val="center"/>
          </w:tcPr>
          <w:p>
            <w:pPr>
              <w:pStyle w:val="28"/>
              <w:suppressLineNumbers w:val="0"/>
              <w:bidi w:val="0"/>
              <w:spacing w:before="0" w:after="0"/>
              <w:ind w:left="0" w:right="0"/>
            </w:pPr>
            <w:r>
              <w:t>应急计划区</w:t>
            </w:r>
          </w:p>
        </w:tc>
        <w:tc>
          <w:tcPr>
            <w:tcW w:w="6535" w:type="dxa"/>
            <w:noWrap w:val="0"/>
            <w:vAlign w:val="center"/>
          </w:tcPr>
          <w:p>
            <w:pPr>
              <w:pStyle w:val="28"/>
              <w:suppressLineNumbers w:val="0"/>
              <w:bidi w:val="0"/>
              <w:spacing w:before="0" w:after="0"/>
              <w:ind w:left="0" w:right="0"/>
              <w:jc w:val="left"/>
            </w:pPr>
            <w:r>
              <w:t>装置区、邻区。危险目标包括</w:t>
            </w:r>
            <w:r>
              <w:rPr>
                <w:rFonts w:hint="eastAsia"/>
                <w:lang w:eastAsia="zh-CN"/>
              </w:rPr>
              <w:t>车间生产区域</w:t>
            </w:r>
            <w:r>
              <w:t>；环境保护目标主要为附近居民区，另为附近其它生产企业及生产装置。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4</w:t>
            </w:r>
          </w:p>
        </w:tc>
        <w:tc>
          <w:tcPr>
            <w:tcW w:w="2255" w:type="dxa"/>
            <w:noWrap w:val="0"/>
            <w:vAlign w:val="center"/>
          </w:tcPr>
          <w:p>
            <w:pPr>
              <w:pStyle w:val="28"/>
              <w:suppressLineNumbers w:val="0"/>
              <w:bidi w:val="0"/>
              <w:spacing w:before="0" w:after="0"/>
              <w:ind w:left="0" w:right="0"/>
            </w:pPr>
            <w:r>
              <w:t>应急组织机构、人员</w:t>
            </w:r>
          </w:p>
        </w:tc>
        <w:tc>
          <w:tcPr>
            <w:tcW w:w="6535" w:type="dxa"/>
            <w:noWrap w:val="0"/>
            <w:vAlign w:val="center"/>
          </w:tcPr>
          <w:p>
            <w:pPr>
              <w:pStyle w:val="28"/>
              <w:suppressLineNumbers w:val="0"/>
              <w:bidi w:val="0"/>
              <w:spacing w:before="0" w:after="0"/>
              <w:ind w:left="0" w:right="0"/>
              <w:jc w:val="left"/>
            </w:pPr>
            <w:r>
              <w:t>工厂：厂指挥部—负责现场全面指挥。专业救援队伍—负责事故控制、救援、善后处理。</w:t>
            </w:r>
          </w:p>
          <w:p>
            <w:pPr>
              <w:pStyle w:val="28"/>
              <w:suppressLineNumbers w:val="0"/>
              <w:bidi w:val="0"/>
              <w:spacing w:before="0" w:after="0"/>
              <w:ind w:left="0" w:right="0"/>
              <w:jc w:val="left"/>
            </w:pPr>
            <w:r>
              <w:t>地区：地区指挥部—负责工厂附近地区全面指挥，救援、管制、疏散。</w:t>
            </w:r>
          </w:p>
          <w:p>
            <w:pPr>
              <w:pStyle w:val="28"/>
              <w:suppressLineNumbers w:val="0"/>
              <w:bidi w:val="0"/>
              <w:spacing w:before="0" w:after="0"/>
              <w:ind w:left="0" w:right="0"/>
              <w:jc w:val="left"/>
            </w:pPr>
            <w:r>
              <w:t>专业救援队伍—负责对厂专业救援队伍的支援。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5</w:t>
            </w:r>
          </w:p>
        </w:tc>
        <w:tc>
          <w:tcPr>
            <w:tcW w:w="2255" w:type="dxa"/>
            <w:noWrap w:val="0"/>
            <w:vAlign w:val="center"/>
          </w:tcPr>
          <w:p>
            <w:pPr>
              <w:pStyle w:val="28"/>
              <w:suppressLineNumbers w:val="0"/>
              <w:bidi w:val="0"/>
              <w:spacing w:before="0" w:after="0"/>
              <w:ind w:left="0" w:right="0"/>
            </w:pPr>
            <w:r>
              <w:t>预案状态分类及应急相应程序</w:t>
            </w:r>
          </w:p>
        </w:tc>
        <w:tc>
          <w:tcPr>
            <w:tcW w:w="6535" w:type="dxa"/>
            <w:noWrap w:val="0"/>
            <w:vAlign w:val="center"/>
          </w:tcPr>
          <w:p>
            <w:pPr>
              <w:pStyle w:val="28"/>
              <w:suppressLineNumbers w:val="0"/>
              <w:bidi w:val="0"/>
              <w:spacing w:before="0" w:after="0"/>
              <w:ind w:left="0" w:right="0"/>
              <w:jc w:val="left"/>
            </w:pPr>
            <w:r>
              <w:t>规定事故的级别及相应的应急分类响应程序。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6</w:t>
            </w:r>
          </w:p>
        </w:tc>
        <w:tc>
          <w:tcPr>
            <w:tcW w:w="2255" w:type="dxa"/>
            <w:noWrap w:val="0"/>
            <w:vAlign w:val="center"/>
          </w:tcPr>
          <w:p>
            <w:pPr>
              <w:pStyle w:val="28"/>
              <w:suppressLineNumbers w:val="0"/>
              <w:bidi w:val="0"/>
              <w:spacing w:before="0" w:after="0"/>
              <w:ind w:left="0" w:right="0"/>
            </w:pPr>
            <w:r>
              <w:t>应急设施、设备与材料</w:t>
            </w:r>
          </w:p>
        </w:tc>
        <w:tc>
          <w:tcPr>
            <w:tcW w:w="6535" w:type="dxa"/>
            <w:noWrap w:val="0"/>
            <w:vAlign w:val="center"/>
          </w:tcPr>
          <w:p>
            <w:pPr>
              <w:pStyle w:val="28"/>
              <w:suppressLineNumbers w:val="0"/>
              <w:bidi w:val="0"/>
              <w:spacing w:before="0" w:after="0"/>
              <w:ind w:left="0" w:right="0"/>
              <w:jc w:val="left"/>
            </w:pPr>
            <w:r>
              <w:t>生产装置：</w:t>
            </w:r>
            <w:r>
              <w:rPr>
                <w:rFonts w:hint="eastAsia"/>
              </w:rPr>
              <w:t>①</w:t>
            </w:r>
            <w:r>
              <w:t>防火灾、爆炸事故应急设施、设备与材料，主要为消防器材。</w:t>
            </w:r>
            <w:r>
              <w:rPr>
                <w:rFonts w:hint="eastAsia"/>
              </w:rPr>
              <w:t>②</w:t>
            </w:r>
            <w:r>
              <w:t>防有毒有害物质外溢、扩散，主要是水幕、喷淋设备等。仓储区：</w:t>
            </w:r>
            <w:r>
              <w:rPr>
                <w:rFonts w:hint="eastAsia"/>
              </w:rPr>
              <w:t>①</w:t>
            </w:r>
            <w:r>
              <w:t>防火灾、爆炸事故应急设施、设备与材料，主要为消防器材。</w:t>
            </w:r>
            <w:r>
              <w:rPr>
                <w:rFonts w:hint="eastAsia"/>
              </w:rPr>
              <w:t>②</w:t>
            </w:r>
            <w:r>
              <w:t>防有毒有害物质外溢、扩散，主要是水幕、喷淋设备等。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7</w:t>
            </w:r>
          </w:p>
        </w:tc>
        <w:tc>
          <w:tcPr>
            <w:tcW w:w="2255" w:type="dxa"/>
            <w:noWrap w:val="0"/>
            <w:vAlign w:val="center"/>
          </w:tcPr>
          <w:p>
            <w:pPr>
              <w:pStyle w:val="28"/>
              <w:suppressLineNumbers w:val="0"/>
              <w:bidi w:val="0"/>
              <w:spacing w:before="0" w:after="0"/>
              <w:ind w:left="0" w:right="0"/>
            </w:pPr>
            <w:r>
              <w:t>应急通讯、通知和交通</w:t>
            </w:r>
          </w:p>
        </w:tc>
        <w:tc>
          <w:tcPr>
            <w:tcW w:w="6535" w:type="dxa"/>
            <w:noWrap w:val="0"/>
            <w:vAlign w:val="center"/>
          </w:tcPr>
          <w:p>
            <w:pPr>
              <w:pStyle w:val="28"/>
              <w:suppressLineNumbers w:val="0"/>
              <w:bidi w:val="0"/>
              <w:spacing w:before="0" w:after="0"/>
              <w:ind w:left="0" w:right="0"/>
              <w:jc w:val="left"/>
            </w:pPr>
            <w:r>
              <w:t>规定应急状态下的通讯方式、通知方式和交通保障、管制。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8</w:t>
            </w:r>
          </w:p>
        </w:tc>
        <w:tc>
          <w:tcPr>
            <w:tcW w:w="2255" w:type="dxa"/>
            <w:noWrap w:val="0"/>
            <w:vAlign w:val="center"/>
          </w:tcPr>
          <w:p>
            <w:pPr>
              <w:pStyle w:val="28"/>
              <w:suppressLineNumbers w:val="0"/>
              <w:bidi w:val="0"/>
              <w:spacing w:before="0" w:after="0"/>
              <w:ind w:left="0" w:right="0"/>
            </w:pPr>
            <w:r>
              <w:t>应急环境监测及事故后评价</w:t>
            </w:r>
          </w:p>
        </w:tc>
        <w:tc>
          <w:tcPr>
            <w:tcW w:w="6535" w:type="dxa"/>
            <w:noWrap w:val="0"/>
            <w:vAlign w:val="center"/>
          </w:tcPr>
          <w:p>
            <w:pPr>
              <w:pStyle w:val="28"/>
              <w:suppressLineNumbers w:val="0"/>
              <w:bidi w:val="0"/>
              <w:spacing w:before="0" w:after="0"/>
              <w:ind w:left="0" w:right="0"/>
              <w:jc w:val="left"/>
            </w:pPr>
            <w:r>
              <w:t>由专业队伍负责对事故现场进行侦察监测，对事故性质、参数与后果进行评估，为指挥部门提供决策依据。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9</w:t>
            </w:r>
          </w:p>
        </w:tc>
        <w:tc>
          <w:tcPr>
            <w:tcW w:w="2255" w:type="dxa"/>
            <w:noWrap w:val="0"/>
            <w:vAlign w:val="center"/>
          </w:tcPr>
          <w:p>
            <w:pPr>
              <w:pStyle w:val="28"/>
              <w:suppressLineNumbers w:val="0"/>
              <w:bidi w:val="0"/>
              <w:spacing w:before="0" w:after="0"/>
              <w:ind w:left="0" w:right="0"/>
            </w:pPr>
            <w:r>
              <w:t>应急防护措施、清除泄漏措施和器材</w:t>
            </w:r>
          </w:p>
        </w:tc>
        <w:tc>
          <w:tcPr>
            <w:tcW w:w="6535" w:type="dxa"/>
            <w:noWrap w:val="0"/>
            <w:vAlign w:val="center"/>
          </w:tcPr>
          <w:p>
            <w:pPr>
              <w:pStyle w:val="28"/>
              <w:suppressLineNumbers w:val="0"/>
              <w:bidi w:val="0"/>
              <w:spacing w:before="0" w:after="0"/>
              <w:ind w:left="0" w:right="0"/>
              <w:jc w:val="left"/>
            </w:pPr>
            <w:r>
              <w:t>事故现场：控制事故、防止事故扩大、蔓延及连锁反应、清除现场泄漏物，降低危害，相应的设施器材配备。</w:t>
            </w:r>
          </w:p>
          <w:p>
            <w:pPr>
              <w:pStyle w:val="28"/>
              <w:suppressLineNumbers w:val="0"/>
              <w:bidi w:val="0"/>
              <w:spacing w:before="0" w:after="0"/>
              <w:ind w:left="0" w:right="0"/>
              <w:jc w:val="left"/>
            </w:pPr>
            <w:r>
              <w:t>工厂邻近区：控制防火区域，控制和清除污染措施及相应设备配备。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10</w:t>
            </w:r>
          </w:p>
        </w:tc>
        <w:tc>
          <w:tcPr>
            <w:tcW w:w="2255" w:type="dxa"/>
            <w:noWrap w:val="0"/>
            <w:vAlign w:val="center"/>
          </w:tcPr>
          <w:p>
            <w:pPr>
              <w:pStyle w:val="28"/>
              <w:suppressLineNumbers w:val="0"/>
              <w:bidi w:val="0"/>
              <w:spacing w:before="0" w:after="0"/>
              <w:ind w:left="0" w:right="0"/>
            </w:pPr>
            <w:r>
              <w:t>应急剂量控制、撤离组织计划、医疗救护与公众健康</w:t>
            </w:r>
          </w:p>
        </w:tc>
        <w:tc>
          <w:tcPr>
            <w:tcW w:w="6535" w:type="dxa"/>
            <w:noWrap w:val="0"/>
            <w:vAlign w:val="center"/>
          </w:tcPr>
          <w:p>
            <w:pPr>
              <w:pStyle w:val="28"/>
              <w:suppressLineNumbers w:val="0"/>
              <w:bidi w:val="0"/>
              <w:spacing w:before="0" w:after="0"/>
              <w:ind w:left="0" w:right="0"/>
              <w:jc w:val="left"/>
            </w:pPr>
            <w:r>
              <w:t>事故现场：事故处理人员对毒物的应急剂量控制制定，现场及邻近装置人员撤离组织计划及救护。</w:t>
            </w:r>
          </w:p>
          <w:p>
            <w:pPr>
              <w:pStyle w:val="28"/>
              <w:suppressLineNumbers w:val="0"/>
              <w:bidi w:val="0"/>
              <w:spacing w:before="0" w:after="0"/>
              <w:ind w:left="0" w:right="0"/>
              <w:jc w:val="left"/>
            </w:pPr>
            <w:r>
              <w:t>工厂邻近区：受事故影响的邻近区域人员及公众对毒物应急剂量控制规定，撤离组织计划及救护。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11</w:t>
            </w:r>
          </w:p>
        </w:tc>
        <w:tc>
          <w:tcPr>
            <w:tcW w:w="2255" w:type="dxa"/>
            <w:noWrap w:val="0"/>
            <w:vAlign w:val="center"/>
          </w:tcPr>
          <w:p>
            <w:pPr>
              <w:pStyle w:val="28"/>
              <w:suppressLineNumbers w:val="0"/>
              <w:bidi w:val="0"/>
              <w:spacing w:before="0" w:after="0"/>
              <w:ind w:left="0" w:right="0"/>
            </w:pPr>
            <w:r>
              <w:t>应急状态终止与恢复措施</w:t>
            </w:r>
          </w:p>
        </w:tc>
        <w:tc>
          <w:tcPr>
            <w:tcW w:w="6535" w:type="dxa"/>
            <w:noWrap w:val="0"/>
            <w:vAlign w:val="center"/>
          </w:tcPr>
          <w:p>
            <w:pPr>
              <w:pStyle w:val="28"/>
              <w:suppressLineNumbers w:val="0"/>
              <w:bidi w:val="0"/>
              <w:spacing w:before="0" w:after="0"/>
              <w:ind w:left="0" w:right="0"/>
              <w:jc w:val="left"/>
            </w:pPr>
            <w:r>
              <w:t>规定应急状态终止程序。</w:t>
            </w:r>
          </w:p>
          <w:p>
            <w:pPr>
              <w:pStyle w:val="28"/>
              <w:suppressLineNumbers w:val="0"/>
              <w:bidi w:val="0"/>
              <w:spacing w:before="0" w:after="0"/>
              <w:ind w:left="0" w:right="0"/>
              <w:jc w:val="left"/>
            </w:pPr>
            <w:r>
              <w:t>事故现场善后处理，恢复措施。</w:t>
            </w:r>
          </w:p>
          <w:p>
            <w:pPr>
              <w:pStyle w:val="28"/>
              <w:suppressLineNumbers w:val="0"/>
              <w:bidi w:val="0"/>
              <w:spacing w:before="0" w:after="0"/>
              <w:ind w:left="0" w:right="0"/>
              <w:jc w:val="left"/>
            </w:pPr>
            <w:r>
              <w:t>邻近区域解除事故警戒及善后恢复措施。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12</w:t>
            </w:r>
          </w:p>
        </w:tc>
        <w:tc>
          <w:tcPr>
            <w:tcW w:w="2255" w:type="dxa"/>
            <w:noWrap w:val="0"/>
            <w:vAlign w:val="center"/>
          </w:tcPr>
          <w:p>
            <w:pPr>
              <w:pStyle w:val="28"/>
              <w:suppressLineNumbers w:val="0"/>
              <w:bidi w:val="0"/>
              <w:spacing w:before="0" w:after="0"/>
              <w:ind w:left="0" w:right="0"/>
            </w:pPr>
            <w:r>
              <w:t>人员培训和演练计划</w:t>
            </w:r>
          </w:p>
        </w:tc>
        <w:tc>
          <w:tcPr>
            <w:tcW w:w="6535" w:type="dxa"/>
            <w:noWrap w:val="0"/>
            <w:vAlign w:val="center"/>
          </w:tcPr>
          <w:p>
            <w:pPr>
              <w:pStyle w:val="28"/>
              <w:suppressLineNumbers w:val="0"/>
              <w:bidi w:val="0"/>
              <w:spacing w:before="0" w:after="0"/>
              <w:ind w:left="0" w:right="0"/>
              <w:jc w:val="left"/>
            </w:pPr>
            <w:r>
              <w:t>厂内应急计划制定后，平时要定期安排对关键岗位人员进行培训与演练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13</w:t>
            </w:r>
          </w:p>
        </w:tc>
        <w:tc>
          <w:tcPr>
            <w:tcW w:w="2255" w:type="dxa"/>
            <w:noWrap w:val="0"/>
            <w:vAlign w:val="center"/>
          </w:tcPr>
          <w:p>
            <w:pPr>
              <w:pStyle w:val="28"/>
              <w:suppressLineNumbers w:val="0"/>
              <w:bidi w:val="0"/>
              <w:spacing w:before="0" w:after="0"/>
              <w:ind w:left="0" w:right="0"/>
            </w:pPr>
            <w:r>
              <w:t>公众教育和信息</w:t>
            </w:r>
          </w:p>
        </w:tc>
        <w:tc>
          <w:tcPr>
            <w:tcW w:w="6535" w:type="dxa"/>
            <w:noWrap w:val="0"/>
            <w:vAlign w:val="center"/>
          </w:tcPr>
          <w:p>
            <w:pPr>
              <w:pStyle w:val="28"/>
              <w:suppressLineNumbers w:val="0"/>
              <w:bidi w:val="0"/>
              <w:spacing w:before="0" w:after="0"/>
              <w:ind w:left="0" w:right="0"/>
              <w:jc w:val="left"/>
            </w:pPr>
            <w:r>
              <w:t>对工厂邻近地区开展公众教育、培训和发布有关信息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14</w:t>
            </w:r>
          </w:p>
        </w:tc>
        <w:tc>
          <w:tcPr>
            <w:tcW w:w="2255" w:type="dxa"/>
            <w:noWrap w:val="0"/>
            <w:vAlign w:val="center"/>
          </w:tcPr>
          <w:p>
            <w:pPr>
              <w:pStyle w:val="28"/>
              <w:suppressLineNumbers w:val="0"/>
              <w:bidi w:val="0"/>
              <w:spacing w:before="0" w:after="0"/>
              <w:ind w:left="0" w:right="0"/>
            </w:pPr>
            <w:r>
              <w:t>记录和报告</w:t>
            </w:r>
          </w:p>
        </w:tc>
        <w:tc>
          <w:tcPr>
            <w:tcW w:w="6535" w:type="dxa"/>
            <w:noWrap w:val="0"/>
            <w:vAlign w:val="center"/>
          </w:tcPr>
          <w:p>
            <w:pPr>
              <w:pStyle w:val="28"/>
              <w:suppressLineNumbers w:val="0"/>
              <w:bidi w:val="0"/>
              <w:spacing w:before="0" w:after="0"/>
              <w:ind w:left="0" w:right="0"/>
              <w:jc w:val="left"/>
            </w:pPr>
            <w:r>
              <w:t>设置应急事故专门记录，建档案和专门报告制度，设专门部门和负责管理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20" w:hRule="atLeast"/>
        </w:trPr>
        <w:tc>
          <w:tcPr>
            <w:tcW w:w="496" w:type="dxa"/>
            <w:noWrap w:val="0"/>
            <w:vAlign w:val="center"/>
          </w:tcPr>
          <w:p>
            <w:pPr>
              <w:pStyle w:val="28"/>
              <w:suppressLineNumbers w:val="0"/>
              <w:bidi w:val="0"/>
              <w:spacing w:before="0" w:after="0"/>
              <w:ind w:left="0" w:right="0"/>
            </w:pPr>
            <w:r>
              <w:t>15</w:t>
            </w:r>
          </w:p>
        </w:tc>
        <w:tc>
          <w:tcPr>
            <w:tcW w:w="2255" w:type="dxa"/>
            <w:noWrap w:val="0"/>
            <w:vAlign w:val="center"/>
          </w:tcPr>
          <w:p>
            <w:pPr>
              <w:pStyle w:val="28"/>
              <w:suppressLineNumbers w:val="0"/>
              <w:bidi w:val="0"/>
              <w:spacing w:before="0" w:after="0"/>
              <w:ind w:left="0" w:right="0"/>
            </w:pPr>
            <w:r>
              <w:t>附件</w:t>
            </w:r>
          </w:p>
        </w:tc>
        <w:tc>
          <w:tcPr>
            <w:tcW w:w="6535" w:type="dxa"/>
            <w:noWrap w:val="0"/>
            <w:vAlign w:val="center"/>
          </w:tcPr>
          <w:p>
            <w:pPr>
              <w:pStyle w:val="28"/>
              <w:suppressLineNumbers w:val="0"/>
              <w:bidi w:val="0"/>
              <w:spacing w:before="0" w:after="0"/>
              <w:ind w:left="0" w:right="0"/>
              <w:jc w:val="left"/>
            </w:pPr>
            <w:r>
              <w:t>与应急事故有关的多种附件材料的准备和形成。</w:t>
            </w:r>
          </w:p>
        </w:tc>
      </w:tr>
    </w:tbl>
    <w:p>
      <w:pPr>
        <w:pStyle w:val="5"/>
        <w:bidi w:val="0"/>
      </w:pPr>
      <w:bookmarkStart w:id="241" w:name="_Toc527394313"/>
      <w:bookmarkStart w:id="242" w:name="_Toc29618_WPSOffice_Level2"/>
      <w:bookmarkStart w:id="243" w:name="_Toc527487047"/>
      <w:r>
        <w:rPr>
          <w:rFonts w:hint="eastAsia"/>
          <w:lang w:val="en-US" w:eastAsia="zh-CN"/>
        </w:rPr>
        <w:t>8.2</w:t>
      </w:r>
      <w:r>
        <w:t>.8</w:t>
      </w:r>
      <w:r>
        <w:rPr>
          <w:rFonts w:hint="eastAsia"/>
        </w:rPr>
        <w:t>信息公开要求</w:t>
      </w:r>
      <w:bookmarkEnd w:id="241"/>
      <w:bookmarkEnd w:id="242"/>
      <w:bookmarkEnd w:id="243"/>
    </w:p>
    <w:p>
      <w:pPr>
        <w:bidi w:val="0"/>
      </w:pPr>
      <w:r>
        <w:rPr>
          <w:rFonts w:hint="eastAsia"/>
        </w:rPr>
        <w:t>根据《建设项目环境影响评价政府信息公开指南（试行）》的要求，建设单位在向环境保护主管部门提交建设项目环境影响报告文件前，应依法主动公开建设项目环境影响报告书全本信息。</w:t>
      </w:r>
    </w:p>
    <w:p>
      <w:pPr>
        <w:bidi w:val="0"/>
      </w:pPr>
      <w:r>
        <w:rPr>
          <w:rFonts w:hint="eastAsia"/>
        </w:rPr>
        <w:t>根据《企业事业单位环境信息公开办法》（部令第</w:t>
      </w:r>
      <w:r>
        <w:t>31</w:t>
      </w:r>
      <w:r>
        <w:rPr>
          <w:rFonts w:hint="eastAsia"/>
        </w:rPr>
        <w:t>号）的要求，建设单位应当在投产以后公开下列信息：</w:t>
      </w:r>
    </w:p>
    <w:p>
      <w:pPr>
        <w:bidi w:val="0"/>
      </w:pPr>
      <w:r>
        <w:t>(1)</w:t>
      </w:r>
      <w:r>
        <w:rPr>
          <w:rFonts w:hint="eastAsia"/>
        </w:rPr>
        <w:t>基础信息，包括单位名称、组织机构代码、法定代表人、生产地址、联系方式，以及生产经营和管理服务的主要内容、产品及规模；</w:t>
      </w:r>
    </w:p>
    <w:p>
      <w:pPr>
        <w:bidi w:val="0"/>
      </w:pPr>
      <w:r>
        <w:t>(2)</w:t>
      </w:r>
      <w:r>
        <w:rPr>
          <w:rFonts w:hint="eastAsia"/>
        </w:rPr>
        <w:t>排污信息，包括主要污染物及特征污染物的名称、排放方式、排放口数量和分布情况、排放浓度和总量、超标情况，以及执行的污染物排放标准、核定的排放总量；</w:t>
      </w:r>
    </w:p>
    <w:p>
      <w:pPr>
        <w:bidi w:val="0"/>
      </w:pPr>
      <w:r>
        <w:t>(3)</w:t>
      </w:r>
      <w:r>
        <w:rPr>
          <w:rFonts w:hint="eastAsia"/>
        </w:rPr>
        <w:t>防治污染设施的建设和运行情况；</w:t>
      </w:r>
    </w:p>
    <w:p>
      <w:pPr>
        <w:bidi w:val="0"/>
      </w:pPr>
      <w:r>
        <w:t>(4)</w:t>
      </w:r>
      <w:r>
        <w:rPr>
          <w:rFonts w:hint="eastAsia"/>
        </w:rPr>
        <w:t>建设项目环境影响评价及其他环境保护行政许可情况；</w:t>
      </w:r>
    </w:p>
    <w:p>
      <w:pPr>
        <w:bidi w:val="0"/>
      </w:pPr>
      <w:r>
        <w:t>(5)</w:t>
      </w:r>
      <w:r>
        <w:rPr>
          <w:rFonts w:hint="eastAsia"/>
        </w:rPr>
        <w:t>突发环境事件应急预案；</w:t>
      </w:r>
    </w:p>
    <w:p>
      <w:pPr>
        <w:bidi w:val="0"/>
      </w:pPr>
      <w:r>
        <w:t>(6)</w:t>
      </w:r>
      <w:r>
        <w:rPr>
          <w:rFonts w:hint="eastAsia"/>
        </w:rPr>
        <w:t>其他应当公开的环境信息。</w:t>
      </w:r>
    </w:p>
    <w:p>
      <w:pPr>
        <w:bidi w:val="0"/>
      </w:pPr>
      <w:r>
        <w:rPr>
          <w:rFonts w:hint="eastAsia"/>
        </w:rPr>
        <w:t>建设单位可通过其网站、企业事业单位环境信息公开平台或者当地报刊等便于公众知晓的方式公开环境信息，同时可以采取以下一种或者几种方式予以公开：</w:t>
      </w:r>
    </w:p>
    <w:p>
      <w:pPr>
        <w:bidi w:val="0"/>
      </w:pPr>
      <w:r>
        <w:t>(1)</w:t>
      </w:r>
      <w:r>
        <w:rPr>
          <w:rFonts w:hint="eastAsia"/>
        </w:rPr>
        <w:t>公告或者公开发行的信息专刊；</w:t>
      </w:r>
    </w:p>
    <w:p>
      <w:pPr>
        <w:bidi w:val="0"/>
      </w:pPr>
      <w:r>
        <w:t>(2)</w:t>
      </w:r>
      <w:r>
        <w:rPr>
          <w:rFonts w:hint="eastAsia"/>
        </w:rPr>
        <w:t>广播、电视等新闻媒体；</w:t>
      </w:r>
    </w:p>
    <w:p>
      <w:pPr>
        <w:bidi w:val="0"/>
      </w:pPr>
      <w:r>
        <w:t>(3)</w:t>
      </w:r>
      <w:r>
        <w:rPr>
          <w:rFonts w:hint="eastAsia"/>
        </w:rPr>
        <w:t>信息公开服务、监督热线电话；</w:t>
      </w:r>
    </w:p>
    <w:p>
      <w:pPr>
        <w:bidi w:val="0"/>
      </w:pPr>
      <w:r>
        <w:t>(4)</w:t>
      </w:r>
      <w:r>
        <w:rPr>
          <w:rFonts w:hint="eastAsia"/>
        </w:rPr>
        <w:t>本单位的资料索取点、信息公开栏、信息亭、电子屏幕、电子触摸屏等场所或者设施；</w:t>
      </w:r>
    </w:p>
    <w:p>
      <w:pPr>
        <w:bidi w:val="0"/>
      </w:pPr>
      <w:r>
        <w:t>(5)</w:t>
      </w:r>
      <w:r>
        <w:rPr>
          <w:rFonts w:hint="eastAsia"/>
        </w:rPr>
        <w:t>其他便于公众及时、准确获得信息的方式。</w:t>
      </w:r>
    </w:p>
    <w:p>
      <w:pPr>
        <w:pStyle w:val="5"/>
        <w:bidi w:val="0"/>
      </w:pPr>
      <w:bookmarkStart w:id="244" w:name="_Toc527487048"/>
      <w:bookmarkStart w:id="245" w:name="_Toc25848_WPSOffice_Level2"/>
      <w:r>
        <w:rPr>
          <w:rFonts w:hint="eastAsia"/>
          <w:lang w:val="en-US" w:eastAsia="zh-CN"/>
        </w:rPr>
        <w:t>8.2</w:t>
      </w:r>
      <w:r>
        <w:t>.9</w:t>
      </w:r>
      <w:r>
        <w:rPr>
          <w:rFonts w:hint="eastAsia"/>
        </w:rPr>
        <w:t>实行自行监测和定期报告</w:t>
      </w:r>
      <w:bookmarkEnd w:id="244"/>
      <w:bookmarkEnd w:id="245"/>
    </w:p>
    <w:p>
      <w:pPr>
        <w:bidi w:val="0"/>
      </w:pPr>
      <w:r>
        <w:rPr>
          <w:rFonts w:hint="eastAsia"/>
          <w:lang w:val="en-US" w:eastAsia="zh-CN"/>
        </w:rPr>
        <w:t>江苏恒贵信新材料有限公司</w:t>
      </w:r>
      <w:r>
        <w:rPr>
          <w:rFonts w:hint="eastAsia"/>
        </w:rPr>
        <w:t>应依法开展自行监测，安装或使用监测设备应符合国家有关环境监测、计量认证规定和技术规范，保障数据合法有效，保证设备正常运行，妥善保存原始记录，建立准确完整的环境管理台账，安装在线监测设备的应与环境保护部门联网。建设单位在运行过程中，须加强对环境监测数据的分析和整理，并向社会公示。如实向环境保护部门报告排污许可证执行情况，依法向社会公开污染物排放数据并对数据真实性负责。排放情况与排污许可证要求不符的，应及时向环境保护部门报告。</w:t>
      </w:r>
    </w:p>
    <w:p>
      <w:pPr>
        <w:pStyle w:val="5"/>
        <w:bidi w:val="0"/>
      </w:pPr>
      <w:bookmarkStart w:id="246" w:name="_Toc527487049"/>
      <w:bookmarkStart w:id="247" w:name="_Toc19171_WPSOffice_Level2"/>
      <w:r>
        <w:rPr>
          <w:rFonts w:hint="eastAsia"/>
          <w:lang w:val="en-US" w:eastAsia="zh-CN"/>
        </w:rPr>
        <w:t>8.2.10</w:t>
      </w:r>
      <w:r>
        <w:t xml:space="preserve"> </w:t>
      </w:r>
      <w:r>
        <w:rPr>
          <w:rFonts w:hint="eastAsia"/>
        </w:rPr>
        <w:t>落实按证排污责任</w:t>
      </w:r>
      <w:bookmarkEnd w:id="246"/>
      <w:bookmarkEnd w:id="247"/>
    </w:p>
    <w:p>
      <w:pPr>
        <w:bidi w:val="0"/>
      </w:pPr>
      <w:r>
        <w:rPr>
          <w:rFonts w:hint="eastAsia"/>
        </w:rPr>
        <w:t>纳入排污许可管理的所有企事业单位必须按期持证排污、按证排污，不得无证排污。企事业单位应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4"/>
        <w:bidi w:val="0"/>
      </w:pPr>
      <w:bookmarkStart w:id="248" w:name="_Toc13876"/>
      <w:r>
        <w:rPr>
          <w:rFonts w:hint="eastAsia"/>
          <w:lang w:val="en-US" w:eastAsia="zh-CN"/>
        </w:rPr>
        <w:t xml:space="preserve">8.3 </w:t>
      </w:r>
      <w:bookmarkStart w:id="249" w:name="_Toc502301800"/>
      <w:bookmarkStart w:id="250" w:name="_Toc10845_WPSOffice_Level1"/>
      <w:bookmarkStart w:id="251" w:name="_Toc527487050"/>
      <w:bookmarkStart w:id="252" w:name="_Toc527394314"/>
      <w:bookmarkStart w:id="253" w:name="_Toc483502243"/>
      <w:r>
        <w:rPr>
          <w:rFonts w:hint="eastAsia"/>
        </w:rPr>
        <w:t>环境管理制度、组织机构和环境管理台账要求</w:t>
      </w:r>
      <w:bookmarkEnd w:id="248"/>
      <w:bookmarkEnd w:id="249"/>
      <w:bookmarkEnd w:id="250"/>
      <w:bookmarkEnd w:id="251"/>
      <w:bookmarkEnd w:id="252"/>
      <w:bookmarkEnd w:id="253"/>
    </w:p>
    <w:p>
      <w:pPr>
        <w:pStyle w:val="5"/>
        <w:bidi w:val="0"/>
        <w:rPr>
          <w:rFonts w:hint="default"/>
          <w:lang w:val="en-US" w:eastAsia="zh-CN"/>
        </w:rPr>
      </w:pPr>
      <w:bookmarkStart w:id="254" w:name="_Toc527394315"/>
      <w:bookmarkStart w:id="255" w:name="_Toc23793_WPSOffice_Level2"/>
      <w:bookmarkStart w:id="256" w:name="_Toc527487051"/>
      <w:r>
        <w:rPr>
          <w:rFonts w:hint="eastAsia"/>
          <w:lang w:val="en-US" w:eastAsia="zh-CN"/>
        </w:rPr>
        <w:t>8.3.1 主要环境管理制度</w:t>
      </w:r>
    </w:p>
    <w:p>
      <w:pPr>
        <w:bidi w:val="0"/>
        <w:rPr>
          <w:rFonts w:hint="eastAsia"/>
        </w:rPr>
      </w:pPr>
      <w:r>
        <w:rPr>
          <w:rFonts w:hint="eastAsia"/>
        </w:rPr>
        <w:t>本项目从设计施工到投入生产营运，必须贯彻执行以下环境管理制度：</w:t>
      </w:r>
    </w:p>
    <w:p>
      <w:pPr>
        <w:bidi w:val="0"/>
        <w:rPr>
          <w:rFonts w:hint="eastAsia"/>
        </w:rPr>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rPr>
          <w:rFonts w:hint="eastAsia"/>
        </w:rPr>
        <w:t>环境影响评价制度</w:t>
      </w:r>
    </w:p>
    <w:p>
      <w:pPr>
        <w:bidi w:val="0"/>
        <w:rPr>
          <w:rFonts w:hint="eastAsia"/>
        </w:rPr>
      </w:pPr>
      <w:r>
        <w:rPr>
          <w:rFonts w:hint="eastAsia"/>
        </w:rPr>
        <w:t>按照《建设项目环境保护管理条例》、《建设项目环境管理分类名录》要求，进行项目环境影响评价，经有权限的环保行政主管部门审批后方可启动项目建设。</w:t>
      </w:r>
    </w:p>
    <w:p>
      <w:pPr>
        <w:bidi w:val="0"/>
        <w:rPr>
          <w:rFonts w:hint="eastAsia"/>
        </w:rPr>
      </w:pPr>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rPr>
          <w:rFonts w:hint="eastAsia"/>
        </w:rPr>
        <w:t>“三同时”制度</w:t>
      </w:r>
    </w:p>
    <w:p>
      <w:pPr>
        <w:bidi w:val="0"/>
        <w:rPr>
          <w:rFonts w:hint="eastAsia"/>
        </w:rPr>
      </w:pPr>
      <w:r>
        <w:rPr>
          <w:rFonts w:hint="eastAsia"/>
        </w:rPr>
        <w:t>认真贯彻执行环保“三同时”制度。设计单位必须将环境保护设施与主体工程同时设计，建设单位必须保证防治污染及其它公害的设施与主体工程项目同时施工、同时投入使用，工程竣工后，应提交有关环保内容的竣工验收报告或专项竣工验收报告，经环保主管部门验收合格后，方可投入运行。</w:t>
      </w:r>
    </w:p>
    <w:p>
      <w:pPr>
        <w:bidi w:val="0"/>
        <w:rPr>
          <w:rFonts w:hint="eastAsia"/>
        </w:rPr>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rPr>
          <w:rFonts w:hint="eastAsia"/>
        </w:rPr>
        <w:t>排污申报登记制度</w:t>
      </w:r>
    </w:p>
    <w:p>
      <w:pPr>
        <w:bidi w:val="0"/>
        <w:rPr>
          <w:rFonts w:hint="eastAsia"/>
        </w:rPr>
      </w:pPr>
      <w:r>
        <w:rPr>
          <w:rFonts w:hint="eastAsia"/>
        </w:rPr>
        <w:t>按照国家和地方环境保护规定，企业应及时向当地环境保护部门进行污染物排放申请登记。经环保部门批准后，方可按分配的指标排放。</w:t>
      </w:r>
    </w:p>
    <w:p>
      <w:pPr>
        <w:bidi w:val="0"/>
        <w:rPr>
          <w:rFonts w:hint="eastAsia"/>
        </w:rPr>
      </w:pPr>
      <w:r>
        <w:rPr>
          <w:rFonts w:hint="eastAsia"/>
        </w:rPr>
        <w:fldChar w:fldCharType="begin"/>
      </w:r>
      <w:r>
        <w:rPr>
          <w:rFonts w:hint="eastAsia"/>
        </w:rPr>
        <w:instrText xml:space="preserve"> = 4 \* GB2 \* MERGEFORMAT </w:instrText>
      </w:r>
      <w:r>
        <w:rPr>
          <w:rFonts w:hint="eastAsia"/>
        </w:rPr>
        <w:fldChar w:fldCharType="separate"/>
      </w:r>
      <w:r>
        <w:t>⑷</w:t>
      </w:r>
      <w:r>
        <w:rPr>
          <w:rFonts w:hint="eastAsia"/>
        </w:rPr>
        <w:fldChar w:fldCharType="end"/>
      </w:r>
      <w:r>
        <w:rPr>
          <w:rFonts w:hint="eastAsia"/>
        </w:rPr>
        <w:t>环保设施运行管理制度</w:t>
      </w:r>
    </w:p>
    <w:p>
      <w:pPr>
        <w:bidi w:val="0"/>
        <w:rPr>
          <w:rFonts w:hint="eastAsia"/>
        </w:rPr>
      </w:pPr>
      <w:r>
        <w:rPr>
          <w:rFonts w:hint="eastAsia"/>
        </w:rPr>
        <w:t>建立环保设施定期检查制度和污染治理岗位责任制，实行污染治理岗位运行记录制度，以确保污染治理设施稳定高效运行。当污染治理设施发生故障时，应及时组织抢修，并根据实际情况采取相应措施（限产或停止生产），防止发生事故排放。</w:t>
      </w:r>
    </w:p>
    <w:p>
      <w:pPr>
        <w:bidi w:val="0"/>
        <w:rPr>
          <w:rFonts w:hint="eastAsia"/>
        </w:rPr>
      </w:pPr>
      <w:r>
        <w:rPr>
          <w:rFonts w:hint="eastAsia"/>
        </w:rPr>
        <w:fldChar w:fldCharType="begin"/>
      </w:r>
      <w:r>
        <w:rPr>
          <w:rFonts w:hint="eastAsia"/>
        </w:rPr>
        <w:instrText xml:space="preserve"> = 5 \* GB2 \* MERGEFORMAT </w:instrText>
      </w:r>
      <w:r>
        <w:rPr>
          <w:rFonts w:hint="eastAsia"/>
        </w:rPr>
        <w:fldChar w:fldCharType="separate"/>
      </w:r>
      <w:r>
        <w:t>⑸</w:t>
      </w:r>
      <w:r>
        <w:rPr>
          <w:rFonts w:hint="eastAsia"/>
        </w:rPr>
        <w:fldChar w:fldCharType="end"/>
      </w:r>
      <w:r>
        <w:rPr>
          <w:rFonts w:hint="eastAsia"/>
        </w:rPr>
        <w:t>报告制度</w:t>
      </w:r>
    </w:p>
    <w:p>
      <w:pPr>
        <w:bidi w:val="0"/>
        <w:rPr>
          <w:rFonts w:hint="eastAsia"/>
        </w:rPr>
      </w:pPr>
      <w:r>
        <w:rPr>
          <w:rFonts w:hint="eastAsia"/>
        </w:rPr>
        <w:t>按照江苏省环境保护厅制定的重点企业月报表实施月报制度。月报内容主要为污染治理设施运行情况、污染物排放情况及污染事故或污染纠纷及处理情况等。项目排污发生重大变化、污染治理设施改变或者项目改扩建等必须向当地环保行政主管部门申报，履行手续。</w:t>
      </w:r>
    </w:p>
    <w:p>
      <w:pPr>
        <w:pStyle w:val="27"/>
        <w:bidi w:val="0"/>
      </w:pPr>
      <w:r>
        <w:rPr>
          <w:rFonts w:hint="eastAsia"/>
        </w:rPr>
        <w:t>表8.</w:t>
      </w:r>
      <w:r>
        <w:rPr>
          <w:rFonts w:hint="eastAsia"/>
          <w:lang w:val="en-US" w:eastAsia="zh-CN"/>
        </w:rPr>
        <w:t>3.1</w:t>
      </w:r>
      <w:r>
        <w:rPr>
          <w:rFonts w:hint="eastAsia"/>
        </w:rPr>
        <w:t>-1 建设项目环境管理总体规划表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Align w:val="center"/>
          </w:tcPr>
          <w:p>
            <w:pPr>
              <w:pStyle w:val="28"/>
              <w:suppressLineNumbers w:val="0"/>
              <w:bidi w:val="0"/>
              <w:spacing w:before="0" w:after="0"/>
              <w:ind w:left="0" w:right="0"/>
              <w:jc w:val="center"/>
            </w:pPr>
            <w:r>
              <w:rPr>
                <w:rFonts w:hint="eastAsia"/>
              </w:rPr>
              <w:t>建议书阶段</w:t>
            </w:r>
          </w:p>
        </w:tc>
        <w:tc>
          <w:tcPr>
            <w:tcW w:w="8114" w:type="dxa"/>
          </w:tcPr>
          <w:p>
            <w:pPr>
              <w:pStyle w:val="28"/>
              <w:suppressLineNumbers w:val="0"/>
              <w:bidi w:val="0"/>
              <w:spacing w:before="0" w:after="0"/>
              <w:ind w:left="0" w:right="0"/>
              <w:jc w:val="both"/>
            </w:pPr>
            <w:r>
              <w:rPr>
                <w:rFonts w:hint="eastAsia"/>
              </w:rPr>
              <w:t>根据建设项目的性质、规模、厂址、环境现状等有关资料，对项目建成后可能造成的环境影响进行简要说明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pStyle w:val="28"/>
              <w:suppressLineNumbers w:val="0"/>
              <w:bidi w:val="0"/>
              <w:spacing w:before="0" w:after="0"/>
              <w:ind w:left="0" w:right="0"/>
              <w:jc w:val="center"/>
            </w:pPr>
            <w:r>
              <w:rPr>
                <w:rFonts w:hint="eastAsia"/>
              </w:rPr>
              <w:t>可研阶段</w:t>
            </w:r>
          </w:p>
        </w:tc>
        <w:tc>
          <w:tcPr>
            <w:tcW w:w="8114" w:type="dxa"/>
          </w:tcPr>
          <w:p>
            <w:pPr>
              <w:pStyle w:val="28"/>
              <w:suppressLineNumbers w:val="0"/>
              <w:bidi w:val="0"/>
              <w:spacing w:before="0" w:after="0"/>
              <w:ind w:left="0" w:right="0"/>
              <w:jc w:val="both"/>
            </w:pPr>
            <w:r>
              <w:rPr>
                <w:rFonts w:hint="eastAsia"/>
              </w:rPr>
              <w:t>委托评价单位进行环境影响评价工作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vAlign w:val="center"/>
          </w:tcPr>
          <w:p>
            <w:pPr>
              <w:pStyle w:val="28"/>
              <w:suppressLineNumbers w:val="0"/>
              <w:bidi w:val="0"/>
              <w:spacing w:before="0" w:after="0"/>
              <w:ind w:left="0" w:right="0"/>
              <w:jc w:val="center"/>
              <w:outlineLvl w:val="9"/>
            </w:pPr>
          </w:p>
        </w:tc>
        <w:tc>
          <w:tcPr>
            <w:tcW w:w="8114" w:type="dxa"/>
          </w:tcPr>
          <w:p>
            <w:pPr>
              <w:pStyle w:val="28"/>
              <w:suppressLineNumbers w:val="0"/>
              <w:bidi w:val="0"/>
              <w:spacing w:before="0" w:after="0"/>
              <w:ind w:left="0" w:right="0"/>
              <w:jc w:val="both"/>
            </w:pPr>
            <w:r>
              <w:rPr>
                <w:rFonts w:hint="eastAsia"/>
              </w:rPr>
              <w:t>进行环境现状监测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pStyle w:val="28"/>
              <w:suppressLineNumbers w:val="0"/>
              <w:bidi w:val="0"/>
              <w:spacing w:before="0" w:after="0"/>
              <w:ind w:left="0" w:right="0"/>
              <w:jc w:val="center"/>
            </w:pPr>
            <w:r>
              <w:rPr>
                <w:rFonts w:hint="eastAsia"/>
              </w:rPr>
              <w:t>施工阶段</w:t>
            </w:r>
          </w:p>
        </w:tc>
        <w:tc>
          <w:tcPr>
            <w:tcW w:w="8114" w:type="dxa"/>
          </w:tcPr>
          <w:p>
            <w:pPr>
              <w:pStyle w:val="28"/>
              <w:suppressLineNumbers w:val="0"/>
              <w:bidi w:val="0"/>
              <w:spacing w:before="0" w:after="0"/>
              <w:ind w:left="0" w:right="0"/>
              <w:jc w:val="both"/>
            </w:pPr>
            <w:r>
              <w:rPr>
                <w:rFonts w:hint="eastAsia"/>
              </w:rPr>
              <w:t>依法执行环保设施与主体工程“三同时”制度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vAlign w:val="center"/>
          </w:tcPr>
          <w:p>
            <w:pPr>
              <w:pStyle w:val="28"/>
              <w:suppressLineNumbers w:val="0"/>
              <w:bidi w:val="0"/>
              <w:spacing w:before="0" w:after="0"/>
              <w:ind w:left="0" w:right="0"/>
              <w:jc w:val="center"/>
              <w:outlineLvl w:val="9"/>
            </w:pPr>
          </w:p>
        </w:tc>
        <w:tc>
          <w:tcPr>
            <w:tcW w:w="8114" w:type="dxa"/>
          </w:tcPr>
          <w:p>
            <w:pPr>
              <w:pStyle w:val="28"/>
              <w:suppressLineNumbers w:val="0"/>
              <w:bidi w:val="0"/>
              <w:spacing w:before="0" w:after="0"/>
              <w:ind w:left="0" w:right="0"/>
              <w:jc w:val="both"/>
            </w:pPr>
            <w:r>
              <w:rPr>
                <w:rFonts w:hint="eastAsia"/>
              </w:rPr>
              <w:t>保护施工现场周围的环境，防止对自然环境造成不应有的破坏，项目竣工后，施工单位应该修整和复原在建设过程中受到破坏的环境，此阶段应进行施工环境监理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pStyle w:val="28"/>
              <w:suppressLineNumbers w:val="0"/>
              <w:bidi w:val="0"/>
              <w:spacing w:before="0" w:after="0"/>
              <w:ind w:left="0" w:right="0"/>
              <w:jc w:val="center"/>
            </w:pPr>
            <w:r>
              <w:rPr>
                <w:rFonts w:hint="eastAsia"/>
              </w:rPr>
              <w:t>试生产阶段</w:t>
            </w:r>
          </w:p>
        </w:tc>
        <w:tc>
          <w:tcPr>
            <w:tcW w:w="8114" w:type="dxa"/>
          </w:tcPr>
          <w:p>
            <w:pPr>
              <w:pStyle w:val="28"/>
              <w:suppressLineNumbers w:val="0"/>
              <w:bidi w:val="0"/>
              <w:spacing w:before="0" w:after="0"/>
              <w:ind w:left="0" w:right="0"/>
              <w:jc w:val="both"/>
            </w:pPr>
            <w:r>
              <w:rPr>
                <w:rFonts w:hint="eastAsia"/>
              </w:rPr>
              <w:t>完善准备、最大限度减少事故发生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vAlign w:val="center"/>
          </w:tcPr>
          <w:p>
            <w:pPr>
              <w:pStyle w:val="28"/>
              <w:suppressLineNumbers w:val="0"/>
              <w:bidi w:val="0"/>
              <w:spacing w:before="0" w:after="0"/>
              <w:ind w:left="0" w:right="0"/>
              <w:jc w:val="center"/>
              <w:outlineLvl w:val="9"/>
            </w:pPr>
          </w:p>
        </w:tc>
        <w:tc>
          <w:tcPr>
            <w:tcW w:w="8114" w:type="dxa"/>
          </w:tcPr>
          <w:p>
            <w:pPr>
              <w:pStyle w:val="28"/>
              <w:suppressLineNumbers w:val="0"/>
              <w:bidi w:val="0"/>
              <w:spacing w:before="0" w:after="0"/>
              <w:ind w:left="0" w:right="0"/>
              <w:jc w:val="both"/>
              <w:rPr>
                <w:rFonts w:hint="eastAsia"/>
              </w:rPr>
            </w:pPr>
            <w:r>
              <w:rPr>
                <w:rFonts w:hint="eastAsia"/>
              </w:rPr>
              <w:t>进行多方技术论证，完善工艺方案；严格施工设计监理，保证工程质量；</w:t>
            </w:r>
          </w:p>
          <w:p>
            <w:pPr>
              <w:pStyle w:val="28"/>
              <w:suppressLineNumbers w:val="0"/>
              <w:bidi w:val="0"/>
              <w:spacing w:before="0" w:after="0"/>
              <w:ind w:left="0" w:right="0"/>
              <w:jc w:val="both"/>
            </w:pPr>
            <w:r>
              <w:rPr>
                <w:rFonts w:hint="eastAsia"/>
              </w:rPr>
              <w:t>建立生产工序管理和生产运转卡；向环保部门提交竣工验收报告。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pStyle w:val="28"/>
              <w:suppressLineNumbers w:val="0"/>
              <w:bidi w:val="0"/>
              <w:spacing w:before="0" w:after="0"/>
              <w:ind w:left="0" w:right="0"/>
              <w:jc w:val="center"/>
            </w:pPr>
            <w:r>
              <w:rPr>
                <w:rFonts w:hint="eastAsia"/>
              </w:rPr>
              <w:t>规模生产阶段</w:t>
            </w:r>
          </w:p>
        </w:tc>
        <w:tc>
          <w:tcPr>
            <w:tcW w:w="8114" w:type="dxa"/>
          </w:tcPr>
          <w:p>
            <w:pPr>
              <w:pStyle w:val="28"/>
              <w:suppressLineNumbers w:val="0"/>
              <w:bidi w:val="0"/>
              <w:spacing w:before="0" w:after="0"/>
              <w:ind w:left="0" w:right="0"/>
              <w:jc w:val="both"/>
              <w:rPr>
                <w:rFonts w:hint="eastAsia"/>
                <w:lang w:eastAsia="zh-CN"/>
              </w:rPr>
            </w:pPr>
            <w:r>
              <w:rPr>
                <w:rFonts w:hint="eastAsia"/>
                <w:lang w:eastAsia="zh-CN"/>
              </w:rPr>
              <w:t>加强环保设备运行检查，力求达产达标，降低超标排污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vAlign w:val="center"/>
          </w:tcPr>
          <w:p>
            <w:pPr>
              <w:pStyle w:val="28"/>
              <w:suppressLineNumbers w:val="0"/>
              <w:bidi w:val="0"/>
              <w:spacing w:before="0" w:after="0"/>
              <w:ind w:left="0" w:right="0"/>
              <w:jc w:val="center"/>
              <w:outlineLvl w:val="9"/>
            </w:pPr>
          </w:p>
        </w:tc>
        <w:tc>
          <w:tcPr>
            <w:tcW w:w="8114" w:type="dxa"/>
          </w:tcPr>
          <w:p>
            <w:pPr>
              <w:pStyle w:val="28"/>
              <w:suppressLineNumbers w:val="0"/>
              <w:bidi w:val="0"/>
              <w:spacing w:before="0" w:after="0"/>
              <w:ind w:left="0" w:right="0"/>
              <w:jc w:val="both"/>
              <w:rPr>
                <w:rFonts w:hint="eastAsia"/>
                <w:lang w:eastAsia="zh-CN"/>
              </w:rPr>
            </w:pPr>
            <w:r>
              <w:rPr>
                <w:rFonts w:hint="eastAsia"/>
                <w:lang w:eastAsia="zh-CN"/>
              </w:rPr>
              <w:t>监督检查环保措施的执行；监督检查环保设施的运行情况；监督检查污染物的监测工作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restart"/>
            <w:vAlign w:val="center"/>
          </w:tcPr>
          <w:p>
            <w:pPr>
              <w:pStyle w:val="28"/>
              <w:suppressLineNumbers w:val="0"/>
              <w:bidi w:val="0"/>
              <w:spacing w:before="0" w:after="0"/>
              <w:ind w:left="0" w:right="0"/>
              <w:jc w:val="center"/>
              <w:rPr>
                <w:rFonts w:hint="eastAsia"/>
                <w:lang w:eastAsia="zh-CN"/>
              </w:rPr>
            </w:pPr>
            <w:r>
              <w:rPr>
                <w:rFonts w:hint="eastAsia"/>
                <w:lang w:eastAsia="zh-CN"/>
              </w:rPr>
              <w:t>信息反馈和群众监督</w:t>
            </w:r>
          </w:p>
        </w:tc>
        <w:tc>
          <w:tcPr>
            <w:tcW w:w="8114" w:type="dxa"/>
          </w:tcPr>
          <w:p>
            <w:pPr>
              <w:pStyle w:val="28"/>
              <w:suppressLineNumbers w:val="0"/>
              <w:bidi w:val="0"/>
              <w:spacing w:before="0" w:after="0"/>
              <w:ind w:left="0" w:right="0"/>
              <w:jc w:val="both"/>
              <w:rPr>
                <w:rFonts w:hint="eastAsia"/>
                <w:lang w:eastAsia="zh-CN"/>
              </w:rPr>
            </w:pPr>
            <w:r>
              <w:rPr>
                <w:rFonts w:hint="eastAsia"/>
                <w:lang w:eastAsia="zh-CN"/>
              </w:rPr>
              <w:t>反馈监督数据，加强群众监督，改进污染治理工作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8" w:type="dxa"/>
            <w:vMerge w:val="continue"/>
          </w:tcPr>
          <w:p>
            <w:pPr>
              <w:pStyle w:val="28"/>
              <w:suppressLineNumbers w:val="0"/>
              <w:bidi w:val="0"/>
              <w:spacing w:before="0" w:after="0"/>
              <w:ind w:left="0" w:right="0"/>
              <w:outlineLvl w:val="9"/>
            </w:pPr>
          </w:p>
        </w:tc>
        <w:tc>
          <w:tcPr>
            <w:tcW w:w="8114" w:type="dxa"/>
          </w:tcPr>
          <w:p>
            <w:pPr>
              <w:pStyle w:val="28"/>
              <w:suppressLineNumbers w:val="0"/>
              <w:bidi w:val="0"/>
              <w:spacing w:before="0" w:after="0"/>
              <w:ind w:left="0" w:right="0"/>
              <w:jc w:val="both"/>
            </w:pPr>
            <w:r>
              <w:rPr>
                <w:rFonts w:hint="eastAsia"/>
                <w:lang w:eastAsia="zh-CN"/>
              </w:rPr>
              <w:t>建立奖惩制度确保</w:t>
            </w:r>
            <w:r>
              <w:rPr>
                <w:rFonts w:hint="eastAsia"/>
              </w:rPr>
              <w:t>环保设施正常运转；整理监测数据，相关技术人员据此研究并改进工艺的先进性；收集附近企业、群众意见并选代表作为监督员</w:t>
            </w:r>
          </w:p>
        </w:tc>
      </w:tr>
    </w:tbl>
    <w:p>
      <w:pPr>
        <w:bidi w:val="0"/>
        <w:rPr>
          <w:rFonts w:hint="eastAsia"/>
        </w:rPr>
      </w:pPr>
      <w:r>
        <w:rPr>
          <w:rFonts w:hint="eastAsia"/>
        </w:rPr>
        <w:t>本项目运行期环境管理详细计划见表</w:t>
      </w:r>
      <w:r>
        <w:rPr>
          <w:rFonts w:hint="eastAsia"/>
          <w:lang w:val="en-US" w:eastAsia="zh-CN"/>
        </w:rPr>
        <w:t>8.3.1</w:t>
      </w:r>
      <w:r>
        <w:rPr>
          <w:rFonts w:hint="eastAsia"/>
        </w:rPr>
        <w:t>-2。</w:t>
      </w:r>
    </w:p>
    <w:p>
      <w:pPr>
        <w:pStyle w:val="27"/>
        <w:keepNext/>
        <w:keepLines/>
        <w:pageBreakBefore w:val="0"/>
        <w:widowControl w:val="0"/>
        <w:kinsoku/>
        <w:wordWrap/>
        <w:overflowPunct/>
        <w:topLinePunct w:val="0"/>
        <w:autoSpaceDE/>
        <w:autoSpaceDN/>
        <w:bidi w:val="0"/>
        <w:adjustRightInd/>
        <w:snapToGrid/>
        <w:textAlignment w:val="auto"/>
        <w:rPr>
          <w:rFonts w:hint="eastAsia"/>
        </w:rPr>
      </w:pPr>
      <w:r>
        <w:rPr>
          <w:rFonts w:hint="eastAsia"/>
        </w:rPr>
        <w:t>表</w:t>
      </w:r>
      <w:r>
        <w:rPr>
          <w:rFonts w:hint="eastAsia"/>
          <w:lang w:val="en-US" w:eastAsia="zh-CN"/>
        </w:rPr>
        <w:t>8.3.1-2</w:t>
      </w:r>
      <w:r>
        <w:rPr>
          <w:rFonts w:hint="eastAsia"/>
        </w:rPr>
        <w:t xml:space="preserve"> 重点环节环境管理方案</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7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Align w:val="center"/>
          </w:tcPr>
          <w:p>
            <w:pPr>
              <w:pStyle w:val="28"/>
              <w:suppressLineNumbers w:val="0"/>
              <w:bidi w:val="0"/>
              <w:spacing w:before="0" w:after="0"/>
              <w:ind w:left="0" w:right="0"/>
              <w:rPr>
                <w:rFonts w:hint="eastAsia"/>
                <w:lang w:eastAsia="zh-CN"/>
              </w:rPr>
            </w:pPr>
            <w:r>
              <w:rPr>
                <w:rFonts w:hint="eastAsia"/>
                <w:lang w:eastAsia="zh-CN"/>
              </w:rPr>
              <w:t>环境问题</w:t>
            </w:r>
          </w:p>
        </w:tc>
        <w:tc>
          <w:tcPr>
            <w:tcW w:w="7629" w:type="dxa"/>
          </w:tcPr>
          <w:p>
            <w:pPr>
              <w:pStyle w:val="28"/>
              <w:suppressLineNumbers w:val="0"/>
              <w:bidi w:val="0"/>
              <w:spacing w:before="0" w:after="0"/>
              <w:ind w:left="0" w:right="0"/>
              <w:rPr>
                <w:rFonts w:hint="eastAsia"/>
                <w:lang w:eastAsia="zh-CN"/>
              </w:rPr>
            </w:pPr>
            <w:r>
              <w:rPr>
                <w:rFonts w:hint="eastAsia"/>
                <w:lang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Merge w:val="restart"/>
            <w:vAlign w:val="center"/>
          </w:tcPr>
          <w:p>
            <w:pPr>
              <w:pStyle w:val="28"/>
              <w:suppressLineNumbers w:val="0"/>
              <w:bidi w:val="0"/>
              <w:spacing w:before="0" w:after="0"/>
              <w:ind w:left="0" w:right="0"/>
              <w:rPr>
                <w:rFonts w:hint="eastAsia"/>
                <w:lang w:eastAsia="zh-CN"/>
              </w:rPr>
            </w:pPr>
            <w:r>
              <w:rPr>
                <w:rFonts w:hint="eastAsia"/>
                <w:lang w:eastAsia="zh-CN"/>
              </w:rPr>
              <w:t>废气排放</w:t>
            </w:r>
          </w:p>
        </w:tc>
        <w:tc>
          <w:tcPr>
            <w:tcW w:w="7629" w:type="dxa"/>
          </w:tcPr>
          <w:p>
            <w:pPr>
              <w:pStyle w:val="28"/>
              <w:suppressLineNumbers w:val="0"/>
              <w:bidi w:val="0"/>
              <w:spacing w:before="0" w:after="0"/>
              <w:ind w:left="0" w:right="0"/>
              <w:jc w:val="left"/>
            </w:pPr>
            <w:r>
              <w:rPr>
                <w:rFonts w:hint="eastAsia"/>
              </w:rPr>
              <w:t>对各无组织排放点进行严格控制，加强操作技能，以减少泄漏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Merge w:val="continue"/>
            <w:vAlign w:val="center"/>
          </w:tcPr>
          <w:p>
            <w:pPr>
              <w:pStyle w:val="28"/>
              <w:suppressLineNumbers w:val="0"/>
              <w:bidi w:val="0"/>
              <w:spacing w:before="0" w:after="0"/>
              <w:ind w:left="0" w:right="0"/>
              <w:outlineLvl w:val="9"/>
            </w:pPr>
          </w:p>
        </w:tc>
        <w:tc>
          <w:tcPr>
            <w:tcW w:w="7629" w:type="dxa"/>
          </w:tcPr>
          <w:p>
            <w:pPr>
              <w:pStyle w:val="28"/>
              <w:suppressLineNumbers w:val="0"/>
              <w:bidi w:val="0"/>
              <w:spacing w:before="0" w:after="0"/>
              <w:ind w:left="0" w:right="0"/>
              <w:jc w:val="left"/>
            </w:pPr>
            <w:r>
              <w:rPr>
                <w:rFonts w:hint="eastAsia"/>
              </w:rPr>
              <w:t>定期进行生产知识强化训练，不断提高操作人员的文化素质及环保意识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Merge w:val="restart"/>
            <w:vAlign w:val="center"/>
          </w:tcPr>
          <w:p>
            <w:pPr>
              <w:pStyle w:val="28"/>
              <w:suppressLineNumbers w:val="0"/>
              <w:bidi w:val="0"/>
              <w:spacing w:before="0" w:after="0"/>
              <w:ind w:left="0" w:right="0"/>
            </w:pPr>
            <w:r>
              <w:rPr>
                <w:rFonts w:hint="eastAsia"/>
              </w:rPr>
              <w:t>废水排放</w:t>
            </w:r>
          </w:p>
        </w:tc>
        <w:tc>
          <w:tcPr>
            <w:tcW w:w="7629" w:type="dxa"/>
          </w:tcPr>
          <w:p>
            <w:pPr>
              <w:pStyle w:val="28"/>
              <w:suppressLineNumbers w:val="0"/>
              <w:bidi w:val="0"/>
              <w:spacing w:before="0" w:after="0"/>
              <w:ind w:left="0" w:right="0"/>
              <w:jc w:val="left"/>
            </w:pPr>
            <w:r>
              <w:rPr>
                <w:rFonts w:hint="eastAsia"/>
              </w:rPr>
              <w:t>严格</w:t>
            </w:r>
            <w:r>
              <w:rPr>
                <w:rFonts w:hint="eastAsia"/>
                <w:lang w:eastAsia="zh-CN"/>
              </w:rPr>
              <w:t>污水</w:t>
            </w:r>
            <w:r>
              <w:rPr>
                <w:rFonts w:hint="eastAsia"/>
              </w:rPr>
              <w:t>管理，加强污水处理设施的日常运营管理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Merge w:val="continue"/>
            <w:vAlign w:val="center"/>
          </w:tcPr>
          <w:p>
            <w:pPr>
              <w:pStyle w:val="28"/>
              <w:suppressLineNumbers w:val="0"/>
              <w:bidi w:val="0"/>
              <w:spacing w:before="0" w:after="0"/>
              <w:ind w:left="0" w:right="0"/>
              <w:outlineLvl w:val="9"/>
            </w:pPr>
          </w:p>
        </w:tc>
        <w:tc>
          <w:tcPr>
            <w:tcW w:w="7629" w:type="dxa"/>
          </w:tcPr>
          <w:p>
            <w:pPr>
              <w:pStyle w:val="28"/>
              <w:suppressLineNumbers w:val="0"/>
              <w:bidi w:val="0"/>
              <w:spacing w:before="0" w:after="0"/>
              <w:ind w:left="0" w:right="0"/>
              <w:jc w:val="left"/>
            </w:pPr>
            <w:r>
              <w:rPr>
                <w:rFonts w:hint="eastAsia"/>
              </w:rPr>
              <w:t>保证废水输送管铺设质量，避免污水泄漏对周围地下水环境造成影响。加强事故池的管理和维护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Align w:val="center"/>
          </w:tcPr>
          <w:p>
            <w:pPr>
              <w:pStyle w:val="28"/>
              <w:suppressLineNumbers w:val="0"/>
              <w:bidi w:val="0"/>
              <w:spacing w:before="0" w:after="0"/>
              <w:ind w:left="0" w:right="0"/>
            </w:pPr>
            <w:r>
              <w:rPr>
                <w:rFonts w:hint="eastAsia"/>
              </w:rPr>
              <w:t>固体废物</w:t>
            </w:r>
          </w:p>
        </w:tc>
        <w:tc>
          <w:tcPr>
            <w:tcW w:w="7629" w:type="dxa"/>
          </w:tcPr>
          <w:p>
            <w:pPr>
              <w:pStyle w:val="28"/>
              <w:suppressLineNumbers w:val="0"/>
              <w:bidi w:val="0"/>
              <w:spacing w:before="0" w:after="0"/>
              <w:ind w:left="0" w:right="0"/>
              <w:jc w:val="left"/>
            </w:pPr>
            <w:r>
              <w:rPr>
                <w:rFonts w:hint="eastAsia"/>
              </w:rPr>
              <w:t>厂区内划出</w:t>
            </w:r>
            <w:r>
              <w:rPr>
                <w:rFonts w:hint="eastAsia"/>
                <w:lang w:eastAsia="zh-CN"/>
              </w:rPr>
              <w:t>一般固废暂存间、危险废物暂存间、垃圾转运站</w:t>
            </w:r>
            <w:r>
              <w:rPr>
                <w:rFonts w:hint="eastAsia"/>
              </w:rPr>
              <w:t>，定期运往定点堆放地，</w:t>
            </w:r>
            <w:r>
              <w:rPr>
                <w:rFonts w:hint="eastAsia"/>
                <w:lang w:eastAsia="zh-CN"/>
              </w:rPr>
              <w:t>暂存垃圾</w:t>
            </w:r>
            <w:r>
              <w:rPr>
                <w:rFonts w:hint="eastAsia"/>
              </w:rPr>
              <w:t>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3" w:type="dxa"/>
            <w:vAlign w:val="center"/>
          </w:tcPr>
          <w:p>
            <w:pPr>
              <w:pStyle w:val="28"/>
              <w:suppressLineNumbers w:val="0"/>
              <w:bidi w:val="0"/>
              <w:spacing w:before="0" w:after="0"/>
              <w:ind w:left="0" w:right="0"/>
            </w:pPr>
            <w:r>
              <w:rPr>
                <w:rFonts w:hint="eastAsia"/>
              </w:rPr>
              <w:t>噪声</w:t>
            </w:r>
          </w:p>
        </w:tc>
        <w:tc>
          <w:tcPr>
            <w:tcW w:w="7629" w:type="dxa"/>
          </w:tcPr>
          <w:p>
            <w:pPr>
              <w:pStyle w:val="28"/>
              <w:suppressLineNumbers w:val="0"/>
              <w:bidi w:val="0"/>
              <w:spacing w:before="0" w:after="0"/>
              <w:ind w:left="0" w:right="0"/>
              <w:jc w:val="left"/>
              <w:rPr>
                <w:rFonts w:hint="eastAsia"/>
                <w:lang w:eastAsia="zh-CN"/>
              </w:rPr>
            </w:pPr>
            <w:r>
              <w:rPr>
                <w:rFonts w:hint="eastAsia"/>
              </w:rPr>
              <w:t>定期检查降噪隔声设备的正常运行</w:t>
            </w:r>
          </w:p>
        </w:tc>
      </w:tr>
    </w:tbl>
    <w:p>
      <w:pPr>
        <w:pStyle w:val="5"/>
        <w:bidi w:val="0"/>
      </w:pPr>
      <w:r>
        <w:rPr>
          <w:rFonts w:hint="eastAsia"/>
          <w:lang w:val="en-US" w:eastAsia="zh-CN"/>
        </w:rPr>
        <w:t>8.</w:t>
      </w:r>
      <w:r>
        <w:t>3.</w:t>
      </w:r>
      <w:r>
        <w:rPr>
          <w:rFonts w:hint="eastAsia"/>
          <w:lang w:val="en-US" w:eastAsia="zh-CN"/>
        </w:rPr>
        <w:t>2</w:t>
      </w:r>
      <w:r>
        <w:t xml:space="preserve"> </w:t>
      </w:r>
      <w:r>
        <w:rPr>
          <w:rFonts w:hint="eastAsia"/>
        </w:rPr>
        <w:t>环境管理机构及职责</w:t>
      </w:r>
      <w:bookmarkEnd w:id="254"/>
      <w:bookmarkEnd w:id="255"/>
      <w:bookmarkEnd w:id="256"/>
    </w:p>
    <w:p>
      <w:pPr>
        <w:bidi w:val="0"/>
      </w:pPr>
      <w:r>
        <w:rPr>
          <w:rFonts w:hint="eastAsia"/>
        </w:rPr>
        <w:t>根据《建设项目环境保护设计规定》的要求，拟建工程应在</w:t>
      </w:r>
      <w:r>
        <w:t>“</w:t>
      </w:r>
      <w:r>
        <w:rPr>
          <w:rFonts w:hint="eastAsia"/>
        </w:rPr>
        <w:t>三同时</w:t>
      </w:r>
      <w:r>
        <w:t>”</w:t>
      </w:r>
      <w:r>
        <w:rPr>
          <w:rFonts w:hint="eastAsia"/>
        </w:rPr>
        <w:t>的原则下配套建设相应的污染治理设施，一方面为有效保护区域环境提供良好的技术基础，另一方面科学地管理、监督这些环保设施的运行又是保证治理效果的必要手段。公司需设置专门的环保安全机构，配备专职环保人员，负责环境管理，其主要职责为：</w:t>
      </w:r>
    </w:p>
    <w:p>
      <w:pPr>
        <w:bidi w:val="0"/>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rPr>
          <w:rFonts w:hint="eastAsia"/>
        </w:rPr>
        <w:t>执行国家、省、市环保主管部门制定的有关环保法规、政策、条例，协调项目生产和环境保护的关系，并结合项目具体情况，制定全厂环境管理条例和章程。</w:t>
      </w:r>
    </w:p>
    <w:p>
      <w:pPr>
        <w:bidi w:val="0"/>
      </w:pPr>
      <w:r>
        <w:rPr>
          <w:rFonts w:hint="eastAsia"/>
        </w:rPr>
        <w:fldChar w:fldCharType="begin"/>
      </w:r>
      <w:r>
        <w:rPr>
          <w:rFonts w:hint="eastAsia"/>
        </w:rPr>
        <w:instrText xml:space="preserve"> = 2 \* GB2 \* MERGEFORMAT </w:instrText>
      </w:r>
      <w:r>
        <w:rPr>
          <w:rFonts w:hint="eastAsia"/>
        </w:rPr>
        <w:fldChar w:fldCharType="separate"/>
      </w:r>
      <w:r>
        <w:t>⑵</w:t>
      </w:r>
      <w:r>
        <w:rPr>
          <w:rFonts w:hint="eastAsia"/>
        </w:rPr>
        <w:fldChar w:fldCharType="end"/>
      </w:r>
      <w:r>
        <w:rPr>
          <w:rFonts w:hint="eastAsia"/>
        </w:rPr>
        <w:t>配合上级环保主管部门检查、监督工程配套建设的废气、噪声、固废等治理措施的落实情况；检查、监督环保设备等的运行、维修和管理情况，监督本厂各排放口污染物的排放状态。</w:t>
      </w:r>
    </w:p>
    <w:p>
      <w:pPr>
        <w:bidi w:val="0"/>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rPr>
          <w:rFonts w:hint="eastAsia"/>
        </w:rPr>
        <w:t>检查落实安全消防措施，开展环保安全管理教育和培训。</w:t>
      </w:r>
    </w:p>
    <w:p>
      <w:pPr>
        <w:bidi w:val="0"/>
      </w:pPr>
      <w:r>
        <w:rPr>
          <w:rFonts w:hint="eastAsia"/>
        </w:rPr>
        <w:fldChar w:fldCharType="begin"/>
      </w:r>
      <w:r>
        <w:rPr>
          <w:rFonts w:hint="eastAsia"/>
        </w:rPr>
        <w:instrText xml:space="preserve"> = 4 \* GB2 \* MERGEFORMAT </w:instrText>
      </w:r>
      <w:r>
        <w:rPr>
          <w:rFonts w:hint="eastAsia"/>
        </w:rPr>
        <w:fldChar w:fldCharType="separate"/>
      </w:r>
      <w:r>
        <w:t>⑷</w:t>
      </w:r>
      <w:r>
        <w:rPr>
          <w:rFonts w:hint="eastAsia"/>
        </w:rPr>
        <w:fldChar w:fldCharType="end"/>
      </w:r>
      <w:r>
        <w:rPr>
          <w:rFonts w:hint="eastAsia"/>
        </w:rPr>
        <w:t>参加本厂环境事件的调查、处理、协调工作。</w:t>
      </w:r>
    </w:p>
    <w:p>
      <w:pPr>
        <w:bidi w:val="0"/>
      </w:pPr>
      <w:r>
        <w:rPr>
          <w:rFonts w:hint="eastAsia"/>
        </w:rPr>
        <w:fldChar w:fldCharType="begin"/>
      </w:r>
      <w:r>
        <w:rPr>
          <w:rFonts w:hint="eastAsia"/>
        </w:rPr>
        <w:instrText xml:space="preserve"> = 5 \* GB2 \* MERGEFORMAT </w:instrText>
      </w:r>
      <w:r>
        <w:rPr>
          <w:rFonts w:hint="eastAsia"/>
        </w:rPr>
        <w:fldChar w:fldCharType="separate"/>
      </w:r>
      <w:r>
        <w:t>⑸</w:t>
      </w:r>
      <w:r>
        <w:rPr>
          <w:rFonts w:hint="eastAsia"/>
        </w:rPr>
        <w:fldChar w:fldCharType="end"/>
      </w:r>
      <w:r>
        <w:rPr>
          <w:rFonts w:hint="eastAsia"/>
        </w:rPr>
        <w:t>参与本厂的环境科研工作。</w:t>
      </w:r>
    </w:p>
    <w:p>
      <w:pPr>
        <w:bidi w:val="0"/>
      </w:pPr>
      <w:r>
        <w:fldChar w:fldCharType="begin"/>
      </w:r>
      <w:r>
        <w:instrText xml:space="preserve"> = 6 \* GB2 \* MERGEFORMAT </w:instrText>
      </w:r>
      <w:r>
        <w:fldChar w:fldCharType="separate"/>
      </w:r>
      <w:r>
        <w:t>⑹</w:t>
      </w:r>
      <w:r>
        <w:fldChar w:fldCharType="end"/>
      </w:r>
      <w:r>
        <w:rPr>
          <w:rFonts w:hint="eastAsia"/>
        </w:rPr>
        <w:t>参加本厂的环境质量评价工作。</w:t>
      </w:r>
    </w:p>
    <w:p>
      <w:pPr>
        <w:pStyle w:val="5"/>
        <w:bidi w:val="0"/>
      </w:pPr>
      <w:bookmarkStart w:id="257" w:name="_Toc527394316"/>
      <w:bookmarkStart w:id="258" w:name="_Toc1050_WPSOffice_Level2"/>
      <w:bookmarkStart w:id="259" w:name="_Toc527487052"/>
      <w:r>
        <w:rPr>
          <w:rFonts w:hint="eastAsia"/>
          <w:lang w:val="en-US" w:eastAsia="zh-CN"/>
        </w:rPr>
        <w:t>8.</w:t>
      </w:r>
      <w:r>
        <w:t>3.</w:t>
      </w:r>
      <w:r>
        <w:rPr>
          <w:rFonts w:hint="eastAsia"/>
          <w:lang w:val="en-US" w:eastAsia="zh-CN"/>
        </w:rPr>
        <w:t>3</w:t>
      </w:r>
      <w:r>
        <w:rPr>
          <w:rFonts w:hint="eastAsia"/>
        </w:rPr>
        <w:t>环境管理台账要求</w:t>
      </w:r>
      <w:bookmarkEnd w:id="257"/>
      <w:bookmarkEnd w:id="258"/>
      <w:bookmarkEnd w:id="259"/>
    </w:p>
    <w:p>
      <w:pPr>
        <w:bidi w:val="0"/>
      </w:pPr>
      <w:r>
        <w:rPr>
          <w:rFonts w:hint="eastAsia"/>
        </w:rPr>
        <w:t>项目需设立专人负责建立、管理和保管环保台帐，及时记录环保设施运行台账和固废暂存、转移、处置台账，保证数据的真实、准确。公司及时向环保部门报送环保报表，并做好数据的分析。</w:t>
      </w:r>
    </w:p>
    <w:p>
      <w:pPr>
        <w:bidi w:val="0"/>
      </w:pPr>
      <w:r>
        <w:rPr>
          <w:rFonts w:hint="eastAsia"/>
        </w:rPr>
        <w:t>项目环保台帐或报表保管年期为三年。</w:t>
      </w:r>
    </w:p>
    <w:p>
      <w:pPr>
        <w:pStyle w:val="5"/>
        <w:bidi w:val="0"/>
      </w:pPr>
      <w:bookmarkStart w:id="260" w:name="_Toc31777_WPSOffice_Level2"/>
      <w:bookmarkStart w:id="261" w:name="_Toc527487053"/>
      <w:bookmarkStart w:id="262" w:name="_Toc527394317"/>
      <w:r>
        <w:rPr>
          <w:rFonts w:hint="eastAsia"/>
          <w:lang w:val="en-US" w:eastAsia="zh-CN"/>
        </w:rPr>
        <w:t>8.3.4</w:t>
      </w:r>
      <w:r>
        <w:rPr>
          <w:rFonts w:hint="eastAsia"/>
        </w:rPr>
        <w:t>环保设施建设、运行维护费用保障计划</w:t>
      </w:r>
      <w:bookmarkEnd w:id="260"/>
      <w:bookmarkEnd w:id="261"/>
      <w:bookmarkEnd w:id="262"/>
    </w:p>
    <w:p>
      <w:pPr>
        <w:bidi w:val="0"/>
      </w:pPr>
      <w:r>
        <w:rPr>
          <w:rFonts w:hint="eastAsia"/>
        </w:rPr>
        <w:t>本项目环保投入情况详见</w:t>
      </w:r>
      <w:r>
        <w:rPr>
          <w:rFonts w:hint="eastAsia"/>
          <w:lang w:val="en-US" w:eastAsia="zh-CN"/>
        </w:rPr>
        <w:t>8.3.4-1</w:t>
      </w:r>
      <w:r>
        <w:rPr>
          <w:rFonts w:hint="eastAsia"/>
        </w:rPr>
        <w:t>。</w:t>
      </w:r>
    </w:p>
    <w:p>
      <w:pPr>
        <w:pStyle w:val="27"/>
        <w:bidi w:val="0"/>
        <w:rPr>
          <w:rFonts w:hint="eastAsia"/>
        </w:rPr>
      </w:pPr>
      <w:r>
        <w:rPr>
          <w:rFonts w:hint="eastAsia"/>
        </w:rPr>
        <w:t>表</w:t>
      </w:r>
      <w:r>
        <w:rPr>
          <w:rFonts w:hint="eastAsia"/>
          <w:lang w:val="en-US" w:eastAsia="zh-CN"/>
        </w:rPr>
        <w:t>8.3.4</w:t>
      </w:r>
      <w:r>
        <w:t xml:space="preserve">-1 </w:t>
      </w:r>
      <w:r>
        <w:rPr>
          <w:rFonts w:hint="eastAsia"/>
        </w:rPr>
        <w:t>项目环保投入情况表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783"/>
        <w:gridCol w:w="3210"/>
        <w:gridCol w:w="1176"/>
        <w:gridCol w:w="1002"/>
        <w:gridCol w:w="86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污染源</w:t>
            </w:r>
          </w:p>
        </w:tc>
        <w:tc>
          <w:tcPr>
            <w:tcW w:w="2004" w:type="pct"/>
            <w:gridSpan w:val="2"/>
            <w:noWrap w:val="0"/>
            <w:vAlign w:val="center"/>
          </w:tcPr>
          <w:p>
            <w:pPr>
              <w:pStyle w:val="28"/>
              <w:suppressLineNumbers w:val="0"/>
              <w:bidi w:val="0"/>
              <w:spacing w:before="0" w:after="0"/>
              <w:ind w:left="0" w:right="0"/>
            </w:pPr>
            <w:r>
              <w:t>环保设施名称</w:t>
            </w:r>
          </w:p>
        </w:tc>
        <w:tc>
          <w:tcPr>
            <w:tcW w:w="590" w:type="pct"/>
            <w:noWrap w:val="0"/>
            <w:vAlign w:val="center"/>
          </w:tcPr>
          <w:p>
            <w:pPr>
              <w:pStyle w:val="28"/>
              <w:suppressLineNumbers w:val="0"/>
              <w:bidi w:val="0"/>
              <w:spacing w:before="0" w:after="0"/>
              <w:ind w:left="0" w:right="0"/>
            </w:pPr>
            <w:r>
              <w:t>分期建设情况</w:t>
            </w:r>
          </w:p>
        </w:tc>
        <w:tc>
          <w:tcPr>
            <w:tcW w:w="503" w:type="pct"/>
            <w:noWrap w:val="0"/>
            <w:vAlign w:val="center"/>
          </w:tcPr>
          <w:p>
            <w:pPr>
              <w:pStyle w:val="28"/>
              <w:suppressLineNumbers w:val="0"/>
              <w:bidi w:val="0"/>
              <w:spacing w:before="0" w:after="0"/>
              <w:ind w:left="0" w:right="0"/>
            </w:pPr>
            <w:r>
              <w:t>环保投资</w:t>
            </w:r>
          </w:p>
          <w:p>
            <w:pPr>
              <w:pStyle w:val="28"/>
              <w:suppressLineNumbers w:val="0"/>
              <w:bidi w:val="0"/>
              <w:spacing w:before="0" w:after="0"/>
              <w:ind w:left="0" w:right="0"/>
            </w:pPr>
            <w:r>
              <w:t>(万元)</w:t>
            </w:r>
          </w:p>
        </w:tc>
        <w:tc>
          <w:tcPr>
            <w:tcW w:w="436" w:type="pct"/>
            <w:noWrap w:val="0"/>
            <w:vAlign w:val="center"/>
          </w:tcPr>
          <w:p>
            <w:pPr>
              <w:pStyle w:val="28"/>
              <w:suppressLineNumbers w:val="0"/>
              <w:bidi w:val="0"/>
              <w:spacing w:before="0" w:after="0"/>
              <w:ind w:left="0" w:right="0"/>
            </w:pPr>
            <w:r>
              <w:t>运行费用</w:t>
            </w:r>
          </w:p>
          <w:p>
            <w:pPr>
              <w:pStyle w:val="28"/>
              <w:suppressLineNumbers w:val="0"/>
              <w:bidi w:val="0"/>
              <w:spacing w:before="0" w:after="0"/>
              <w:ind w:left="0" w:right="0"/>
            </w:pPr>
            <w:r>
              <w:t>(万元)</w:t>
            </w:r>
          </w:p>
        </w:tc>
        <w:tc>
          <w:tcPr>
            <w:tcW w:w="911" w:type="pct"/>
            <w:noWrap w:val="0"/>
            <w:vAlign w:val="center"/>
          </w:tcPr>
          <w:p>
            <w:pPr>
              <w:pStyle w:val="28"/>
              <w:suppressLineNumbers w:val="0"/>
              <w:bidi w:val="0"/>
              <w:spacing w:before="0" w:after="0"/>
              <w:ind w:left="0" w:right="0"/>
            </w:pPr>
            <w:r>
              <w:t>管理监测费用（万元/a）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restart"/>
            <w:noWrap w:val="0"/>
            <w:vAlign w:val="center"/>
          </w:tcPr>
          <w:p>
            <w:pPr>
              <w:pStyle w:val="28"/>
              <w:suppressLineNumbers w:val="0"/>
              <w:bidi w:val="0"/>
              <w:spacing w:before="0" w:after="0"/>
              <w:ind w:left="0" w:right="0"/>
            </w:pPr>
            <w:r>
              <w:t>废气</w:t>
            </w:r>
          </w:p>
        </w:tc>
        <w:tc>
          <w:tcPr>
            <w:tcW w:w="393" w:type="pct"/>
            <w:vMerge w:val="restart"/>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一期</w:t>
            </w:r>
          </w:p>
        </w:tc>
        <w:tc>
          <w:tcPr>
            <w:tcW w:w="1610"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590" w:type="pct"/>
            <w:vMerge w:val="restar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436" w:type="pct"/>
            <w:vMerge w:val="restar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911" w:type="pct"/>
            <w:vMerge w:val="restart"/>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393" w:type="pct"/>
            <w:vMerge w:val="continue"/>
            <w:noWrap w:val="0"/>
            <w:vAlign w:val="center"/>
          </w:tcPr>
          <w:p>
            <w:pPr>
              <w:pStyle w:val="28"/>
              <w:suppressLineNumbers w:val="0"/>
              <w:bidi w:val="0"/>
              <w:spacing w:before="0" w:after="0"/>
              <w:ind w:left="0" w:right="0"/>
              <w:outlineLvl w:val="9"/>
            </w:pPr>
          </w:p>
        </w:tc>
        <w:tc>
          <w:tcPr>
            <w:tcW w:w="1610"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590" w:type="pct"/>
            <w:vMerge w:val="continue"/>
            <w:noWrap w:val="0"/>
            <w:vAlign w:val="center"/>
          </w:tcPr>
          <w:p>
            <w:pPr>
              <w:pStyle w:val="28"/>
              <w:suppressLineNumbers w:val="0"/>
              <w:bidi w:val="0"/>
              <w:spacing w:before="0" w:after="0"/>
              <w:ind w:left="0" w:right="0"/>
              <w:outlineLvl w:val="9"/>
            </w:pPr>
          </w:p>
        </w:tc>
        <w:tc>
          <w:tcPr>
            <w:tcW w:w="50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200</w:t>
            </w:r>
          </w:p>
        </w:tc>
        <w:tc>
          <w:tcPr>
            <w:tcW w:w="436" w:type="pct"/>
            <w:vMerge w:val="continue"/>
            <w:noWrap w:val="0"/>
            <w:vAlign w:val="center"/>
          </w:tcPr>
          <w:p>
            <w:pPr>
              <w:pStyle w:val="28"/>
              <w:suppressLineNumbers w:val="0"/>
              <w:bidi w:val="0"/>
              <w:spacing w:before="0" w:after="0"/>
              <w:ind w:left="0" w:right="0"/>
              <w:outlineLvl w:val="9"/>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393" w:type="pct"/>
            <w:vMerge w:val="continue"/>
            <w:noWrap w:val="0"/>
            <w:vAlign w:val="center"/>
          </w:tcPr>
          <w:p>
            <w:pPr>
              <w:pStyle w:val="28"/>
              <w:suppressLineNumbers w:val="0"/>
              <w:bidi w:val="0"/>
              <w:spacing w:before="0" w:after="0"/>
              <w:ind w:left="0" w:right="0"/>
              <w:outlineLvl w:val="9"/>
            </w:pPr>
          </w:p>
        </w:tc>
        <w:tc>
          <w:tcPr>
            <w:tcW w:w="1610" w:type="pct"/>
            <w:noWrap w:val="0"/>
            <w:vAlign w:val="center"/>
          </w:tcPr>
          <w:p>
            <w:pPr>
              <w:pStyle w:val="28"/>
              <w:suppressLineNumbers w:val="0"/>
              <w:bidi w:val="0"/>
              <w:spacing w:before="0" w:after="0"/>
              <w:ind w:left="0" w:right="0" w:firstLine="0" w:firstLineChars="0"/>
              <w:rPr>
                <w:rFonts w:hint="eastAsia" w:eastAsia="宋体"/>
                <w:lang w:eastAsia="zh-CN"/>
              </w:rPr>
            </w:pPr>
            <w:r>
              <w:rPr>
                <w:rFonts w:hint="eastAsia"/>
                <w:lang w:eastAsia="zh-CN"/>
              </w:rPr>
              <w:t>油烟净化装置</w:t>
            </w:r>
          </w:p>
        </w:tc>
        <w:tc>
          <w:tcPr>
            <w:tcW w:w="590" w:type="pct"/>
            <w:vMerge w:val="continue"/>
            <w:noWrap w:val="0"/>
            <w:vAlign w:val="center"/>
          </w:tcPr>
          <w:p>
            <w:pPr>
              <w:pStyle w:val="28"/>
              <w:suppressLineNumbers w:val="0"/>
              <w:bidi w:val="0"/>
              <w:spacing w:before="0" w:after="0"/>
              <w:ind w:left="0" w:right="0"/>
              <w:outlineLvl w:val="9"/>
            </w:pPr>
          </w:p>
        </w:tc>
        <w:tc>
          <w:tcPr>
            <w:tcW w:w="50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w:t>
            </w:r>
          </w:p>
        </w:tc>
        <w:tc>
          <w:tcPr>
            <w:tcW w:w="436" w:type="pct"/>
            <w:vMerge w:val="continue"/>
            <w:noWrap w:val="0"/>
            <w:vAlign w:val="center"/>
          </w:tcPr>
          <w:p>
            <w:pPr>
              <w:pStyle w:val="28"/>
              <w:suppressLineNumbers w:val="0"/>
              <w:bidi w:val="0"/>
              <w:spacing w:before="0" w:after="0"/>
              <w:ind w:left="0" w:right="0"/>
              <w:outlineLvl w:val="9"/>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393" w:type="pct"/>
            <w:vMerge w:val="restart"/>
            <w:noWrap w:val="0"/>
            <w:vAlign w:val="center"/>
          </w:tcPr>
          <w:p>
            <w:pPr>
              <w:pStyle w:val="28"/>
              <w:suppressLineNumbers w:val="0"/>
              <w:bidi w:val="0"/>
              <w:spacing w:before="0" w:after="0"/>
              <w:ind w:left="0" w:right="0" w:firstLine="0" w:firstLineChars="0"/>
              <w:rPr>
                <w:rFonts w:hint="eastAsia" w:ascii="Times New Roman" w:hAnsi="Times New Roman" w:eastAsia="宋体" w:cstheme="minorBidi"/>
                <w:b w:val="0"/>
                <w:kern w:val="2"/>
                <w:sz w:val="21"/>
                <w:szCs w:val="24"/>
                <w:lang w:val="en-US" w:eastAsia="zh-CN" w:bidi="ar-SA"/>
              </w:rPr>
            </w:pPr>
            <w:r>
              <w:rPr>
                <w:rFonts w:hint="eastAsia"/>
                <w:lang w:eastAsia="zh-CN"/>
              </w:rPr>
              <w:t>二期</w:t>
            </w:r>
          </w:p>
        </w:tc>
        <w:tc>
          <w:tcPr>
            <w:tcW w:w="1610"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集尘罩及布袋除尘器</w:t>
            </w:r>
            <w:r>
              <w:rPr>
                <w:rFonts w:hint="eastAsia"/>
                <w:lang w:val="en-US" w:eastAsia="zh-CN"/>
              </w:rPr>
              <w:t>2</w:t>
            </w:r>
            <w:r>
              <w:t>套</w:t>
            </w:r>
          </w:p>
        </w:tc>
        <w:tc>
          <w:tcPr>
            <w:tcW w:w="590" w:type="pct"/>
            <w:vMerge w:val="restart"/>
            <w:noWrap w:val="0"/>
            <w:vAlign w:val="center"/>
          </w:tcPr>
          <w:p>
            <w:pPr>
              <w:pStyle w:val="28"/>
              <w:suppressLineNumbers w:val="0"/>
              <w:bidi w:val="0"/>
              <w:spacing w:before="0" w:after="0"/>
              <w:ind w:left="0" w:right="0"/>
            </w:pPr>
            <w:r>
              <w:t>二期</w:t>
            </w:r>
          </w:p>
        </w:tc>
        <w:tc>
          <w:tcPr>
            <w:tcW w:w="503" w:type="pct"/>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436" w:type="pct"/>
            <w:vMerge w:val="continue"/>
            <w:noWrap w:val="0"/>
            <w:vAlign w:val="center"/>
          </w:tcPr>
          <w:p>
            <w:pPr>
              <w:pStyle w:val="28"/>
              <w:suppressLineNumbers w:val="0"/>
              <w:bidi w:val="0"/>
              <w:spacing w:before="0" w:after="0"/>
              <w:ind w:left="0" w:right="0"/>
              <w:outlineLvl w:val="9"/>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393" w:type="pct"/>
            <w:vMerge w:val="continue"/>
            <w:noWrap w:val="0"/>
            <w:vAlign w:val="center"/>
          </w:tcPr>
          <w:p>
            <w:pPr>
              <w:pStyle w:val="28"/>
              <w:suppressLineNumbers w:val="0"/>
              <w:bidi w:val="0"/>
              <w:spacing w:before="0" w:after="0"/>
              <w:ind w:left="0" w:right="0"/>
              <w:outlineLvl w:val="9"/>
            </w:pPr>
          </w:p>
        </w:tc>
        <w:tc>
          <w:tcPr>
            <w:tcW w:w="1610" w:type="pct"/>
            <w:noWrap w:val="0"/>
            <w:vAlign w:val="center"/>
          </w:tcPr>
          <w:p>
            <w:pPr>
              <w:pStyle w:val="28"/>
              <w:suppressLineNumbers w:val="0"/>
              <w:bidi w:val="0"/>
              <w:spacing w:before="0" w:after="0"/>
              <w:ind w:left="0" w:right="0" w:firstLine="0" w:firstLineChars="0"/>
              <w:rPr>
                <w:rFonts w:ascii="Times New Roman" w:hAnsi="Times New Roman" w:eastAsia="宋体" w:cstheme="minorBidi"/>
                <w:b w:val="0"/>
                <w:kern w:val="2"/>
                <w:sz w:val="21"/>
                <w:szCs w:val="24"/>
                <w:lang w:val="en-US" w:eastAsia="zh-CN" w:bidi="ar-SA"/>
              </w:rPr>
            </w:pPr>
            <w:r>
              <w:t>布袋除尘+氧化钙脱硫（</w:t>
            </w:r>
            <w:r>
              <w:rPr>
                <w:rFonts w:hint="eastAsia"/>
                <w:lang w:eastAsia="zh-CN"/>
              </w:rPr>
              <w:t>二</w:t>
            </w:r>
            <w:r>
              <w:t>级）</w:t>
            </w:r>
          </w:p>
        </w:tc>
        <w:tc>
          <w:tcPr>
            <w:tcW w:w="590" w:type="pct"/>
            <w:vMerge w:val="continue"/>
            <w:noWrap w:val="0"/>
            <w:vAlign w:val="center"/>
          </w:tcPr>
          <w:p>
            <w:pPr>
              <w:pStyle w:val="28"/>
              <w:suppressLineNumbers w:val="0"/>
              <w:bidi w:val="0"/>
              <w:spacing w:before="0" w:after="0"/>
              <w:ind w:left="0" w:right="0"/>
              <w:outlineLvl w:val="9"/>
            </w:pPr>
          </w:p>
        </w:tc>
        <w:tc>
          <w:tcPr>
            <w:tcW w:w="503" w:type="pct"/>
            <w:noWrap w:val="0"/>
            <w:vAlign w:val="center"/>
          </w:tcPr>
          <w:p>
            <w:pPr>
              <w:pStyle w:val="28"/>
              <w:suppressLineNumbers w:val="0"/>
              <w:bidi w:val="0"/>
              <w:spacing w:before="0" w:after="0"/>
              <w:ind w:left="0" w:right="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200</w:t>
            </w:r>
          </w:p>
        </w:tc>
        <w:tc>
          <w:tcPr>
            <w:tcW w:w="436" w:type="pct"/>
            <w:vMerge w:val="continue"/>
            <w:noWrap w:val="0"/>
            <w:vAlign w:val="center"/>
          </w:tcPr>
          <w:p>
            <w:pPr>
              <w:pStyle w:val="28"/>
              <w:suppressLineNumbers w:val="0"/>
              <w:bidi w:val="0"/>
              <w:spacing w:before="0" w:after="0"/>
              <w:ind w:left="0" w:right="0"/>
              <w:outlineLvl w:val="9"/>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53" w:type="pct"/>
            <w:vMerge w:val="continue"/>
            <w:noWrap w:val="0"/>
            <w:vAlign w:val="center"/>
          </w:tcPr>
          <w:p>
            <w:pPr>
              <w:pStyle w:val="28"/>
              <w:suppressLineNumbers w:val="0"/>
              <w:bidi w:val="0"/>
              <w:spacing w:before="0" w:after="0"/>
              <w:ind w:left="0" w:right="0"/>
              <w:outlineLvl w:val="9"/>
            </w:pPr>
          </w:p>
        </w:tc>
        <w:tc>
          <w:tcPr>
            <w:tcW w:w="2004" w:type="pct"/>
            <w:gridSpan w:val="2"/>
            <w:noWrap w:val="0"/>
            <w:vAlign w:val="center"/>
          </w:tcPr>
          <w:p>
            <w:pPr>
              <w:pStyle w:val="28"/>
              <w:suppressLineNumbers w:val="0"/>
              <w:bidi w:val="0"/>
              <w:spacing w:before="0" w:after="0"/>
              <w:ind w:left="0" w:right="0"/>
            </w:pPr>
            <w:r>
              <w:t>排气筒及管道等</w:t>
            </w:r>
          </w:p>
        </w:tc>
        <w:tc>
          <w:tcPr>
            <w:tcW w:w="590" w:type="pct"/>
            <w:noWrap w:val="0"/>
            <w:vAlign w:val="center"/>
          </w:tcPr>
          <w:p>
            <w:pPr>
              <w:pStyle w:val="28"/>
              <w:suppressLineNumbers w:val="0"/>
              <w:bidi w:val="0"/>
              <w:spacing w:before="0" w:after="0"/>
              <w:ind w:left="0" w:right="0"/>
            </w:pPr>
            <w:r>
              <w:t>一、二期</w:t>
            </w:r>
          </w:p>
        </w:tc>
        <w:tc>
          <w:tcPr>
            <w:tcW w:w="50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100</w:t>
            </w:r>
          </w:p>
        </w:tc>
        <w:tc>
          <w:tcPr>
            <w:tcW w:w="436" w:type="pct"/>
            <w:vMerge w:val="continue"/>
            <w:noWrap w:val="0"/>
            <w:vAlign w:val="center"/>
          </w:tcPr>
          <w:p>
            <w:pPr>
              <w:pStyle w:val="28"/>
              <w:suppressLineNumbers w:val="0"/>
              <w:bidi w:val="0"/>
              <w:spacing w:before="0" w:after="0"/>
              <w:ind w:left="0" w:right="0"/>
              <w:outlineLvl w:val="9"/>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rPr>
        <w:tc>
          <w:tcPr>
            <w:tcW w:w="553" w:type="pct"/>
            <w:noWrap w:val="0"/>
            <w:vAlign w:val="center"/>
          </w:tcPr>
          <w:p>
            <w:pPr>
              <w:pStyle w:val="28"/>
              <w:suppressLineNumbers w:val="0"/>
              <w:bidi w:val="0"/>
              <w:spacing w:before="0" w:after="0"/>
              <w:ind w:left="0" w:right="0"/>
            </w:pPr>
            <w:r>
              <w:t>废水</w:t>
            </w:r>
          </w:p>
        </w:tc>
        <w:tc>
          <w:tcPr>
            <w:tcW w:w="2004" w:type="pct"/>
            <w:gridSpan w:val="2"/>
            <w:noWrap w:val="0"/>
            <w:vAlign w:val="center"/>
          </w:tcPr>
          <w:p>
            <w:pPr>
              <w:pStyle w:val="28"/>
              <w:suppressLineNumbers w:val="0"/>
              <w:bidi w:val="0"/>
              <w:spacing w:before="0" w:after="0"/>
              <w:ind w:left="0" w:right="0"/>
            </w:pPr>
            <w:r>
              <w:rPr>
                <w:rFonts w:hint="eastAsia"/>
                <w:lang w:eastAsia="zh-CN"/>
              </w:rPr>
              <w:t>隔油池、</w:t>
            </w:r>
            <w:r>
              <w:t>化粪池、废水收集及输送管线</w:t>
            </w:r>
          </w:p>
        </w:tc>
        <w:tc>
          <w:tcPr>
            <w:tcW w:w="590" w:type="pc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10</w:t>
            </w:r>
          </w:p>
        </w:tc>
        <w:tc>
          <w:tcPr>
            <w:tcW w:w="436" w:type="pct"/>
            <w:noWrap w:val="0"/>
            <w:vAlign w:val="center"/>
          </w:tcPr>
          <w:p>
            <w:pPr>
              <w:pStyle w:val="28"/>
              <w:suppressLineNumbers w:val="0"/>
              <w:bidi w:val="0"/>
              <w:spacing w:before="0" w:after="0"/>
              <w:ind w:left="0" w:right="0"/>
            </w:pPr>
            <w:r>
              <w:t>5</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噪声</w:t>
            </w:r>
          </w:p>
        </w:tc>
        <w:tc>
          <w:tcPr>
            <w:tcW w:w="2004" w:type="pct"/>
            <w:gridSpan w:val="2"/>
            <w:noWrap w:val="0"/>
            <w:vAlign w:val="center"/>
          </w:tcPr>
          <w:p>
            <w:pPr>
              <w:pStyle w:val="28"/>
              <w:suppressLineNumbers w:val="0"/>
              <w:bidi w:val="0"/>
              <w:spacing w:before="0" w:after="0"/>
              <w:ind w:left="0" w:right="0"/>
            </w:pPr>
            <w:r>
              <w:t>消声器、隔声设施等</w:t>
            </w:r>
          </w:p>
        </w:tc>
        <w:tc>
          <w:tcPr>
            <w:tcW w:w="590" w:type="pct"/>
            <w:noWrap w:val="0"/>
            <w:vAlign w:val="center"/>
          </w:tcPr>
          <w:p>
            <w:pPr>
              <w:pStyle w:val="28"/>
              <w:suppressLineNumbers w:val="0"/>
              <w:bidi w:val="0"/>
              <w:spacing w:before="0" w:after="0"/>
              <w:ind w:left="0" w:right="0"/>
            </w:pPr>
            <w:r>
              <w:t>一、二期</w:t>
            </w:r>
          </w:p>
        </w:tc>
        <w:tc>
          <w:tcPr>
            <w:tcW w:w="503" w:type="pct"/>
            <w:noWrap w:val="0"/>
            <w:vAlign w:val="center"/>
          </w:tcPr>
          <w:p>
            <w:pPr>
              <w:pStyle w:val="28"/>
              <w:suppressLineNumbers w:val="0"/>
              <w:bidi w:val="0"/>
              <w:spacing w:before="0" w:after="0"/>
              <w:ind w:left="0" w:right="0"/>
            </w:pPr>
            <w:r>
              <w:t>10</w:t>
            </w:r>
          </w:p>
        </w:tc>
        <w:tc>
          <w:tcPr>
            <w:tcW w:w="436" w:type="pct"/>
            <w:noWrap w:val="0"/>
            <w:vAlign w:val="center"/>
          </w:tcPr>
          <w:p>
            <w:pPr>
              <w:pStyle w:val="28"/>
              <w:suppressLineNumbers w:val="0"/>
              <w:bidi w:val="0"/>
              <w:spacing w:before="0" w:after="0"/>
              <w:ind w:left="0" w:right="0"/>
            </w:pPr>
            <w:r>
              <w:t>2</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固废</w:t>
            </w:r>
          </w:p>
        </w:tc>
        <w:tc>
          <w:tcPr>
            <w:tcW w:w="2004" w:type="pct"/>
            <w:gridSpan w:val="2"/>
            <w:noWrap w:val="0"/>
            <w:vAlign w:val="center"/>
          </w:tcPr>
          <w:p>
            <w:pPr>
              <w:pStyle w:val="28"/>
              <w:suppressLineNumbers w:val="0"/>
              <w:bidi w:val="0"/>
              <w:spacing w:before="0" w:after="0"/>
              <w:ind w:left="0" w:right="0"/>
              <w:rPr>
                <w:rFonts w:hint="eastAsia" w:eastAsia="宋体"/>
                <w:lang w:eastAsia="zh-CN"/>
              </w:rPr>
            </w:pPr>
            <w:r>
              <w:rPr>
                <w:rFonts w:hint="eastAsia"/>
                <w:lang w:eastAsia="zh-CN"/>
              </w:rPr>
              <w:t>一般固废暂存间、危险废物暂存间、垃圾转运站</w:t>
            </w:r>
          </w:p>
        </w:tc>
        <w:tc>
          <w:tcPr>
            <w:tcW w:w="590" w:type="pc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rPr>
                <w:rFonts w:hint="default" w:eastAsia="宋体"/>
                <w:lang w:val="en-US" w:eastAsia="zh-CN"/>
              </w:rPr>
            </w:pPr>
            <w:r>
              <w:rPr>
                <w:rFonts w:hint="eastAsia"/>
                <w:lang w:val="en-US" w:eastAsia="zh-CN"/>
              </w:rPr>
              <w:t>40</w:t>
            </w:r>
          </w:p>
        </w:tc>
        <w:tc>
          <w:tcPr>
            <w:tcW w:w="436" w:type="pct"/>
            <w:noWrap w:val="0"/>
            <w:vAlign w:val="center"/>
          </w:tcPr>
          <w:p>
            <w:pPr>
              <w:pStyle w:val="28"/>
              <w:suppressLineNumbers w:val="0"/>
              <w:bidi w:val="0"/>
              <w:spacing w:before="0" w:after="0"/>
              <w:ind w:left="0" w:right="0"/>
            </w:pPr>
            <w:r>
              <w:t>2</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绿化</w:t>
            </w:r>
          </w:p>
        </w:tc>
        <w:tc>
          <w:tcPr>
            <w:tcW w:w="2004" w:type="pct"/>
            <w:gridSpan w:val="2"/>
            <w:noWrap w:val="0"/>
            <w:vAlign w:val="center"/>
          </w:tcPr>
          <w:p>
            <w:pPr>
              <w:pStyle w:val="28"/>
              <w:suppressLineNumbers w:val="0"/>
              <w:bidi w:val="0"/>
              <w:spacing w:before="0" w:after="0"/>
              <w:ind w:left="0" w:right="0"/>
            </w:pPr>
            <w:r>
              <w:t>花草树木</w:t>
            </w:r>
          </w:p>
        </w:tc>
        <w:tc>
          <w:tcPr>
            <w:tcW w:w="590" w:type="pc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pPr>
            <w:r>
              <w:t>50</w:t>
            </w:r>
          </w:p>
        </w:tc>
        <w:tc>
          <w:tcPr>
            <w:tcW w:w="436" w:type="pct"/>
            <w:noWrap w:val="0"/>
            <w:vAlign w:val="center"/>
          </w:tcPr>
          <w:p>
            <w:pPr>
              <w:pStyle w:val="28"/>
              <w:suppressLineNumbers w:val="0"/>
              <w:bidi w:val="0"/>
              <w:spacing w:before="0" w:after="0"/>
              <w:ind w:left="0" w:right="0"/>
            </w:pPr>
            <w:r>
              <w:t>2</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监测仪器</w:t>
            </w:r>
          </w:p>
        </w:tc>
        <w:tc>
          <w:tcPr>
            <w:tcW w:w="2004" w:type="pct"/>
            <w:gridSpan w:val="2"/>
            <w:noWrap w:val="0"/>
            <w:vAlign w:val="center"/>
          </w:tcPr>
          <w:p>
            <w:pPr>
              <w:pStyle w:val="28"/>
              <w:suppressLineNumbers w:val="0"/>
              <w:bidi w:val="0"/>
              <w:spacing w:before="0" w:after="0"/>
              <w:ind w:left="0" w:right="0"/>
            </w:pPr>
            <w:r>
              <w:rPr>
                <w:rFonts w:hint="eastAsia"/>
                <w:lang w:val="en-US" w:eastAsia="zh-CN"/>
              </w:rPr>
              <w:t>DA001</w:t>
            </w:r>
            <w:r>
              <w:t>排气筒SO</w:t>
            </w:r>
            <w:r>
              <w:rPr>
                <w:vertAlign w:val="subscript"/>
              </w:rPr>
              <w:t>2</w:t>
            </w:r>
            <w:r>
              <w:t>、NOx、颗粒物</w:t>
            </w:r>
            <w:r>
              <w:rPr>
                <w:rFonts w:hint="eastAsia"/>
                <w:lang w:eastAsia="zh-CN"/>
              </w:rPr>
              <w:t>自动</w:t>
            </w:r>
            <w:r>
              <w:t>监测装置</w:t>
            </w:r>
          </w:p>
        </w:tc>
        <w:tc>
          <w:tcPr>
            <w:tcW w:w="590" w:type="pc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50</w:t>
            </w:r>
          </w:p>
        </w:tc>
        <w:tc>
          <w:tcPr>
            <w:tcW w:w="436"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5</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noWrap w:val="0"/>
            <w:vAlign w:val="center"/>
          </w:tcPr>
          <w:p>
            <w:pPr>
              <w:pStyle w:val="28"/>
              <w:suppressLineNumbers w:val="0"/>
              <w:bidi w:val="0"/>
              <w:spacing w:before="0" w:after="0"/>
              <w:ind w:left="0" w:right="0"/>
            </w:pPr>
            <w:r>
              <w:t>排污口设置</w:t>
            </w:r>
          </w:p>
        </w:tc>
        <w:tc>
          <w:tcPr>
            <w:tcW w:w="2004" w:type="pct"/>
            <w:gridSpan w:val="2"/>
            <w:noWrap w:val="0"/>
            <w:vAlign w:val="center"/>
          </w:tcPr>
          <w:p>
            <w:pPr>
              <w:pStyle w:val="28"/>
              <w:suppressLineNumbers w:val="0"/>
              <w:bidi w:val="0"/>
              <w:spacing w:before="0" w:after="0"/>
              <w:ind w:left="0" w:right="0"/>
            </w:pPr>
            <w:r>
              <w:t>新建</w:t>
            </w:r>
            <w:r>
              <w:rPr>
                <w:rFonts w:hint="eastAsia"/>
              </w:rPr>
              <w:t>废水废气</w:t>
            </w:r>
            <w:r>
              <w:t>排污口</w:t>
            </w:r>
            <w:r>
              <w:rPr>
                <w:rFonts w:hint="eastAsia"/>
              </w:rPr>
              <w:t>，建设</w:t>
            </w:r>
            <w:r>
              <w:t>规范化标识</w:t>
            </w:r>
          </w:p>
        </w:tc>
        <w:tc>
          <w:tcPr>
            <w:tcW w:w="590" w:type="pct"/>
            <w:noWrap w:val="0"/>
            <w:vAlign w:val="center"/>
          </w:tcPr>
          <w:p>
            <w:pPr>
              <w:pStyle w:val="28"/>
              <w:suppressLineNumbers w:val="0"/>
              <w:bidi w:val="0"/>
              <w:spacing w:before="0" w:after="0"/>
              <w:ind w:left="0" w:right="0"/>
            </w:pPr>
            <w:r>
              <w:t>一期</w:t>
            </w:r>
          </w:p>
        </w:tc>
        <w:tc>
          <w:tcPr>
            <w:tcW w:w="503"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10</w:t>
            </w:r>
          </w:p>
        </w:tc>
        <w:tc>
          <w:tcPr>
            <w:tcW w:w="436"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1</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restart"/>
            <w:noWrap w:val="0"/>
            <w:vAlign w:val="center"/>
          </w:tcPr>
          <w:p>
            <w:pPr>
              <w:pStyle w:val="28"/>
              <w:suppressLineNumbers w:val="0"/>
              <w:bidi w:val="0"/>
              <w:spacing w:before="0" w:after="0"/>
              <w:ind w:left="0" w:right="0"/>
            </w:pPr>
            <w:r>
              <w:t>风险防治措施</w:t>
            </w:r>
          </w:p>
        </w:tc>
        <w:tc>
          <w:tcPr>
            <w:tcW w:w="2004" w:type="pct"/>
            <w:gridSpan w:val="2"/>
            <w:noWrap w:val="0"/>
            <w:vAlign w:val="center"/>
          </w:tcPr>
          <w:p>
            <w:pPr>
              <w:pStyle w:val="28"/>
              <w:suppressLineNumbers w:val="0"/>
              <w:bidi w:val="0"/>
              <w:spacing w:before="0" w:after="0"/>
              <w:ind w:left="0" w:right="0"/>
            </w:pPr>
            <w:r>
              <w:t>报警系统、消防器材等</w:t>
            </w:r>
          </w:p>
        </w:tc>
        <w:tc>
          <w:tcPr>
            <w:tcW w:w="590" w:type="pct"/>
            <w:noWrap w:val="0"/>
            <w:vAlign w:val="center"/>
          </w:tcPr>
          <w:p>
            <w:pPr>
              <w:pStyle w:val="28"/>
              <w:suppressLineNumbers w:val="0"/>
              <w:bidi w:val="0"/>
              <w:spacing w:before="0" w:after="0"/>
              <w:ind w:left="0" w:right="0"/>
            </w:pPr>
            <w:r>
              <w:t>一、二期</w:t>
            </w:r>
          </w:p>
        </w:tc>
        <w:tc>
          <w:tcPr>
            <w:tcW w:w="503" w:type="pct"/>
            <w:vMerge w:val="restar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100</w:t>
            </w:r>
          </w:p>
        </w:tc>
        <w:tc>
          <w:tcPr>
            <w:tcW w:w="436" w:type="pct"/>
            <w:vMerge w:val="restar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20</w:t>
            </w: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553" w:type="pct"/>
            <w:vMerge w:val="continue"/>
            <w:noWrap w:val="0"/>
            <w:vAlign w:val="center"/>
          </w:tcPr>
          <w:p>
            <w:pPr>
              <w:pStyle w:val="28"/>
              <w:suppressLineNumbers w:val="0"/>
              <w:bidi w:val="0"/>
              <w:spacing w:before="0" w:after="0"/>
              <w:ind w:left="0" w:right="0"/>
              <w:outlineLvl w:val="9"/>
            </w:pPr>
          </w:p>
        </w:tc>
        <w:tc>
          <w:tcPr>
            <w:tcW w:w="2004" w:type="pct"/>
            <w:gridSpan w:val="2"/>
            <w:noWrap w:val="0"/>
            <w:vAlign w:val="center"/>
          </w:tcPr>
          <w:p>
            <w:pPr>
              <w:pStyle w:val="28"/>
              <w:suppressLineNumbers w:val="0"/>
              <w:bidi w:val="0"/>
              <w:spacing w:before="0" w:after="0"/>
              <w:ind w:left="0" w:right="0"/>
              <w:rPr>
                <w:rFonts w:hint="eastAsia" w:eastAsia="宋体"/>
                <w:lang w:eastAsia="zh-CN"/>
              </w:rPr>
            </w:pPr>
            <w:r>
              <w:t>消防排水收集系统，包括消防尾水收集池</w:t>
            </w:r>
            <w:r>
              <w:rPr>
                <w:rFonts w:hint="eastAsia"/>
              </w:rPr>
              <w:t>（</w:t>
            </w:r>
            <w:r>
              <w:rPr>
                <w:rFonts w:hint="eastAsia"/>
                <w:lang w:val="en-US" w:eastAsia="zh-CN"/>
              </w:rPr>
              <w:t>242</w:t>
            </w:r>
            <w:r>
              <w:rPr>
                <w:rFonts w:hint="eastAsia"/>
              </w:rPr>
              <w:t>m</w:t>
            </w:r>
            <w:r>
              <w:rPr>
                <w:rFonts w:hint="eastAsia"/>
                <w:vertAlign w:val="superscript"/>
              </w:rPr>
              <w:t>3</w:t>
            </w:r>
            <w:r>
              <w:rPr>
                <w:rFonts w:hint="eastAsia"/>
              </w:rPr>
              <w:t>）</w:t>
            </w:r>
            <w:r>
              <w:t>、</w:t>
            </w:r>
            <w:r>
              <w:rPr>
                <w:rFonts w:hint="eastAsia"/>
                <w:lang w:eastAsia="zh-CN"/>
              </w:rPr>
              <w:t>渠道</w:t>
            </w:r>
          </w:p>
        </w:tc>
        <w:tc>
          <w:tcPr>
            <w:tcW w:w="590" w:type="pct"/>
            <w:noWrap w:val="0"/>
            <w:vAlign w:val="center"/>
          </w:tcPr>
          <w:p>
            <w:pPr>
              <w:pStyle w:val="28"/>
              <w:suppressLineNumbers w:val="0"/>
              <w:bidi w:val="0"/>
              <w:spacing w:before="0" w:after="0"/>
              <w:ind w:left="0" w:right="0"/>
            </w:pPr>
            <w:r>
              <w:t>一期</w:t>
            </w:r>
          </w:p>
        </w:tc>
        <w:tc>
          <w:tcPr>
            <w:tcW w:w="503"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436"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2004" w:type="pct"/>
            <w:gridSpan w:val="2"/>
            <w:noWrap w:val="0"/>
            <w:vAlign w:val="center"/>
          </w:tcPr>
          <w:p>
            <w:pPr>
              <w:pStyle w:val="28"/>
              <w:suppressLineNumbers w:val="0"/>
              <w:bidi w:val="0"/>
              <w:spacing w:before="0" w:after="0"/>
              <w:ind w:left="0" w:right="0"/>
            </w:pPr>
            <w:r>
              <w:t>建立相应的事故风险紧急监测系统</w:t>
            </w:r>
          </w:p>
        </w:tc>
        <w:tc>
          <w:tcPr>
            <w:tcW w:w="590" w:type="pct"/>
            <w:noWrap w:val="0"/>
            <w:vAlign w:val="center"/>
          </w:tcPr>
          <w:p>
            <w:pPr>
              <w:pStyle w:val="28"/>
              <w:suppressLineNumbers w:val="0"/>
              <w:bidi w:val="0"/>
              <w:spacing w:before="0" w:after="0"/>
              <w:ind w:left="0" w:right="0"/>
            </w:pPr>
            <w:r>
              <w:t>一、二期</w:t>
            </w:r>
          </w:p>
        </w:tc>
        <w:tc>
          <w:tcPr>
            <w:tcW w:w="503"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436"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53" w:type="pct"/>
            <w:vMerge w:val="continue"/>
            <w:noWrap w:val="0"/>
            <w:vAlign w:val="center"/>
          </w:tcPr>
          <w:p>
            <w:pPr>
              <w:pStyle w:val="28"/>
              <w:suppressLineNumbers w:val="0"/>
              <w:bidi w:val="0"/>
              <w:spacing w:before="0" w:after="0"/>
              <w:ind w:left="0" w:right="0"/>
              <w:outlineLvl w:val="9"/>
            </w:pPr>
          </w:p>
        </w:tc>
        <w:tc>
          <w:tcPr>
            <w:tcW w:w="2004" w:type="pct"/>
            <w:gridSpan w:val="2"/>
            <w:noWrap w:val="0"/>
            <w:vAlign w:val="center"/>
          </w:tcPr>
          <w:p>
            <w:pPr>
              <w:pStyle w:val="28"/>
              <w:suppressLineNumbers w:val="0"/>
              <w:bidi w:val="0"/>
              <w:spacing w:before="0" w:after="0"/>
              <w:ind w:left="0" w:right="0"/>
            </w:pPr>
            <w:r>
              <w:t>其它风险防范措施</w:t>
            </w:r>
          </w:p>
        </w:tc>
        <w:tc>
          <w:tcPr>
            <w:tcW w:w="590" w:type="pct"/>
            <w:noWrap w:val="0"/>
            <w:vAlign w:val="center"/>
          </w:tcPr>
          <w:p>
            <w:pPr>
              <w:pStyle w:val="28"/>
              <w:suppressLineNumbers w:val="0"/>
              <w:bidi w:val="0"/>
              <w:spacing w:before="0" w:after="0"/>
              <w:ind w:left="0" w:right="0"/>
            </w:pPr>
            <w:r>
              <w:t>一、二期</w:t>
            </w:r>
          </w:p>
        </w:tc>
        <w:tc>
          <w:tcPr>
            <w:tcW w:w="503"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436" w:type="pct"/>
            <w:vMerge w:val="continue"/>
            <w:noWrap w:val="0"/>
            <w:vAlign w:val="center"/>
          </w:tcPr>
          <w:p>
            <w:pPr>
              <w:pStyle w:val="28"/>
              <w:suppressLineNumbers w:val="0"/>
              <w:bidi w:val="0"/>
              <w:spacing w:before="0" w:after="0"/>
              <w:ind w:left="0" w:right="0"/>
              <w:outlineLvl w:val="9"/>
              <w:rPr>
                <w:rFonts w:hint="eastAsia"/>
                <w:lang w:val="en-US" w:eastAsia="zh-CN"/>
              </w:rPr>
            </w:pPr>
          </w:p>
        </w:tc>
        <w:tc>
          <w:tcPr>
            <w:tcW w:w="911" w:type="pct"/>
            <w:vMerge w:val="continue"/>
            <w:noWrap w:val="0"/>
            <w:vAlign w:val="center"/>
          </w:tcPr>
          <w:p>
            <w:pPr>
              <w:pStyle w:val="28"/>
              <w:suppressLineNumbers w:val="0"/>
              <w:bidi w:val="0"/>
              <w:spacing w:before="0" w:after="0"/>
              <w:ind w:left="0" w:right="0"/>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557" w:type="pct"/>
            <w:gridSpan w:val="3"/>
            <w:noWrap w:val="0"/>
            <w:vAlign w:val="center"/>
          </w:tcPr>
          <w:p>
            <w:pPr>
              <w:pStyle w:val="28"/>
              <w:suppressLineNumbers w:val="0"/>
              <w:bidi w:val="0"/>
              <w:spacing w:before="0" w:after="0"/>
              <w:ind w:left="0" w:right="0"/>
            </w:pPr>
            <w:r>
              <w:t>环保投资合计</w:t>
            </w:r>
          </w:p>
        </w:tc>
        <w:tc>
          <w:tcPr>
            <w:tcW w:w="590" w:type="pct"/>
            <w:noWrap w:val="0"/>
            <w:vAlign w:val="center"/>
          </w:tcPr>
          <w:p>
            <w:pPr>
              <w:pStyle w:val="28"/>
              <w:suppressLineNumbers w:val="0"/>
              <w:bidi w:val="0"/>
              <w:spacing w:before="0" w:after="0"/>
              <w:ind w:left="0" w:right="0"/>
            </w:pPr>
            <w:r>
              <w:t>-</w:t>
            </w:r>
          </w:p>
        </w:tc>
        <w:tc>
          <w:tcPr>
            <w:tcW w:w="503" w:type="pct"/>
            <w:noWrap w:val="0"/>
            <w:vAlign w:val="center"/>
          </w:tcPr>
          <w:p>
            <w:pPr>
              <w:pStyle w:val="28"/>
              <w:suppressLineNumbers w:val="0"/>
              <w:bidi w:val="0"/>
              <w:spacing w:before="0" w:after="0"/>
              <w:ind w:left="0" w:right="0"/>
              <w:rPr>
                <w:rFonts w:hint="default"/>
                <w:lang w:val="en-US" w:eastAsia="zh-CN"/>
              </w:rPr>
            </w:pPr>
            <w:r>
              <w:rPr>
                <w:rFonts w:hint="eastAsia"/>
                <w:lang w:val="en-US" w:eastAsia="zh-CN"/>
              </w:rPr>
              <w:t>971</w:t>
            </w:r>
          </w:p>
        </w:tc>
        <w:tc>
          <w:tcPr>
            <w:tcW w:w="436" w:type="pct"/>
            <w:noWrap w:val="0"/>
            <w:vAlign w:val="center"/>
          </w:tcPr>
          <w:p>
            <w:pPr>
              <w:pStyle w:val="28"/>
              <w:suppressLineNumbers w:val="0"/>
              <w:bidi w:val="0"/>
              <w:spacing w:before="0" w:after="0"/>
              <w:ind w:left="0" w:right="0"/>
              <w:rPr>
                <w:rFonts w:hint="eastAsia"/>
                <w:lang w:val="en-US" w:eastAsia="zh-CN"/>
              </w:rPr>
            </w:pPr>
            <w:r>
              <w:rPr>
                <w:rFonts w:hint="eastAsia"/>
                <w:lang w:val="en-US" w:eastAsia="zh-CN"/>
              </w:rPr>
              <w:t>237</w:t>
            </w:r>
          </w:p>
        </w:tc>
        <w:tc>
          <w:tcPr>
            <w:tcW w:w="911" w:type="pct"/>
            <w:noWrap w:val="0"/>
            <w:vAlign w:val="center"/>
          </w:tcPr>
          <w:p>
            <w:pPr>
              <w:pStyle w:val="28"/>
              <w:suppressLineNumbers w:val="0"/>
              <w:bidi w:val="0"/>
              <w:spacing w:before="0" w:after="0"/>
              <w:ind w:left="0" w:right="0"/>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57" w:type="pct"/>
            <w:gridSpan w:val="3"/>
            <w:noWrap w:val="0"/>
            <w:vAlign w:val="center"/>
          </w:tcPr>
          <w:p>
            <w:pPr>
              <w:pStyle w:val="28"/>
              <w:suppressLineNumbers w:val="0"/>
              <w:bidi w:val="0"/>
              <w:spacing w:before="0" w:after="0"/>
              <w:ind w:left="0" w:right="0"/>
            </w:pPr>
            <w:r>
              <w:t>实施时段</w:t>
            </w:r>
          </w:p>
        </w:tc>
        <w:tc>
          <w:tcPr>
            <w:tcW w:w="590" w:type="pct"/>
            <w:noWrap w:val="0"/>
            <w:vAlign w:val="center"/>
          </w:tcPr>
          <w:p>
            <w:pPr>
              <w:pStyle w:val="28"/>
              <w:suppressLineNumbers w:val="0"/>
              <w:bidi w:val="0"/>
              <w:spacing w:before="0" w:after="0"/>
              <w:ind w:left="0" w:right="0"/>
            </w:pPr>
            <w:r>
              <w:t>-</w:t>
            </w:r>
          </w:p>
        </w:tc>
        <w:tc>
          <w:tcPr>
            <w:tcW w:w="503" w:type="pct"/>
            <w:noWrap w:val="0"/>
            <w:vAlign w:val="center"/>
          </w:tcPr>
          <w:p>
            <w:pPr>
              <w:pStyle w:val="28"/>
              <w:suppressLineNumbers w:val="0"/>
              <w:bidi w:val="0"/>
              <w:spacing w:before="0" w:after="0"/>
              <w:ind w:left="0" w:right="0"/>
            </w:pPr>
            <w:r>
              <w:t>施工建设期</w:t>
            </w:r>
          </w:p>
        </w:tc>
        <w:tc>
          <w:tcPr>
            <w:tcW w:w="436" w:type="pct"/>
            <w:noWrap w:val="0"/>
            <w:vAlign w:val="center"/>
          </w:tcPr>
          <w:p>
            <w:pPr>
              <w:pStyle w:val="28"/>
              <w:suppressLineNumbers w:val="0"/>
              <w:bidi w:val="0"/>
              <w:spacing w:before="0" w:after="0"/>
              <w:ind w:left="0" w:right="0"/>
            </w:pPr>
            <w:r>
              <w:t>运营期</w:t>
            </w:r>
          </w:p>
        </w:tc>
        <w:tc>
          <w:tcPr>
            <w:tcW w:w="911" w:type="pct"/>
            <w:noWrap w:val="0"/>
            <w:vAlign w:val="center"/>
          </w:tcPr>
          <w:p>
            <w:pPr>
              <w:pStyle w:val="28"/>
              <w:suppressLineNumbers w:val="0"/>
              <w:bidi w:val="0"/>
              <w:spacing w:before="0" w:after="0"/>
              <w:ind w:left="0" w:right="0"/>
            </w:pPr>
            <w: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557" w:type="pct"/>
            <w:gridSpan w:val="3"/>
            <w:noWrap w:val="0"/>
            <w:vAlign w:val="center"/>
          </w:tcPr>
          <w:p>
            <w:pPr>
              <w:pStyle w:val="28"/>
              <w:suppressLineNumbers w:val="0"/>
              <w:bidi w:val="0"/>
              <w:spacing w:before="0" w:after="0"/>
              <w:ind w:left="0" w:right="0"/>
            </w:pPr>
            <w:r>
              <w:t>资金来源</w:t>
            </w:r>
          </w:p>
        </w:tc>
        <w:tc>
          <w:tcPr>
            <w:tcW w:w="590" w:type="pct"/>
            <w:noWrap w:val="0"/>
            <w:vAlign w:val="center"/>
          </w:tcPr>
          <w:p>
            <w:pPr>
              <w:pStyle w:val="28"/>
              <w:suppressLineNumbers w:val="0"/>
              <w:bidi w:val="0"/>
              <w:spacing w:before="0" w:after="0"/>
              <w:ind w:left="0" w:right="0"/>
            </w:pPr>
            <w:r>
              <w:t>-</w:t>
            </w:r>
          </w:p>
        </w:tc>
        <w:tc>
          <w:tcPr>
            <w:tcW w:w="1852" w:type="pct"/>
            <w:gridSpan w:val="3"/>
            <w:noWrap w:val="0"/>
            <w:vAlign w:val="center"/>
          </w:tcPr>
          <w:p>
            <w:pPr>
              <w:pStyle w:val="28"/>
              <w:suppressLineNumbers w:val="0"/>
              <w:bidi w:val="0"/>
              <w:spacing w:before="0" w:after="0"/>
              <w:ind w:left="0" w:right="0"/>
            </w:pPr>
            <w:r>
              <w:t>企业自筹</w:t>
            </w:r>
          </w:p>
        </w:tc>
      </w:tr>
    </w:tbl>
    <w:p>
      <w:pPr>
        <w:bidi w:val="0"/>
      </w:pPr>
      <w:r>
        <w:rPr>
          <w:rFonts w:hint="eastAsia"/>
        </w:rPr>
        <w:t>为加强本项目的环保管理，保障环保设施的正常维护运转，结合本项目的实际情况，制定以下环保设施投入及运行维护资金保障计划：</w:t>
      </w:r>
    </w:p>
    <w:p>
      <w:pPr>
        <w:bidi w:val="0"/>
      </w:pPr>
      <w:r>
        <w:rPr>
          <w:rFonts w:hint="eastAsia"/>
        </w:rPr>
        <w:t>项目设环保投入专项资金账户，由项目安环部管理。环保投入专项资金专用于本项目环保设施的施工建设以及环保设施的日常运行管理，实行专款专用，不得挪作它用。</w:t>
      </w:r>
    </w:p>
    <w:p>
      <w:pPr>
        <w:pStyle w:val="4"/>
        <w:bidi w:val="0"/>
        <w:rPr>
          <w:rFonts w:hint="eastAsia"/>
          <w:lang w:val="en-US" w:eastAsia="zh-CN"/>
        </w:rPr>
      </w:pPr>
      <w:bookmarkStart w:id="263" w:name="_Toc10049"/>
      <w:r>
        <w:rPr>
          <w:rFonts w:hint="eastAsia"/>
          <w:lang w:val="en-US" w:eastAsia="zh-CN"/>
        </w:rPr>
        <w:t>8.4 环境监测</w:t>
      </w:r>
      <w:bookmarkEnd w:id="263"/>
    </w:p>
    <w:p>
      <w:pPr>
        <w:pStyle w:val="5"/>
        <w:bidi w:val="0"/>
        <w:rPr>
          <w:rFonts w:hint="eastAsia"/>
          <w:lang w:eastAsia="zh-CN"/>
        </w:rPr>
      </w:pPr>
      <w:r>
        <w:rPr>
          <w:rFonts w:hint="eastAsia"/>
          <w:lang w:val="en-US" w:eastAsia="zh-CN"/>
        </w:rPr>
        <w:t xml:space="preserve">8.4.1 </w:t>
      </w:r>
      <w:r>
        <w:rPr>
          <w:rFonts w:hint="eastAsia"/>
          <w:lang w:eastAsia="zh-CN"/>
        </w:rPr>
        <w:t>污染源监测</w:t>
      </w:r>
    </w:p>
    <w:p>
      <w:pPr>
        <w:bidi w:val="0"/>
        <w:rPr>
          <w:rFonts w:hint="default"/>
          <w:lang w:val="en-US" w:eastAsia="zh-CN"/>
        </w:rPr>
      </w:pPr>
      <w:r>
        <w:rPr>
          <w:rFonts w:hint="eastAsia"/>
          <w:lang w:eastAsia="zh-CN"/>
        </w:rPr>
        <w:t>根据</w:t>
      </w:r>
      <w:r>
        <w:rPr>
          <w:rFonts w:hint="eastAsia"/>
        </w:rPr>
        <w:t>《排污单位自行监测技术指南</w:t>
      </w:r>
      <w:r>
        <w:rPr>
          <w:rFonts w:hint="eastAsia"/>
          <w:lang w:val="en-US" w:eastAsia="zh-CN"/>
        </w:rPr>
        <w:t xml:space="preserve"> 总则</w:t>
      </w:r>
      <w:r>
        <w:rPr>
          <w:rFonts w:hint="eastAsia"/>
        </w:rPr>
        <w:t>》（HJ819-2017）</w:t>
      </w:r>
      <w:r>
        <w:rPr>
          <w:rFonts w:hint="eastAsia"/>
          <w:lang w:eastAsia="zh-CN"/>
        </w:rPr>
        <w:t>、《排污许可证申请与核发技术规范</w:t>
      </w:r>
      <w:r>
        <w:rPr>
          <w:rFonts w:hint="eastAsia"/>
          <w:lang w:val="en-US" w:eastAsia="zh-CN"/>
        </w:rPr>
        <w:t xml:space="preserve"> 石墨及其他非金属矿物制品制造</w:t>
      </w:r>
      <w:r>
        <w:rPr>
          <w:rFonts w:hint="eastAsia"/>
          <w:lang w:eastAsia="zh-CN"/>
        </w:rPr>
        <w:t>》（</w:t>
      </w:r>
      <w:r>
        <w:rPr>
          <w:rFonts w:hint="eastAsia"/>
          <w:lang w:val="en-US" w:eastAsia="zh-CN"/>
        </w:rPr>
        <w:t>HJ1119-2020</w:t>
      </w:r>
      <w:r>
        <w:rPr>
          <w:rFonts w:hint="eastAsia"/>
          <w:lang w:eastAsia="zh-CN"/>
        </w:rPr>
        <w:t>）中</w:t>
      </w:r>
      <w:r>
        <w:rPr>
          <w:rFonts w:hint="eastAsia"/>
          <w:lang w:val="en-US" w:eastAsia="zh-CN"/>
        </w:rPr>
        <w:t>4.4自行监测管理要求进行监测。</w:t>
      </w:r>
    </w:p>
    <w:p>
      <w:pPr>
        <w:bidi w:val="0"/>
        <w:rPr>
          <w:rFonts w:hint="eastAsia"/>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bidi w:val="0"/>
        <w:rPr>
          <w:rFonts w:hint="eastAsia"/>
          <w:lang w:eastAsia="zh-CN"/>
        </w:rPr>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rPr>
          <w:rFonts w:hint="eastAsia"/>
          <w:lang w:eastAsia="zh-CN"/>
        </w:rPr>
        <w:t>废气</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686"/>
        <w:gridCol w:w="1687"/>
        <w:gridCol w:w="321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pct"/>
          </w:tcPr>
          <w:p>
            <w:pPr>
              <w:pStyle w:val="28"/>
              <w:suppressLineNumbers w:val="0"/>
              <w:bidi w:val="0"/>
              <w:spacing w:before="0" w:after="0"/>
              <w:ind w:left="0" w:right="0"/>
              <w:rPr>
                <w:rFonts w:hint="eastAsia"/>
                <w:lang w:eastAsia="zh-CN"/>
              </w:rPr>
            </w:pPr>
            <w:r>
              <w:rPr>
                <w:rFonts w:hint="eastAsia"/>
                <w:lang w:eastAsia="zh-CN"/>
              </w:rPr>
              <w:t>废气类型</w:t>
            </w:r>
          </w:p>
        </w:tc>
        <w:tc>
          <w:tcPr>
            <w:tcW w:w="846" w:type="pct"/>
          </w:tcPr>
          <w:p>
            <w:pPr>
              <w:pStyle w:val="28"/>
              <w:suppressLineNumbers w:val="0"/>
              <w:bidi w:val="0"/>
              <w:spacing w:before="0" w:after="0"/>
              <w:ind w:left="0" w:right="0"/>
              <w:rPr>
                <w:rFonts w:hint="eastAsia"/>
                <w:lang w:eastAsia="zh-CN"/>
              </w:rPr>
            </w:pPr>
            <w:r>
              <w:rPr>
                <w:rFonts w:hint="eastAsia"/>
                <w:lang w:eastAsia="zh-CN"/>
              </w:rPr>
              <w:t>监测点位</w:t>
            </w:r>
          </w:p>
        </w:tc>
        <w:tc>
          <w:tcPr>
            <w:tcW w:w="846" w:type="pct"/>
          </w:tcPr>
          <w:p>
            <w:pPr>
              <w:pStyle w:val="28"/>
              <w:suppressLineNumbers w:val="0"/>
              <w:bidi w:val="0"/>
              <w:spacing w:before="0" w:after="0"/>
              <w:ind w:left="0" w:right="0"/>
              <w:rPr>
                <w:rFonts w:hint="eastAsia"/>
                <w:lang w:eastAsia="zh-CN"/>
              </w:rPr>
            </w:pPr>
            <w:r>
              <w:rPr>
                <w:rFonts w:hint="eastAsia"/>
                <w:lang w:eastAsia="zh-CN"/>
              </w:rPr>
              <w:t>监测方式</w:t>
            </w:r>
          </w:p>
        </w:tc>
        <w:tc>
          <w:tcPr>
            <w:tcW w:w="1612" w:type="pct"/>
          </w:tcPr>
          <w:p>
            <w:pPr>
              <w:pStyle w:val="28"/>
              <w:suppressLineNumbers w:val="0"/>
              <w:bidi w:val="0"/>
              <w:spacing w:before="0" w:after="0"/>
              <w:ind w:left="0" w:right="0"/>
              <w:rPr>
                <w:rFonts w:hint="eastAsia"/>
                <w:lang w:eastAsia="zh-CN"/>
              </w:rPr>
            </w:pPr>
            <w:r>
              <w:rPr>
                <w:rFonts w:hint="eastAsia"/>
                <w:lang w:eastAsia="zh-CN"/>
              </w:rPr>
              <w:t>监测因子</w:t>
            </w:r>
          </w:p>
        </w:tc>
        <w:tc>
          <w:tcPr>
            <w:tcW w:w="846" w:type="pct"/>
          </w:tcPr>
          <w:p>
            <w:pPr>
              <w:pStyle w:val="28"/>
              <w:suppressLineNumbers w:val="0"/>
              <w:bidi w:val="0"/>
              <w:spacing w:before="0" w:after="0"/>
              <w:ind w:left="0" w:right="0"/>
              <w:rPr>
                <w:rFonts w:hint="eastAsia"/>
                <w:lang w:eastAsia="zh-CN"/>
              </w:rPr>
            </w:pPr>
            <w:r>
              <w:rPr>
                <w:rFonts w:hint="eastAsia"/>
                <w:lang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pct"/>
          </w:tcPr>
          <w:p>
            <w:pPr>
              <w:pStyle w:val="28"/>
              <w:suppressLineNumbers w:val="0"/>
              <w:bidi w:val="0"/>
              <w:spacing w:before="0" w:after="0"/>
              <w:ind w:left="0" w:right="0"/>
              <w:rPr>
                <w:rFonts w:hint="eastAsia"/>
                <w:lang w:eastAsia="zh-CN"/>
              </w:rPr>
            </w:pPr>
            <w:r>
              <w:rPr>
                <w:rFonts w:hint="eastAsia"/>
                <w:lang w:eastAsia="zh-CN"/>
              </w:rPr>
              <w:t>有组织</w:t>
            </w:r>
          </w:p>
        </w:tc>
        <w:tc>
          <w:tcPr>
            <w:tcW w:w="846" w:type="pct"/>
          </w:tcPr>
          <w:p>
            <w:pPr>
              <w:pStyle w:val="28"/>
              <w:suppressLineNumbers w:val="0"/>
              <w:bidi w:val="0"/>
              <w:spacing w:before="0" w:after="0"/>
              <w:ind w:left="0" w:right="0"/>
              <w:rPr>
                <w:rFonts w:hint="default"/>
                <w:lang w:val="en-US" w:eastAsia="zh-CN"/>
              </w:rPr>
            </w:pPr>
            <w:r>
              <w:rPr>
                <w:rFonts w:hint="eastAsia"/>
                <w:lang w:val="en-US" w:eastAsia="zh-CN"/>
              </w:rPr>
              <w:t>DA001</w:t>
            </w:r>
          </w:p>
        </w:tc>
        <w:tc>
          <w:tcPr>
            <w:tcW w:w="846" w:type="pct"/>
          </w:tcPr>
          <w:p>
            <w:pPr>
              <w:pStyle w:val="28"/>
              <w:suppressLineNumbers w:val="0"/>
              <w:bidi w:val="0"/>
              <w:spacing w:before="0" w:after="0"/>
              <w:ind w:left="0" w:right="0"/>
              <w:rPr>
                <w:rFonts w:hint="eastAsia"/>
                <w:lang w:eastAsia="zh-CN"/>
              </w:rPr>
            </w:pPr>
            <w:r>
              <w:rPr>
                <w:rFonts w:hint="eastAsia"/>
                <w:lang w:eastAsia="zh-CN"/>
              </w:rPr>
              <w:t>自动监测</w:t>
            </w:r>
          </w:p>
        </w:tc>
        <w:tc>
          <w:tcPr>
            <w:tcW w:w="1612" w:type="pct"/>
          </w:tcPr>
          <w:p>
            <w:pPr>
              <w:pStyle w:val="28"/>
              <w:suppressLineNumbers w:val="0"/>
              <w:bidi w:val="0"/>
              <w:spacing w:before="0" w:after="0"/>
              <w:ind w:left="0" w:right="0"/>
              <w:rPr>
                <w:rFonts w:hint="eastAsia"/>
                <w:lang w:eastAsia="zh-CN"/>
              </w:rPr>
            </w:pPr>
            <w:r>
              <w:rPr>
                <w:rFonts w:hint="eastAsia"/>
                <w:lang w:eastAsia="zh-CN"/>
              </w:rPr>
              <w:t>颗粒物、</w:t>
            </w:r>
            <w:r>
              <w:rPr>
                <w:rFonts w:hint="eastAsia"/>
              </w:rPr>
              <w:t>SO</w:t>
            </w:r>
            <w:r>
              <w:rPr>
                <w:rFonts w:hint="eastAsia"/>
                <w:vertAlign w:val="subscript"/>
              </w:rPr>
              <w:t>2</w:t>
            </w:r>
            <w:r>
              <w:rPr>
                <w:rFonts w:hint="eastAsia"/>
              </w:rPr>
              <w:t>、NOx</w:t>
            </w:r>
          </w:p>
        </w:tc>
        <w:tc>
          <w:tcPr>
            <w:tcW w:w="846" w:type="pct"/>
          </w:tcPr>
          <w:p>
            <w:pPr>
              <w:pStyle w:val="28"/>
              <w:suppressLineNumbers w:val="0"/>
              <w:bidi w:val="0"/>
              <w:spacing w:before="0" w:after="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pct"/>
          </w:tcPr>
          <w:p>
            <w:pPr>
              <w:pStyle w:val="28"/>
              <w:suppressLineNumbers w:val="0"/>
              <w:bidi w:val="0"/>
              <w:spacing w:before="0" w:after="0"/>
              <w:ind w:left="0" w:right="0"/>
              <w:rPr>
                <w:rFonts w:hint="eastAsia"/>
                <w:lang w:eastAsia="zh-CN"/>
              </w:rPr>
            </w:pPr>
            <w:r>
              <w:rPr>
                <w:rFonts w:hint="eastAsia"/>
                <w:lang w:eastAsia="zh-CN"/>
              </w:rPr>
              <w:t>无组织</w:t>
            </w:r>
          </w:p>
        </w:tc>
        <w:tc>
          <w:tcPr>
            <w:tcW w:w="846" w:type="pct"/>
          </w:tcPr>
          <w:p>
            <w:pPr>
              <w:pStyle w:val="28"/>
              <w:suppressLineNumbers w:val="0"/>
              <w:bidi w:val="0"/>
              <w:spacing w:before="0" w:after="0"/>
              <w:ind w:left="0" w:right="0"/>
              <w:rPr>
                <w:rFonts w:hint="eastAsia"/>
                <w:lang w:val="en-US" w:eastAsia="zh-CN"/>
              </w:rPr>
            </w:pPr>
            <w:r>
              <w:rPr>
                <w:rFonts w:hint="eastAsia"/>
                <w:lang w:val="en-US" w:eastAsia="zh-CN"/>
              </w:rPr>
              <w:t>厂界</w:t>
            </w:r>
          </w:p>
        </w:tc>
        <w:tc>
          <w:tcPr>
            <w:tcW w:w="846" w:type="pct"/>
          </w:tcPr>
          <w:p>
            <w:pPr>
              <w:pStyle w:val="28"/>
              <w:suppressLineNumbers w:val="0"/>
              <w:bidi w:val="0"/>
              <w:spacing w:before="0" w:after="0"/>
              <w:ind w:left="0" w:right="0"/>
              <w:rPr>
                <w:rFonts w:hint="eastAsia"/>
                <w:lang w:eastAsia="zh-CN"/>
              </w:rPr>
            </w:pPr>
            <w:r>
              <w:rPr>
                <w:rFonts w:hint="eastAsia"/>
                <w:lang w:eastAsia="zh-CN"/>
              </w:rPr>
              <w:t>手动监测</w:t>
            </w:r>
          </w:p>
        </w:tc>
        <w:tc>
          <w:tcPr>
            <w:tcW w:w="1612" w:type="pct"/>
          </w:tcPr>
          <w:p>
            <w:pPr>
              <w:pStyle w:val="28"/>
              <w:suppressLineNumbers w:val="0"/>
              <w:bidi w:val="0"/>
              <w:spacing w:before="0" w:after="0"/>
              <w:ind w:left="0" w:right="0"/>
              <w:rPr>
                <w:rFonts w:hint="eastAsia"/>
                <w:lang w:eastAsia="zh-CN"/>
              </w:rPr>
            </w:pPr>
            <w:r>
              <w:rPr>
                <w:rFonts w:hint="eastAsia"/>
                <w:lang w:eastAsia="zh-CN"/>
              </w:rPr>
              <w:t>颗粒物、</w:t>
            </w:r>
            <w:r>
              <w:rPr>
                <w:rFonts w:hint="eastAsia"/>
              </w:rPr>
              <w:t>SO</w:t>
            </w:r>
            <w:r>
              <w:rPr>
                <w:rFonts w:hint="eastAsia"/>
                <w:vertAlign w:val="subscript"/>
              </w:rPr>
              <w:t>2</w:t>
            </w:r>
            <w:r>
              <w:rPr>
                <w:rFonts w:hint="eastAsia"/>
              </w:rPr>
              <w:t>、NOx</w:t>
            </w:r>
          </w:p>
        </w:tc>
        <w:tc>
          <w:tcPr>
            <w:tcW w:w="846" w:type="pct"/>
          </w:tcPr>
          <w:p>
            <w:pPr>
              <w:pStyle w:val="28"/>
              <w:suppressLineNumbers w:val="0"/>
              <w:bidi w:val="0"/>
              <w:spacing w:before="0" w:after="0"/>
              <w:ind w:left="0" w:right="0"/>
              <w:rPr>
                <w:rFonts w:hint="eastAsia"/>
                <w:lang w:val="en-US" w:eastAsia="zh-CN"/>
              </w:rPr>
            </w:pPr>
            <w:r>
              <w:rPr>
                <w:rFonts w:hint="eastAsia"/>
                <w:lang w:val="en-US" w:eastAsia="zh-CN"/>
              </w:rPr>
              <w:t>半年</w:t>
            </w:r>
          </w:p>
        </w:tc>
      </w:tr>
    </w:tbl>
    <w:p>
      <w:pPr>
        <w:bidi w:val="0"/>
        <w:rPr>
          <w:rFonts w:hint="eastAsia"/>
          <w:lang w:eastAsia="zh-CN"/>
        </w:rPr>
      </w:pPr>
      <w:r>
        <w:rPr>
          <w:rFonts w:hint="eastAsia"/>
          <w:lang w:eastAsia="zh-CN"/>
        </w:rPr>
        <w:fldChar w:fldCharType="begin"/>
      </w:r>
      <w:r>
        <w:rPr>
          <w:rFonts w:hint="eastAsia"/>
          <w:lang w:eastAsia="zh-CN"/>
        </w:rPr>
        <w:instrText xml:space="preserve"> = 2 \* GB2 \* MERGEFORMAT </w:instrText>
      </w:r>
      <w:r>
        <w:rPr>
          <w:rFonts w:hint="eastAsia"/>
          <w:lang w:eastAsia="zh-CN"/>
        </w:rPr>
        <w:fldChar w:fldCharType="separate"/>
      </w:r>
      <w:r>
        <w:t>⑵</w:t>
      </w:r>
      <w:r>
        <w:rPr>
          <w:rFonts w:hint="eastAsia"/>
          <w:lang w:eastAsia="zh-CN"/>
        </w:rPr>
        <w:fldChar w:fldCharType="end"/>
      </w:r>
      <w:r>
        <w:rPr>
          <w:rFonts w:hint="eastAsia"/>
          <w:lang w:eastAsia="zh-CN"/>
        </w:rPr>
        <w:t>废水</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592"/>
        <w:gridCol w:w="4178"/>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pStyle w:val="28"/>
              <w:suppressLineNumbers w:val="0"/>
              <w:bidi w:val="0"/>
              <w:spacing w:before="0" w:after="0"/>
              <w:ind w:left="0" w:right="0"/>
              <w:rPr>
                <w:rFonts w:hint="eastAsia" w:eastAsia="宋体"/>
                <w:lang w:eastAsia="zh-CN"/>
              </w:rPr>
            </w:pPr>
            <w:r>
              <w:rPr>
                <w:rFonts w:hint="eastAsia"/>
                <w:lang w:eastAsia="zh-CN"/>
              </w:rPr>
              <w:t>监测点位</w:t>
            </w:r>
          </w:p>
        </w:tc>
        <w:tc>
          <w:tcPr>
            <w:tcW w:w="799" w:type="pct"/>
          </w:tcPr>
          <w:p>
            <w:pPr>
              <w:pStyle w:val="28"/>
              <w:suppressLineNumbers w:val="0"/>
              <w:bidi w:val="0"/>
              <w:spacing w:before="0" w:after="0"/>
              <w:ind w:left="0" w:right="0"/>
              <w:rPr>
                <w:rFonts w:hint="eastAsia" w:eastAsia="宋体"/>
                <w:lang w:eastAsia="zh-CN"/>
              </w:rPr>
            </w:pPr>
            <w:r>
              <w:rPr>
                <w:rFonts w:hint="eastAsia"/>
                <w:lang w:eastAsia="zh-CN"/>
              </w:rPr>
              <w:t>监测方式</w:t>
            </w:r>
          </w:p>
        </w:tc>
        <w:tc>
          <w:tcPr>
            <w:tcW w:w="2097" w:type="pct"/>
          </w:tcPr>
          <w:p>
            <w:pPr>
              <w:pStyle w:val="28"/>
              <w:suppressLineNumbers w:val="0"/>
              <w:bidi w:val="0"/>
              <w:spacing w:before="0" w:after="0"/>
              <w:ind w:left="0" w:right="0"/>
              <w:rPr>
                <w:rFonts w:hint="eastAsia" w:eastAsia="宋体"/>
                <w:lang w:eastAsia="zh-CN"/>
              </w:rPr>
            </w:pPr>
            <w:r>
              <w:rPr>
                <w:rFonts w:hint="eastAsia"/>
                <w:lang w:eastAsia="zh-CN"/>
              </w:rPr>
              <w:t>监测因子</w:t>
            </w:r>
          </w:p>
        </w:tc>
        <w:tc>
          <w:tcPr>
            <w:tcW w:w="1303" w:type="pct"/>
          </w:tcPr>
          <w:p>
            <w:pPr>
              <w:pStyle w:val="28"/>
              <w:suppressLineNumbers w:val="0"/>
              <w:bidi w:val="0"/>
              <w:spacing w:before="0" w:after="0"/>
              <w:ind w:left="0" w:right="0"/>
              <w:rPr>
                <w:rFonts w:hint="eastAsia" w:eastAsia="宋体"/>
                <w:lang w:eastAsia="zh-CN"/>
              </w:rPr>
            </w:pPr>
            <w:r>
              <w:rPr>
                <w:rFonts w:hint="eastAsia"/>
                <w:lang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pStyle w:val="28"/>
              <w:suppressLineNumbers w:val="0"/>
              <w:bidi w:val="0"/>
              <w:spacing w:before="0" w:after="0"/>
              <w:ind w:left="0" w:right="0"/>
              <w:rPr>
                <w:rFonts w:hint="eastAsia" w:eastAsia="宋体"/>
                <w:lang w:eastAsia="zh-CN"/>
              </w:rPr>
            </w:pPr>
            <w:r>
              <w:rPr>
                <w:rFonts w:hint="eastAsia"/>
                <w:lang w:eastAsia="zh-CN"/>
              </w:rPr>
              <w:t>污水排口</w:t>
            </w:r>
          </w:p>
        </w:tc>
        <w:tc>
          <w:tcPr>
            <w:tcW w:w="799" w:type="pct"/>
          </w:tcPr>
          <w:p>
            <w:pPr>
              <w:pStyle w:val="28"/>
              <w:suppressLineNumbers w:val="0"/>
              <w:bidi w:val="0"/>
              <w:spacing w:before="0" w:after="0"/>
              <w:ind w:left="0" w:right="0"/>
              <w:rPr>
                <w:rFonts w:hint="eastAsia" w:eastAsia="宋体"/>
                <w:lang w:eastAsia="zh-CN"/>
              </w:rPr>
            </w:pPr>
            <w:r>
              <w:rPr>
                <w:rFonts w:hint="eastAsia"/>
                <w:lang w:eastAsia="zh-CN"/>
              </w:rPr>
              <w:t>手动监测</w:t>
            </w:r>
          </w:p>
        </w:tc>
        <w:tc>
          <w:tcPr>
            <w:tcW w:w="2097" w:type="pct"/>
          </w:tcPr>
          <w:p>
            <w:pPr>
              <w:pStyle w:val="28"/>
              <w:suppressLineNumbers w:val="0"/>
              <w:bidi w:val="0"/>
              <w:spacing w:before="0" w:after="0"/>
              <w:ind w:left="0" w:right="0"/>
              <w:rPr>
                <w:rFonts w:hint="eastAsia"/>
              </w:rPr>
            </w:pPr>
            <w:r>
              <w:rPr>
                <w:rFonts w:hint="eastAsia" w:ascii="TimesNewRomanPSMT" w:hAnsi="TimesNewRomanPSMT" w:eastAsia="TimesNewRomanPSMT"/>
                <w:sz w:val="20"/>
              </w:rPr>
              <w:t>pH</w:t>
            </w:r>
            <w:r>
              <w:rPr>
                <w:rFonts w:hint="eastAsia" w:ascii="宋体" w:hAnsi="宋体" w:eastAsia="宋体"/>
                <w:sz w:val="20"/>
              </w:rPr>
              <w:t>、总氮、</w:t>
            </w:r>
            <w:r>
              <w:rPr>
                <w:rFonts w:hint="eastAsia" w:ascii="TimesNewRomanPSMT" w:hAnsi="TimesNewRomanPSMT" w:eastAsia="TimesNewRomanPSMT"/>
                <w:sz w:val="20"/>
              </w:rPr>
              <w:t>BOD</w:t>
            </w:r>
            <w:r>
              <w:rPr>
                <w:rFonts w:hint="eastAsia" w:ascii="TimesNewRomanPSMT" w:hAnsi="TimesNewRomanPSMT" w:eastAsia="TimesNewRomanPSMT"/>
                <w:sz w:val="13"/>
              </w:rPr>
              <w:t>5</w:t>
            </w:r>
            <w:r>
              <w:rPr>
                <w:rFonts w:hint="eastAsia" w:ascii="宋体" w:hAnsi="宋体" w:eastAsia="宋体"/>
                <w:sz w:val="20"/>
              </w:rPr>
              <w:t>、总磷、</w:t>
            </w:r>
            <w:r>
              <w:rPr>
                <w:rFonts w:hint="eastAsia" w:ascii="TimesNewRomanPSMT" w:hAnsi="TimesNewRomanPSMT" w:eastAsia="TimesNewRomanPSMT"/>
                <w:sz w:val="20"/>
              </w:rPr>
              <w:t>SS</w:t>
            </w:r>
          </w:p>
        </w:tc>
        <w:tc>
          <w:tcPr>
            <w:tcW w:w="1303" w:type="pct"/>
          </w:tcPr>
          <w:p>
            <w:pPr>
              <w:pStyle w:val="28"/>
              <w:suppressLineNumbers w:val="0"/>
              <w:bidi w:val="0"/>
              <w:spacing w:before="0" w:after="0"/>
              <w:ind w:left="0" w:right="0"/>
              <w:rPr>
                <w:rFonts w:hint="eastAsia" w:eastAsia="宋体"/>
                <w:lang w:eastAsia="zh-CN"/>
              </w:rPr>
            </w:pPr>
            <w:r>
              <w:rPr>
                <w:rFonts w:hint="eastAsia" w:ascii="宋体" w:hAnsi="宋体"/>
                <w:sz w:val="20"/>
                <w:lang w:eastAsia="zh-CN"/>
              </w:rPr>
              <w:t>半年</w:t>
            </w:r>
          </w:p>
        </w:tc>
      </w:tr>
    </w:tbl>
    <w:p>
      <w:pPr>
        <w:bidi w:val="0"/>
        <w:rPr>
          <w:rFonts w:hint="eastAsia"/>
          <w:lang w:eastAsia="zh-CN"/>
        </w:rPr>
      </w:pPr>
      <w:r>
        <w:rPr>
          <w:rFonts w:hint="eastAsia"/>
        </w:rPr>
        <w:fldChar w:fldCharType="begin"/>
      </w:r>
      <w:r>
        <w:rPr>
          <w:rFonts w:hint="eastAsia"/>
        </w:rPr>
        <w:instrText xml:space="preserve"> = 3 \* GB2 \* MERGEFORMAT </w:instrText>
      </w:r>
      <w:r>
        <w:rPr>
          <w:rFonts w:hint="eastAsia"/>
        </w:rPr>
        <w:fldChar w:fldCharType="separate"/>
      </w:r>
      <w:r>
        <w:t>⑶</w:t>
      </w:r>
      <w:r>
        <w:rPr>
          <w:rFonts w:hint="eastAsia"/>
        </w:rPr>
        <w:fldChar w:fldCharType="end"/>
      </w:r>
      <w:r>
        <w:rPr>
          <w:rFonts w:hint="eastAsia"/>
          <w:lang w:eastAsia="zh-CN"/>
        </w:rPr>
        <w:t>噪声</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1592"/>
        <w:gridCol w:w="4178"/>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pStyle w:val="28"/>
              <w:suppressLineNumbers w:val="0"/>
              <w:bidi w:val="0"/>
              <w:spacing w:before="0" w:after="0"/>
              <w:ind w:left="0" w:right="0"/>
              <w:rPr>
                <w:rFonts w:hint="eastAsia" w:eastAsia="宋体"/>
                <w:lang w:eastAsia="zh-CN"/>
              </w:rPr>
            </w:pPr>
            <w:r>
              <w:rPr>
                <w:rFonts w:hint="eastAsia"/>
                <w:lang w:eastAsia="zh-CN"/>
              </w:rPr>
              <w:t>监测点位</w:t>
            </w:r>
          </w:p>
        </w:tc>
        <w:tc>
          <w:tcPr>
            <w:tcW w:w="799" w:type="pct"/>
          </w:tcPr>
          <w:p>
            <w:pPr>
              <w:pStyle w:val="28"/>
              <w:suppressLineNumbers w:val="0"/>
              <w:bidi w:val="0"/>
              <w:spacing w:before="0" w:after="0"/>
              <w:ind w:left="0" w:right="0"/>
              <w:rPr>
                <w:rFonts w:hint="eastAsia" w:eastAsia="宋体"/>
                <w:lang w:eastAsia="zh-CN"/>
              </w:rPr>
            </w:pPr>
            <w:r>
              <w:rPr>
                <w:rFonts w:hint="eastAsia"/>
                <w:lang w:eastAsia="zh-CN"/>
              </w:rPr>
              <w:t>监测方式</w:t>
            </w:r>
          </w:p>
        </w:tc>
        <w:tc>
          <w:tcPr>
            <w:tcW w:w="2097" w:type="pct"/>
          </w:tcPr>
          <w:p>
            <w:pPr>
              <w:pStyle w:val="28"/>
              <w:suppressLineNumbers w:val="0"/>
              <w:bidi w:val="0"/>
              <w:spacing w:before="0" w:after="0"/>
              <w:ind w:left="0" w:right="0"/>
              <w:rPr>
                <w:rFonts w:hint="eastAsia" w:eastAsia="宋体"/>
                <w:lang w:eastAsia="zh-CN"/>
              </w:rPr>
            </w:pPr>
            <w:r>
              <w:rPr>
                <w:rFonts w:hint="eastAsia"/>
                <w:lang w:eastAsia="zh-CN"/>
              </w:rPr>
              <w:t>监测因子</w:t>
            </w:r>
          </w:p>
        </w:tc>
        <w:tc>
          <w:tcPr>
            <w:tcW w:w="1303" w:type="pct"/>
          </w:tcPr>
          <w:p>
            <w:pPr>
              <w:pStyle w:val="28"/>
              <w:suppressLineNumbers w:val="0"/>
              <w:bidi w:val="0"/>
              <w:spacing w:before="0" w:after="0"/>
              <w:ind w:left="0" w:right="0"/>
              <w:rPr>
                <w:rFonts w:hint="eastAsia" w:eastAsia="宋体"/>
                <w:lang w:eastAsia="zh-CN"/>
              </w:rPr>
            </w:pPr>
            <w:r>
              <w:rPr>
                <w:rFonts w:hint="eastAsia"/>
                <w:lang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9" w:type="pct"/>
          </w:tcPr>
          <w:p>
            <w:pPr>
              <w:pStyle w:val="28"/>
              <w:suppressLineNumbers w:val="0"/>
              <w:bidi w:val="0"/>
              <w:spacing w:before="0" w:after="0"/>
              <w:ind w:left="0" w:right="0"/>
              <w:rPr>
                <w:rFonts w:hint="eastAsia" w:eastAsia="宋体"/>
                <w:lang w:eastAsia="zh-CN"/>
              </w:rPr>
            </w:pPr>
            <w:r>
              <w:rPr>
                <w:rFonts w:hint="eastAsia"/>
                <w:lang w:eastAsia="zh-CN"/>
              </w:rPr>
              <w:t>厂界四周</w:t>
            </w:r>
          </w:p>
        </w:tc>
        <w:tc>
          <w:tcPr>
            <w:tcW w:w="799" w:type="pct"/>
          </w:tcPr>
          <w:p>
            <w:pPr>
              <w:pStyle w:val="28"/>
              <w:suppressLineNumbers w:val="0"/>
              <w:bidi w:val="0"/>
              <w:spacing w:before="0" w:after="0"/>
              <w:ind w:left="0" w:right="0"/>
              <w:rPr>
                <w:rFonts w:hint="eastAsia" w:eastAsia="宋体"/>
                <w:lang w:eastAsia="zh-CN"/>
              </w:rPr>
            </w:pPr>
            <w:r>
              <w:rPr>
                <w:rFonts w:hint="eastAsia"/>
                <w:lang w:eastAsia="zh-CN"/>
              </w:rPr>
              <w:t>手动监测</w:t>
            </w:r>
          </w:p>
        </w:tc>
        <w:tc>
          <w:tcPr>
            <w:tcW w:w="2097" w:type="pct"/>
          </w:tcPr>
          <w:p>
            <w:pPr>
              <w:pStyle w:val="28"/>
              <w:suppressLineNumbers w:val="0"/>
              <w:bidi w:val="0"/>
              <w:spacing w:before="0" w:after="0"/>
              <w:ind w:left="0" w:right="0"/>
              <w:rPr>
                <w:rFonts w:hint="default" w:eastAsia="宋体"/>
                <w:lang w:val="en-US" w:eastAsia="zh-CN"/>
              </w:rPr>
            </w:pPr>
            <w:r>
              <w:rPr>
                <w:rFonts w:hint="eastAsia" w:ascii="TimesNewRomanPSMT" w:hAnsi="TimesNewRomanPSMT"/>
                <w:sz w:val="20"/>
                <w:lang w:eastAsia="zh-CN"/>
              </w:rPr>
              <w:t>等效连续</w:t>
            </w:r>
            <w:r>
              <w:rPr>
                <w:rFonts w:hint="eastAsia" w:ascii="TimesNewRomanPSMT" w:hAnsi="TimesNewRomanPSMT"/>
                <w:sz w:val="20"/>
                <w:lang w:val="en-US" w:eastAsia="zh-CN"/>
              </w:rPr>
              <w:t>A声级</w:t>
            </w:r>
          </w:p>
        </w:tc>
        <w:tc>
          <w:tcPr>
            <w:tcW w:w="1303" w:type="pct"/>
          </w:tcPr>
          <w:p>
            <w:pPr>
              <w:pStyle w:val="28"/>
              <w:suppressLineNumbers w:val="0"/>
              <w:bidi w:val="0"/>
              <w:spacing w:before="0" w:after="0"/>
              <w:ind w:left="0" w:right="0"/>
              <w:rPr>
                <w:rFonts w:hint="eastAsia" w:eastAsia="宋体"/>
                <w:lang w:eastAsia="zh-CN"/>
              </w:rPr>
            </w:pPr>
            <w:r>
              <w:rPr>
                <w:rFonts w:hint="eastAsia" w:ascii="宋体" w:hAnsi="宋体"/>
                <w:sz w:val="20"/>
                <w:lang w:eastAsia="zh-CN"/>
              </w:rPr>
              <w:t>半年</w:t>
            </w:r>
          </w:p>
        </w:tc>
      </w:tr>
    </w:tbl>
    <w:p>
      <w:pPr>
        <w:pStyle w:val="5"/>
        <w:bidi w:val="0"/>
        <w:rPr>
          <w:rFonts w:hint="eastAsia"/>
          <w:lang w:eastAsia="zh-CN"/>
        </w:rPr>
      </w:pPr>
      <w:r>
        <w:rPr>
          <w:rFonts w:hint="eastAsia"/>
          <w:lang w:val="en-US" w:eastAsia="zh-CN"/>
        </w:rPr>
        <w:t xml:space="preserve">8.4.2 </w:t>
      </w:r>
      <w:r>
        <w:rPr>
          <w:rFonts w:hint="eastAsia"/>
          <w:lang w:eastAsia="zh-CN"/>
        </w:rPr>
        <w:t>环境质量监测计划</w:t>
      </w:r>
    </w:p>
    <w:p>
      <w:pPr>
        <w:bidi w:val="0"/>
      </w:pPr>
      <w:r>
        <w:rPr>
          <w:rFonts w:hint="eastAsia"/>
        </w:rPr>
        <w:fldChar w:fldCharType="begin"/>
      </w:r>
      <w:r>
        <w:rPr>
          <w:rFonts w:hint="eastAsia"/>
        </w:rPr>
        <w:instrText xml:space="preserve"> = 1 \* GB2 \* MERGEFORMAT </w:instrText>
      </w:r>
      <w:r>
        <w:rPr>
          <w:rFonts w:hint="eastAsia"/>
        </w:rPr>
        <w:fldChar w:fldCharType="separate"/>
      </w:r>
      <w:r>
        <w:t>⑴</w:t>
      </w:r>
      <w:r>
        <w:rPr>
          <w:rFonts w:hint="eastAsia"/>
        </w:rPr>
        <w:fldChar w:fldCharType="end"/>
      </w:r>
      <w:r>
        <w:rPr>
          <w:rFonts w:hint="eastAsia"/>
        </w:rPr>
        <w:t>大气</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3188"/>
        <w:gridCol w:w="3629"/>
        <w:gridCol w:w="21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rPr>
              <w:t>编号</w:t>
            </w:r>
          </w:p>
        </w:tc>
        <w:tc>
          <w:tcPr>
            <w:tcW w:w="1600"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rPr>
              <w:t>监测点位置</w:t>
            </w:r>
          </w:p>
        </w:tc>
        <w:tc>
          <w:tcPr>
            <w:tcW w:w="182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lang w:eastAsia="zh-TW"/>
              </w:rPr>
            </w:pPr>
            <w:r>
              <w:rPr>
                <w:rFonts w:hint="eastAsia"/>
                <w:lang w:eastAsia="zh-TW"/>
              </w:rPr>
              <w:t>监测项目</w:t>
            </w:r>
          </w:p>
        </w:tc>
        <w:tc>
          <w:tcPr>
            <w:tcW w:w="1081"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lang w:eastAsia="zh-CN"/>
              </w:rPr>
              <w:t>最低监测频次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G1</w:t>
            </w:r>
          </w:p>
        </w:tc>
        <w:tc>
          <w:tcPr>
            <w:tcW w:w="1600"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rPr>
              <w:t>项目厂界</w:t>
            </w:r>
          </w:p>
        </w:tc>
        <w:tc>
          <w:tcPr>
            <w:tcW w:w="1821" w:type="pct"/>
            <w:vMerge w:val="restar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rPr>
                <w:lang w:eastAsia="zh-TW"/>
              </w:rPr>
            </w:pPr>
            <w:r>
              <w:t>SO</w:t>
            </w:r>
            <w:r>
              <w:rPr>
                <w:vertAlign w:val="subscript"/>
              </w:rPr>
              <w:t>2</w:t>
            </w:r>
            <w:r>
              <w:rPr>
                <w:rFonts w:hint="eastAsia"/>
              </w:rPr>
              <w:t>、</w:t>
            </w:r>
            <w:r>
              <w:t>NOx</w:t>
            </w:r>
            <w:r>
              <w:rPr>
                <w:rFonts w:hint="eastAsia"/>
              </w:rPr>
              <w:t>、</w:t>
            </w:r>
            <w:r>
              <w:t>PM</w:t>
            </w:r>
            <w:r>
              <w:rPr>
                <w:vertAlign w:val="subscript"/>
              </w:rPr>
              <w:t>10</w:t>
            </w:r>
          </w:p>
        </w:tc>
        <w:tc>
          <w:tcPr>
            <w:tcW w:w="1081" w:type="pct"/>
            <w:vMerge w:val="restar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ascii="宋体" w:hAnsi="宋体"/>
                <w:sz w:val="20"/>
                <w:lang w:eastAsia="zh-CN"/>
              </w:rPr>
              <w:t>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95"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t>G2</w:t>
            </w:r>
          </w:p>
        </w:tc>
        <w:tc>
          <w:tcPr>
            <w:tcW w:w="1600" w:type="pct"/>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pPr>
            <w:r>
              <w:rPr>
                <w:rFonts w:hint="eastAsia"/>
              </w:rPr>
              <w:t>下风向</w:t>
            </w:r>
            <w:r>
              <w:t>500m</w:t>
            </w:r>
          </w:p>
        </w:tc>
        <w:tc>
          <w:tcPr>
            <w:tcW w:w="1821" w:type="pct"/>
            <w:vMerge w:val="continue"/>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outlineLvl w:val="9"/>
              <w:rPr>
                <w:lang w:eastAsia="zh-TW"/>
              </w:rPr>
            </w:pPr>
          </w:p>
        </w:tc>
        <w:tc>
          <w:tcPr>
            <w:tcW w:w="1081" w:type="pct"/>
            <w:vMerge w:val="continue"/>
            <w:tcBorders>
              <w:top w:val="single" w:color="auto" w:sz="4" w:space="0"/>
              <w:left w:val="single" w:color="auto" w:sz="4" w:space="0"/>
              <w:bottom w:val="single" w:color="auto" w:sz="4" w:space="0"/>
              <w:right w:val="single" w:color="auto" w:sz="4" w:space="0"/>
            </w:tcBorders>
            <w:noWrap w:val="0"/>
            <w:vAlign w:val="center"/>
          </w:tcPr>
          <w:p>
            <w:pPr>
              <w:pStyle w:val="28"/>
              <w:suppressLineNumbers w:val="0"/>
              <w:bidi w:val="0"/>
              <w:spacing w:before="0" w:after="0"/>
              <w:ind w:left="0" w:right="0"/>
              <w:outlineLvl w:val="9"/>
            </w:pPr>
          </w:p>
        </w:tc>
      </w:tr>
    </w:tbl>
    <w:p>
      <w:pPr>
        <w:bidi w:val="0"/>
        <w:rPr>
          <w:rFonts w:hint="eastAsia"/>
          <w:lang w:eastAsia="zh-CN"/>
        </w:rPr>
      </w:pPr>
      <w:r>
        <w:t>(2)</w:t>
      </w:r>
      <w:r>
        <w:rPr>
          <w:rFonts w:hint="eastAsia"/>
          <w:lang w:eastAsia="zh-CN"/>
        </w:rPr>
        <w:t>噪声</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3"/>
        <w:gridCol w:w="2003"/>
        <w:gridCol w:w="3153"/>
        <w:gridCol w:w="2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tcPr>
          <w:p>
            <w:pPr>
              <w:pStyle w:val="28"/>
              <w:suppressLineNumbers w:val="0"/>
              <w:bidi w:val="0"/>
              <w:spacing w:before="0" w:after="0"/>
              <w:ind w:left="0" w:right="0"/>
              <w:rPr>
                <w:rFonts w:hint="eastAsia" w:eastAsia="宋体"/>
                <w:lang w:eastAsia="zh-CN"/>
              </w:rPr>
            </w:pPr>
            <w:r>
              <w:rPr>
                <w:rFonts w:hint="eastAsia"/>
                <w:lang w:eastAsia="zh-CN"/>
              </w:rPr>
              <w:t>监测点位</w:t>
            </w:r>
          </w:p>
        </w:tc>
        <w:tc>
          <w:tcPr>
            <w:tcW w:w="1005" w:type="pct"/>
          </w:tcPr>
          <w:p>
            <w:pPr>
              <w:pStyle w:val="28"/>
              <w:suppressLineNumbers w:val="0"/>
              <w:bidi w:val="0"/>
              <w:spacing w:before="0" w:after="0"/>
              <w:ind w:left="0" w:right="0"/>
              <w:rPr>
                <w:rFonts w:hint="eastAsia" w:eastAsia="宋体"/>
                <w:lang w:eastAsia="zh-CN"/>
              </w:rPr>
            </w:pPr>
            <w:r>
              <w:rPr>
                <w:rFonts w:hint="eastAsia"/>
                <w:lang w:eastAsia="zh-CN"/>
              </w:rPr>
              <w:t>监测方式</w:t>
            </w:r>
          </w:p>
        </w:tc>
        <w:tc>
          <w:tcPr>
            <w:tcW w:w="1582" w:type="pct"/>
          </w:tcPr>
          <w:p>
            <w:pPr>
              <w:pStyle w:val="28"/>
              <w:suppressLineNumbers w:val="0"/>
              <w:bidi w:val="0"/>
              <w:spacing w:before="0" w:after="0"/>
              <w:ind w:left="0" w:right="0"/>
              <w:rPr>
                <w:rFonts w:hint="eastAsia" w:eastAsia="宋体"/>
                <w:lang w:eastAsia="zh-CN"/>
              </w:rPr>
            </w:pPr>
            <w:r>
              <w:rPr>
                <w:rFonts w:hint="eastAsia"/>
                <w:lang w:eastAsia="zh-CN"/>
              </w:rPr>
              <w:t>监测因子</w:t>
            </w:r>
          </w:p>
        </w:tc>
        <w:tc>
          <w:tcPr>
            <w:tcW w:w="1405" w:type="pct"/>
          </w:tcPr>
          <w:p>
            <w:pPr>
              <w:pStyle w:val="28"/>
              <w:suppressLineNumbers w:val="0"/>
              <w:bidi w:val="0"/>
              <w:spacing w:before="0" w:after="0"/>
              <w:ind w:left="0" w:right="0"/>
              <w:rPr>
                <w:rFonts w:hint="eastAsia" w:eastAsia="宋体"/>
                <w:lang w:eastAsia="zh-CN"/>
              </w:rPr>
            </w:pPr>
            <w:r>
              <w:rPr>
                <w:rFonts w:hint="eastAsia"/>
                <w:lang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 w:type="pct"/>
          </w:tcPr>
          <w:p>
            <w:pPr>
              <w:pStyle w:val="28"/>
              <w:suppressLineNumbers w:val="0"/>
              <w:bidi w:val="0"/>
              <w:spacing w:before="0" w:after="0"/>
              <w:ind w:left="0" w:right="0"/>
              <w:rPr>
                <w:rFonts w:hint="eastAsia" w:eastAsia="宋体"/>
                <w:lang w:eastAsia="zh-CN"/>
              </w:rPr>
            </w:pPr>
            <w:r>
              <w:rPr>
                <w:rFonts w:hint="eastAsia"/>
                <w:lang w:eastAsia="zh-CN"/>
              </w:rPr>
              <w:t>厂界四周</w:t>
            </w:r>
          </w:p>
        </w:tc>
        <w:tc>
          <w:tcPr>
            <w:tcW w:w="1005" w:type="pct"/>
          </w:tcPr>
          <w:p>
            <w:pPr>
              <w:pStyle w:val="28"/>
              <w:suppressLineNumbers w:val="0"/>
              <w:bidi w:val="0"/>
              <w:spacing w:before="0" w:after="0"/>
              <w:ind w:left="0" w:right="0"/>
              <w:rPr>
                <w:rFonts w:hint="eastAsia" w:eastAsia="宋体"/>
                <w:lang w:eastAsia="zh-CN"/>
              </w:rPr>
            </w:pPr>
            <w:r>
              <w:rPr>
                <w:rFonts w:hint="eastAsia"/>
                <w:lang w:eastAsia="zh-CN"/>
              </w:rPr>
              <w:t>手动监测</w:t>
            </w:r>
          </w:p>
        </w:tc>
        <w:tc>
          <w:tcPr>
            <w:tcW w:w="1582" w:type="pct"/>
          </w:tcPr>
          <w:p>
            <w:pPr>
              <w:pStyle w:val="28"/>
              <w:suppressLineNumbers w:val="0"/>
              <w:bidi w:val="0"/>
              <w:spacing w:before="0" w:after="0"/>
              <w:ind w:left="0" w:right="0"/>
              <w:rPr>
                <w:rFonts w:hint="default" w:eastAsia="宋体"/>
                <w:lang w:val="en-US" w:eastAsia="zh-CN"/>
              </w:rPr>
            </w:pPr>
            <w:r>
              <w:rPr>
                <w:rFonts w:hint="eastAsia" w:ascii="TimesNewRomanPSMT" w:hAnsi="TimesNewRomanPSMT"/>
                <w:sz w:val="20"/>
                <w:lang w:eastAsia="zh-CN"/>
              </w:rPr>
              <w:t>等效连续</w:t>
            </w:r>
            <w:r>
              <w:rPr>
                <w:rFonts w:hint="eastAsia" w:ascii="TimesNewRomanPSMT" w:hAnsi="TimesNewRomanPSMT"/>
                <w:sz w:val="20"/>
                <w:lang w:val="en-US" w:eastAsia="zh-CN"/>
              </w:rPr>
              <w:t>A声级</w:t>
            </w:r>
          </w:p>
        </w:tc>
        <w:tc>
          <w:tcPr>
            <w:tcW w:w="1405" w:type="pct"/>
          </w:tcPr>
          <w:p>
            <w:pPr>
              <w:pStyle w:val="28"/>
              <w:suppressLineNumbers w:val="0"/>
              <w:bidi w:val="0"/>
              <w:spacing w:before="0" w:after="0"/>
              <w:ind w:left="0" w:right="0"/>
              <w:rPr>
                <w:rFonts w:hint="eastAsia" w:eastAsia="宋体"/>
                <w:lang w:eastAsia="zh-CN"/>
              </w:rPr>
            </w:pPr>
            <w:r>
              <w:rPr>
                <w:rFonts w:hint="eastAsia" w:ascii="宋体" w:hAnsi="宋体"/>
                <w:sz w:val="20"/>
                <w:lang w:eastAsia="zh-CN"/>
              </w:rPr>
              <w:t>年</w:t>
            </w:r>
          </w:p>
        </w:tc>
      </w:tr>
    </w:tbl>
    <w:p>
      <w:pPr>
        <w:pStyle w:val="5"/>
        <w:bidi w:val="0"/>
      </w:pPr>
      <w:bookmarkStart w:id="264" w:name="_Toc168476703"/>
      <w:bookmarkStart w:id="265" w:name="_Toc202846258"/>
      <w:bookmarkStart w:id="266" w:name="_Toc215999107"/>
      <w:bookmarkStart w:id="267" w:name="_Toc282589087"/>
      <w:bookmarkStart w:id="268" w:name="_Toc181151454"/>
      <w:bookmarkStart w:id="269" w:name="_Toc214870865"/>
      <w:bookmarkStart w:id="270" w:name="_Toc216000038"/>
      <w:bookmarkStart w:id="271" w:name="_Toc222798779"/>
      <w:bookmarkStart w:id="272" w:name="_Toc225052702"/>
      <w:bookmarkStart w:id="273" w:name="_Toc527487057"/>
      <w:bookmarkStart w:id="274" w:name="_Toc4172"/>
      <w:bookmarkStart w:id="275" w:name="_Toc184182176"/>
      <w:bookmarkStart w:id="276" w:name="_Toc527394321"/>
      <w:bookmarkStart w:id="277" w:name="_Toc30822_WPSOffice_Level2"/>
      <w:r>
        <w:rPr>
          <w:rFonts w:hint="eastAsia"/>
          <w:lang w:val="en-US" w:eastAsia="zh-CN"/>
        </w:rPr>
        <w:t>8.</w:t>
      </w:r>
      <w:r>
        <w:t xml:space="preserve">4.3 </w:t>
      </w:r>
      <w:r>
        <w:rPr>
          <w:rFonts w:hint="eastAsia"/>
        </w:rPr>
        <w:t>非正常和事故排放监测计划</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bidi w:val="0"/>
      </w:pPr>
      <w:r>
        <w:rPr>
          <w:rFonts w:hint="eastAsia"/>
        </w:rPr>
        <w:t>在非正常排放当天风向下风向，布设</w:t>
      </w:r>
      <w:r>
        <w:t>2</w:t>
      </w:r>
      <w:r>
        <w:rPr>
          <w:rFonts w:hint="eastAsia"/>
        </w:rPr>
        <w:t>～</w:t>
      </w:r>
      <w:r>
        <w:t>4</w:t>
      </w:r>
      <w:r>
        <w:rPr>
          <w:rFonts w:hint="eastAsia"/>
        </w:rPr>
        <w:t>个监测点，</w:t>
      </w:r>
      <w:r>
        <w:t>1</w:t>
      </w:r>
      <w:r>
        <w:rPr>
          <w:rFonts w:hint="eastAsia"/>
        </w:rPr>
        <w:t>～</w:t>
      </w:r>
      <w:r>
        <w:t>2</w:t>
      </w:r>
      <w:r>
        <w:rPr>
          <w:rFonts w:hint="eastAsia"/>
        </w:rPr>
        <w:t>个位于预测最大落地浓度附近，其余设在下风向的保护目标处，连续监测</w:t>
      </w:r>
      <w:r>
        <w:t>2</w:t>
      </w:r>
      <w:r>
        <w:rPr>
          <w:rFonts w:hint="eastAsia"/>
        </w:rPr>
        <w:t>天，每天监测四次。可根据监测结果延长或减少监测时间。监测项目根据事故排放因子确定。</w:t>
      </w:r>
    </w:p>
    <w:p>
      <w:pPr>
        <w:pStyle w:val="5"/>
        <w:bidi w:val="0"/>
      </w:pPr>
      <w:bookmarkStart w:id="278" w:name="_Toc527394322"/>
      <w:bookmarkStart w:id="279" w:name="_Toc527487058"/>
      <w:bookmarkStart w:id="280" w:name="_Toc25126_WPSOffice_Level2"/>
      <w:r>
        <w:rPr>
          <w:rFonts w:hint="eastAsia"/>
          <w:lang w:val="en-US" w:eastAsia="zh-CN"/>
        </w:rPr>
        <w:t>8.</w:t>
      </w:r>
      <w:r>
        <w:t xml:space="preserve">4.4 </w:t>
      </w:r>
      <w:r>
        <w:rPr>
          <w:rFonts w:hint="eastAsia"/>
        </w:rPr>
        <w:t>监测仪器</w:t>
      </w:r>
      <w:bookmarkEnd w:id="278"/>
      <w:bookmarkEnd w:id="279"/>
      <w:bookmarkEnd w:id="280"/>
    </w:p>
    <w:p>
      <w:pPr>
        <w:bidi w:val="0"/>
      </w:pPr>
      <w:r>
        <w:rPr>
          <w:rFonts w:hint="eastAsia"/>
        </w:rPr>
        <w:t>本工程需配备的环境监测仪器</w:t>
      </w:r>
      <w:r>
        <w:t>pH</w:t>
      </w:r>
      <w:r>
        <w:rPr>
          <w:rFonts w:hint="eastAsia"/>
        </w:rPr>
        <w:t>计、噪声测定仪等。部分项目的监测仪器本企业不进行配备，可委托专业环境监测机构进行监测。</w:t>
      </w:r>
    </w:p>
    <w:p>
      <w:pPr>
        <w:pStyle w:val="5"/>
        <w:bidi w:val="0"/>
        <w:rPr>
          <w:rFonts w:hint="eastAsia"/>
        </w:rPr>
      </w:pPr>
      <w:r>
        <w:rPr>
          <w:rFonts w:hint="eastAsia"/>
          <w:lang w:val="en-US" w:eastAsia="zh-CN"/>
        </w:rPr>
        <w:t>8.4.5</w:t>
      </w:r>
      <w:r>
        <w:rPr>
          <w:rFonts w:hint="eastAsia"/>
        </w:rPr>
        <w:t>采样方法和监测分析方法</w:t>
      </w:r>
    </w:p>
    <w:p>
      <w:pPr>
        <w:bidi w:val="0"/>
        <w:rPr>
          <w:rFonts w:hint="eastAsia"/>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r>
        <w:rPr>
          <w:rFonts w:hint="eastAsia"/>
        </w:rPr>
        <w:t>按照《排污单位自行监测技术指南》（HJ819-2017）执行。</w:t>
      </w:r>
    </w:p>
    <w:p>
      <w:pPr>
        <w:pStyle w:val="27"/>
        <w:bidi w:val="0"/>
        <w:rPr>
          <w:rFonts w:hint="eastAsia"/>
        </w:rPr>
      </w:pPr>
      <w:r>
        <w:rPr>
          <w:rFonts w:hint="eastAsia"/>
        </w:rPr>
        <w:t>表8.</w:t>
      </w:r>
      <w:r>
        <w:rPr>
          <w:rFonts w:hint="eastAsia"/>
          <w:lang w:val="en-US" w:eastAsia="zh-CN"/>
        </w:rPr>
        <w:t>4.5</w:t>
      </w:r>
      <w:r>
        <w:rPr>
          <w:rFonts w:hint="eastAsia"/>
        </w:rPr>
        <w:t>-1 污染物排放清单</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129"/>
        <w:gridCol w:w="619"/>
        <w:gridCol w:w="699"/>
        <w:gridCol w:w="1370"/>
        <w:gridCol w:w="836"/>
        <w:gridCol w:w="947"/>
        <w:gridCol w:w="1262"/>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污染源</w:t>
            </w:r>
          </w:p>
        </w:tc>
        <w:tc>
          <w:tcPr>
            <w:tcW w:w="0" w:type="auto"/>
            <w:gridSpan w:val="2"/>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处理措施</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处理效率</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排气筒</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排污口设置</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主要污染物</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0" w:type="auto"/>
            <w:gridSpan w:val="9"/>
            <w:vAlign w:val="center"/>
          </w:tcPr>
          <w:p>
            <w:pPr>
              <w:pStyle w:val="28"/>
              <w:suppressLineNumbers w:val="0"/>
              <w:bidi w:val="0"/>
              <w:spacing w:before="0" w:after="0"/>
              <w:ind w:left="0" w:right="0"/>
              <w:jc w:val="center"/>
              <w:rPr>
                <w:rFonts w:hint="eastAsia" w:eastAsia="宋体"/>
                <w:lang w:val="en-US" w:eastAsia="zh-CN"/>
              </w:rPr>
            </w:pPr>
            <w:r>
              <w:rPr>
                <w:rFonts w:hint="eastAsia"/>
                <w:lang w:eastAsia="zh-CN"/>
              </w:rPr>
              <w:t>一期、二期、全厂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废水</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食堂废水</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隔油</w:t>
            </w:r>
          </w:p>
        </w:tc>
        <w:tc>
          <w:tcPr>
            <w:tcW w:w="0" w:type="auto"/>
            <w:vMerge w:val="restart"/>
            <w:vAlign w:val="center"/>
          </w:tcPr>
          <w:p>
            <w:pPr>
              <w:pStyle w:val="28"/>
              <w:suppressLineNumbers w:val="0"/>
              <w:bidi w:val="0"/>
              <w:spacing w:before="0" w:after="0"/>
              <w:ind w:left="0" w:right="0"/>
              <w:jc w:val="center"/>
              <w:rPr>
                <w:rFonts w:hint="eastAsia"/>
                <w:lang w:eastAsia="zh-CN"/>
              </w:rPr>
            </w:pPr>
            <w:r>
              <w:rPr>
                <w:rFonts w:hint="eastAsia"/>
                <w:lang w:eastAsia="zh-CN"/>
              </w:rPr>
              <w:t>化粪池</w:t>
            </w:r>
          </w:p>
        </w:tc>
        <w:tc>
          <w:tcPr>
            <w:tcW w:w="0" w:type="auto"/>
            <w:vMerge w:val="restart"/>
            <w:vAlign w:val="center"/>
          </w:tcPr>
          <w:p>
            <w:pPr>
              <w:pStyle w:val="28"/>
              <w:suppressLineNumbers w:val="0"/>
              <w:bidi w:val="0"/>
              <w:spacing w:before="0" w:after="0"/>
              <w:ind w:left="0" w:right="0"/>
              <w:jc w:val="center"/>
              <w:rPr>
                <w:rFonts w:hint="default" w:eastAsia="宋体"/>
                <w:lang w:val="en-US" w:eastAsia="zh-CN"/>
              </w:rPr>
            </w:pPr>
            <w:r>
              <w:rPr>
                <w:rFonts w:hint="eastAsia" w:ascii="Times New Roman" w:hAnsi="Times New Roman"/>
                <w:lang w:eastAsia="zh-CN"/>
              </w:rPr>
              <w:t>动植物油</w:t>
            </w:r>
            <w:r>
              <w:rPr>
                <w:rFonts w:hint="default" w:ascii="Times New Roman" w:hAnsi="Times New Roman"/>
                <w:lang w:eastAsia="zh-CN"/>
              </w:rPr>
              <w:t>≥</w:t>
            </w:r>
            <w:r>
              <w:rPr>
                <w:rFonts w:hint="eastAsia" w:ascii="Times New Roman" w:hAnsi="Times New Roman"/>
                <w:lang w:val="en-US" w:eastAsia="zh-CN"/>
              </w:rPr>
              <w:t>80%</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新增排污口</w:t>
            </w:r>
          </w:p>
        </w:tc>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ascii="TimesNewRomanPSMT" w:hAnsi="TimesNewRomanPSMT" w:eastAsia="TimesNewRomanPSMT"/>
                <w:sz w:val="21"/>
              </w:rPr>
              <w:t>COD</w:t>
            </w:r>
            <w:r>
              <w:rPr>
                <w:rFonts w:hint="eastAsia" w:ascii="宋体" w:hAnsi="宋体" w:eastAsia="宋体"/>
                <w:sz w:val="21"/>
              </w:rPr>
              <w:t>、</w:t>
            </w:r>
            <w:r>
              <w:rPr>
                <w:rFonts w:hint="eastAsia" w:ascii="TimesNewRomanPSMT" w:hAnsi="TimesNewRomanPSMT" w:eastAsia="TimesNewRomanPSMT"/>
                <w:sz w:val="21"/>
              </w:rPr>
              <w:t>SS</w:t>
            </w:r>
            <w:r>
              <w:rPr>
                <w:rFonts w:hint="eastAsia" w:ascii="TimesNewRomanPSMT" w:hAnsi="TimesNewRomanPSMT"/>
                <w:sz w:val="21"/>
                <w:lang w:eastAsia="zh-CN"/>
              </w:rPr>
              <w:t>、氨氮、总氮、总磷、动植物油</w:t>
            </w:r>
          </w:p>
        </w:tc>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青湖镇联村生活污水处理厂接管标准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生活污水</w:t>
            </w:r>
          </w:p>
        </w:tc>
        <w:tc>
          <w:tcPr>
            <w:tcW w:w="0" w:type="auto"/>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清下水</w:t>
            </w:r>
          </w:p>
        </w:tc>
        <w:tc>
          <w:tcPr>
            <w:tcW w:w="0" w:type="auto"/>
            <w:gridSpan w:val="2"/>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w:t>
            </w:r>
          </w:p>
        </w:tc>
        <w:tc>
          <w:tcPr>
            <w:tcW w:w="0" w:type="auto"/>
            <w:vAlign w:val="center"/>
          </w:tcPr>
          <w:p>
            <w:pPr>
              <w:pStyle w:val="28"/>
              <w:suppressLineNumbers w:val="0"/>
              <w:bidi w:val="0"/>
              <w:spacing w:before="0" w:after="0"/>
              <w:ind w:left="0" w:right="0"/>
              <w:jc w:val="center"/>
              <w:rPr>
                <w:rFonts w:hint="default"/>
              </w:rPr>
            </w:pPr>
            <w:r>
              <w:rPr>
                <w:rFonts w:hint="eastAsia" w:ascii="TimesNewRomanPSMT" w:hAnsi="TimesNewRomanPSMT" w:eastAsia="TimesNewRomanPSMT"/>
                <w:sz w:val="21"/>
              </w:rPr>
              <w:t>COD</w:t>
            </w:r>
            <w:r>
              <w:rPr>
                <w:rFonts w:hint="eastAsia" w:ascii="宋体" w:hAnsi="宋体" w:eastAsia="宋体"/>
                <w:sz w:val="21"/>
              </w:rPr>
              <w:t>、</w:t>
            </w:r>
            <w:r>
              <w:rPr>
                <w:rFonts w:hint="eastAsia" w:ascii="TimesNewRomanPSMT" w:hAnsi="TimesNewRomanPSMT" w:eastAsia="TimesNewRomanPSMT"/>
                <w:sz w:val="21"/>
              </w:rPr>
              <w:t>SS</w:t>
            </w:r>
          </w:p>
        </w:tc>
        <w:tc>
          <w:tcPr>
            <w:tcW w:w="0" w:type="auto"/>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废气</w:t>
            </w:r>
          </w:p>
        </w:tc>
        <w:tc>
          <w:tcPr>
            <w:tcW w:w="0" w:type="auto"/>
            <w:vAlign w:val="center"/>
          </w:tcPr>
          <w:p>
            <w:pPr>
              <w:pStyle w:val="28"/>
              <w:suppressLineNumbers w:val="0"/>
              <w:bidi w:val="0"/>
              <w:spacing w:before="0" w:after="0"/>
              <w:ind w:left="0" w:right="0"/>
              <w:jc w:val="center"/>
              <w:rPr>
                <w:rFonts w:hint="default"/>
              </w:rPr>
            </w:pPr>
            <w:r>
              <w:rPr>
                <w:rFonts w:hint="eastAsia"/>
                <w:lang w:eastAsia="zh-CN"/>
              </w:rPr>
              <w:t>进料</w:t>
            </w:r>
          </w:p>
        </w:tc>
        <w:tc>
          <w:tcPr>
            <w:tcW w:w="0" w:type="auto"/>
            <w:gridSpan w:val="2"/>
            <w:vAlign w:val="center"/>
          </w:tcPr>
          <w:p>
            <w:pPr>
              <w:pStyle w:val="28"/>
              <w:suppressLineNumbers w:val="0"/>
              <w:bidi w:val="0"/>
              <w:spacing w:before="0" w:after="0"/>
              <w:ind w:left="0" w:right="0"/>
              <w:jc w:val="center"/>
              <w:rPr>
                <w:rFonts w:hint="default"/>
              </w:rPr>
            </w:pPr>
            <w:r>
              <w:rPr>
                <w:rFonts w:hint="eastAsia"/>
                <w:lang w:eastAsia="zh-CN"/>
              </w:rPr>
              <w:t>集尘罩</w:t>
            </w:r>
            <w:r>
              <w:rPr>
                <w:rFonts w:hint="eastAsia"/>
                <w:lang w:val="en-US" w:eastAsia="zh-CN"/>
              </w:rPr>
              <w:t>+</w:t>
            </w:r>
            <w:r>
              <w:t>布袋除尘器</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粉尘</w:t>
            </w:r>
            <w:r>
              <w:rPr>
                <w:rFonts w:hint="default" w:ascii="Times New Roman" w:hAnsi="Times New Roman"/>
                <w:lang w:eastAsia="zh-CN"/>
              </w:rPr>
              <w:t>≥</w:t>
            </w:r>
            <w:r>
              <w:rPr>
                <w:rFonts w:hint="eastAsia"/>
                <w:lang w:val="en-US" w:eastAsia="zh-CN"/>
              </w:rPr>
              <w:t>99.5%</w:t>
            </w:r>
          </w:p>
        </w:tc>
        <w:tc>
          <w:tcPr>
            <w:tcW w:w="0" w:type="auto"/>
            <w:vMerge w:val="restar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DA001</w:t>
            </w:r>
          </w:p>
        </w:tc>
        <w:tc>
          <w:tcPr>
            <w:tcW w:w="0" w:type="auto"/>
            <w:vMerge w:val="restart"/>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1根35米高排气筒，内径1.3米</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颗粒物</w:t>
            </w:r>
          </w:p>
        </w:tc>
        <w:tc>
          <w:tcPr>
            <w:tcW w:w="0" w:type="auto"/>
            <w:vMerge w:val="restart"/>
            <w:vAlign w:val="center"/>
          </w:tcPr>
          <w:p>
            <w:pPr>
              <w:pStyle w:val="28"/>
              <w:suppressLineNumbers w:val="0"/>
              <w:bidi w:val="0"/>
              <w:spacing w:before="0" w:after="0"/>
              <w:ind w:left="0" w:right="0"/>
              <w:jc w:val="center"/>
              <w:rPr>
                <w:rFonts w:hint="default"/>
              </w:rPr>
            </w:pPr>
            <w:r>
              <w:rPr>
                <w:rFonts w:hint="eastAsia"/>
                <w:lang w:eastAsia="zh-CN"/>
              </w:rPr>
              <w:t>《</w:t>
            </w:r>
            <w:r>
              <w:rPr>
                <w:rFonts w:hint="eastAsia"/>
              </w:rPr>
              <w:t>工业炉窑大气污染物排放标准</w:t>
            </w:r>
            <w:r>
              <w:rPr>
                <w:rFonts w:hint="eastAsia"/>
                <w:lang w:eastAsia="zh-CN"/>
              </w:rPr>
              <w:t>》（</w:t>
            </w:r>
            <w:r>
              <w:t>DB</w:t>
            </w:r>
            <w:r>
              <w:rPr>
                <w:rFonts w:hint="eastAsia"/>
              </w:rPr>
              <w:t xml:space="preserve"> </w:t>
            </w:r>
            <w:r>
              <w:t>32/</w:t>
            </w:r>
            <w:r>
              <w:rPr>
                <w:rFonts w:hint="eastAsia"/>
              </w:rPr>
              <w:t>3728</w:t>
            </w:r>
            <w:r>
              <w:t>—201</w:t>
            </w:r>
            <w:r>
              <w:rPr>
                <w:rFonts w:hint="eastAsia"/>
              </w:rPr>
              <w:t>9</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default"/>
              </w:rPr>
            </w:pPr>
            <w:r>
              <w:rPr>
                <w:rFonts w:hint="eastAsia"/>
                <w:lang w:eastAsia="zh-CN"/>
              </w:rPr>
              <w:t>电煅</w:t>
            </w:r>
          </w:p>
        </w:tc>
        <w:tc>
          <w:tcPr>
            <w:tcW w:w="0" w:type="auto"/>
            <w:gridSpan w:val="2"/>
            <w:vAlign w:val="center"/>
          </w:tcPr>
          <w:p>
            <w:pPr>
              <w:pStyle w:val="28"/>
              <w:suppressLineNumbers w:val="0"/>
              <w:bidi w:val="0"/>
              <w:spacing w:before="0" w:after="0"/>
              <w:ind w:left="0" w:right="0"/>
              <w:jc w:val="center"/>
              <w:rPr>
                <w:rFonts w:hint="default"/>
              </w:rPr>
            </w:pPr>
            <w:r>
              <w:t>布袋除尘+氧化钙脱硫（</w:t>
            </w:r>
            <w:r>
              <w:rPr>
                <w:rFonts w:hint="eastAsia"/>
                <w:lang w:eastAsia="zh-CN"/>
              </w:rPr>
              <w:t>二</w:t>
            </w:r>
            <w:r>
              <w:t>级）</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eastAsia="zh-CN"/>
              </w:rPr>
              <w:t>烟尘</w:t>
            </w:r>
            <w:r>
              <w:rPr>
                <w:rFonts w:hint="default" w:ascii="Times New Roman" w:hAnsi="Times New Roman"/>
                <w:lang w:eastAsia="zh-CN"/>
              </w:rPr>
              <w:t>≥</w:t>
            </w:r>
            <w:r>
              <w:rPr>
                <w:rFonts w:hint="eastAsia"/>
                <w:lang w:val="en-US" w:eastAsia="zh-CN"/>
              </w:rPr>
              <w:t>99.5%、SO</w:t>
            </w:r>
            <w:r>
              <w:rPr>
                <w:rFonts w:hint="eastAsia"/>
                <w:vertAlign w:val="subscript"/>
                <w:lang w:val="en-US" w:eastAsia="zh-CN"/>
              </w:rPr>
              <w:t>2</w:t>
            </w:r>
            <w:r>
              <w:rPr>
                <w:rFonts w:hint="default" w:ascii="Times New Roman" w:hAnsi="Times New Roman"/>
                <w:lang w:eastAsia="zh-CN"/>
              </w:rPr>
              <w:t>≥</w:t>
            </w:r>
            <w:r>
              <w:rPr>
                <w:rFonts w:hint="eastAsia" w:ascii="Times New Roman" w:hAnsi="Times New Roman"/>
                <w:lang w:val="en-US" w:eastAsia="zh-CN"/>
              </w:rPr>
              <w:t>93.5%</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颗粒物、</w:t>
            </w:r>
            <w:r>
              <w:rPr>
                <w:rFonts w:hint="eastAsia"/>
                <w:lang w:val="en-US" w:eastAsia="zh-CN"/>
              </w:rPr>
              <w:t>SO2、NOx</w:t>
            </w: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default"/>
              </w:rPr>
            </w:pPr>
            <w:r>
              <w:t>排料</w:t>
            </w:r>
            <w:r>
              <w:rPr>
                <w:rFonts w:hint="eastAsia"/>
                <w:lang w:eastAsia="zh-CN"/>
              </w:rPr>
              <w:t>、中间包装、半成品仓、破碎、筛分、包装</w:t>
            </w:r>
          </w:p>
        </w:tc>
        <w:tc>
          <w:tcPr>
            <w:tcW w:w="0" w:type="auto"/>
            <w:gridSpan w:val="2"/>
            <w:vAlign w:val="center"/>
          </w:tcPr>
          <w:p>
            <w:pPr>
              <w:pStyle w:val="28"/>
              <w:suppressLineNumbers w:val="0"/>
              <w:bidi w:val="0"/>
              <w:spacing w:before="0" w:after="0"/>
              <w:ind w:left="0" w:right="0"/>
              <w:jc w:val="center"/>
              <w:rPr>
                <w:rFonts w:hint="default"/>
              </w:rPr>
            </w:pPr>
            <w:r>
              <w:rPr>
                <w:rFonts w:hint="eastAsia"/>
                <w:lang w:eastAsia="zh-CN"/>
              </w:rPr>
              <w:t>集尘罩、</w:t>
            </w:r>
            <w:r>
              <w:t>布袋除尘器</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粉尘</w:t>
            </w:r>
            <w:r>
              <w:rPr>
                <w:rFonts w:hint="default" w:ascii="Times New Roman" w:hAnsi="Times New Roman"/>
                <w:lang w:eastAsia="zh-CN"/>
              </w:rPr>
              <w:t>≥</w:t>
            </w:r>
            <w:r>
              <w:rPr>
                <w:rFonts w:hint="eastAsia"/>
                <w:lang w:val="en-US" w:eastAsia="zh-CN"/>
              </w:rPr>
              <w:t>99.5%</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default"/>
              </w:rPr>
            </w:pPr>
            <w:r>
              <w:rPr>
                <w:rFonts w:hint="eastAsia"/>
                <w:lang w:eastAsia="zh-CN"/>
              </w:rPr>
              <w:t>颗粒物</w:t>
            </w: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固废（液）</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电煅炉布袋除尘器除尘下灰</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作建材外售</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100%</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全部处置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废原料包装袋</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外售综合利用</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rPr>
              <w:t>隔油池废油</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委托资质单位处理</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rPr>
              <w:t>生活垃圾</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作建材外售</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rPr>
              <w:t>餐厨垃圾</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委托资质单位处理</w:t>
            </w: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eastAsia="zh-CN"/>
              </w:rPr>
              <w:t>脱硫石膏</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委托资质单位处理</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firstLine="0" w:firstLineChars="0"/>
              <w:jc w:val="center"/>
              <w:rPr>
                <w:rFonts w:hint="default" w:ascii="Times New Roman" w:hAnsi="Times New Roman" w:eastAsia="宋体" w:cstheme="minorBidi"/>
                <w:b w:val="0"/>
                <w:kern w:val="2"/>
                <w:sz w:val="21"/>
                <w:szCs w:val="24"/>
                <w:lang w:val="en-US" w:eastAsia="zh-CN" w:bidi="ar-SA"/>
              </w:rPr>
            </w:pPr>
            <w:r>
              <w:rPr>
                <w:rFonts w:hint="eastAsia"/>
                <w:lang w:eastAsia="zh-CN"/>
              </w:rPr>
              <w:t>废树脂</w:t>
            </w:r>
          </w:p>
        </w:tc>
        <w:tc>
          <w:tcPr>
            <w:tcW w:w="0" w:type="auto"/>
            <w:gridSpan w:val="2"/>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lang w:eastAsia="zh-CN"/>
              </w:rPr>
              <w:t>委托处理</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rPr>
              <w:t>化验室废液</w:t>
            </w: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leftChars="0" w:right="0" w:rightChars="0" w:firstLine="0" w:firstLineChars="0"/>
              <w:jc w:val="center"/>
              <w:rPr>
                <w:rFonts w:hint="default" w:ascii="Times New Roman" w:hAnsi="Times New Roman" w:eastAsia="宋体" w:cstheme="minorBidi"/>
                <w:b w:val="0"/>
                <w:kern w:val="2"/>
                <w:sz w:val="21"/>
                <w:szCs w:val="24"/>
                <w:vertAlign w:val="baseline"/>
                <w:lang w:val="en-US" w:eastAsia="zh-CN" w:bidi="ar-SA"/>
              </w:rPr>
            </w:pPr>
            <w:r>
              <w:rPr>
                <w:rFonts w:hint="eastAsia"/>
                <w:vertAlign w:val="baseline"/>
                <w:lang w:val="en-US" w:eastAsia="zh-CN"/>
              </w:rPr>
              <w:t>环卫托运</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leftChars="0" w:right="0" w:rightChars="0" w:firstLine="0" w:firstLineChars="0"/>
              <w:rPr>
                <w:rFonts w:hint="default" w:ascii="Times New Roman" w:hAnsi="Times New Roman" w:eastAsia="宋体" w:cstheme="minorBidi"/>
                <w:b w:val="0"/>
                <w:kern w:val="2"/>
                <w:sz w:val="21"/>
                <w:szCs w:val="24"/>
                <w:lang w:val="en-US" w:eastAsia="zh-CN" w:bidi="ar-SA"/>
              </w:rPr>
            </w:pPr>
            <w:r>
              <w:rPr>
                <w:rFonts w:hint="eastAsia"/>
              </w:rPr>
              <w:t>废试剂瓶</w:t>
            </w:r>
          </w:p>
        </w:tc>
        <w:tc>
          <w:tcPr>
            <w:tcW w:w="0" w:type="auto"/>
            <w:gridSpan w:val="2"/>
            <w:vAlign w:val="center"/>
          </w:tcPr>
          <w:p>
            <w:pPr>
              <w:pStyle w:val="28"/>
              <w:suppressLineNumbers w:val="0"/>
              <w:pBdr>
                <w:top w:val="none" w:color="auto" w:sz="0" w:space="0"/>
                <w:left w:val="none" w:color="auto" w:sz="0" w:space="0"/>
                <w:bottom w:val="none" w:color="auto" w:sz="0" w:space="0"/>
                <w:right w:val="none" w:color="auto" w:sz="0" w:space="0"/>
              </w:pBdr>
              <w:bidi w:val="0"/>
              <w:spacing w:before="0" w:after="0"/>
              <w:ind w:left="0" w:leftChars="0" w:right="0" w:rightChars="0" w:firstLine="0" w:firstLineChars="0"/>
              <w:jc w:val="center"/>
              <w:rPr>
                <w:rFonts w:hint="default" w:ascii="Times New Roman" w:hAnsi="Times New Roman" w:eastAsia="宋体" w:cstheme="minorBidi"/>
                <w:b w:val="0"/>
                <w:kern w:val="2"/>
                <w:sz w:val="21"/>
                <w:szCs w:val="24"/>
                <w:vertAlign w:val="baseline"/>
                <w:lang w:val="en-US" w:eastAsia="zh-CN" w:bidi="ar-SA"/>
              </w:rPr>
            </w:pPr>
            <w:r>
              <w:rPr>
                <w:rFonts w:hint="eastAsia" w:ascii="Times New Roman" w:hAnsi="Times New Roman" w:eastAsia="宋体"/>
                <w:szCs w:val="21"/>
              </w:rPr>
              <w:t>由专门公司进行收集处理</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100%</w:t>
            </w: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噪声</w:t>
            </w:r>
          </w:p>
        </w:tc>
        <w:tc>
          <w:tcPr>
            <w:tcW w:w="0" w:type="auto"/>
            <w:vMerge w:val="restart"/>
            <w:vAlign w:val="center"/>
          </w:tcPr>
          <w:p>
            <w:pPr>
              <w:pStyle w:val="28"/>
              <w:suppressLineNumbers w:val="0"/>
              <w:bidi w:val="0"/>
              <w:spacing w:before="0" w:after="0"/>
              <w:ind w:left="0" w:right="0"/>
              <w:jc w:val="center"/>
              <w:rPr>
                <w:rFonts w:hint="eastAsia" w:eastAsia="宋体"/>
                <w:lang w:eastAsia="zh-CN"/>
              </w:rPr>
            </w:pPr>
            <w:r>
              <w:rPr>
                <w:rFonts w:hint="eastAsia"/>
                <w:lang w:eastAsia="zh-CN"/>
              </w:rPr>
              <w:t>生产噪声</w:t>
            </w:r>
          </w:p>
        </w:tc>
        <w:tc>
          <w:tcPr>
            <w:tcW w:w="0" w:type="auto"/>
            <w:gridSpan w:val="2"/>
            <w:vMerge w:val="restart"/>
            <w:vAlign w:val="center"/>
          </w:tcPr>
          <w:p>
            <w:pPr>
              <w:pStyle w:val="28"/>
              <w:suppressLineNumbers w:val="0"/>
              <w:bidi w:val="0"/>
              <w:spacing w:before="0" w:after="0"/>
              <w:ind w:left="0" w:right="0"/>
              <w:rPr>
                <w:rFonts w:hint="default"/>
              </w:rPr>
            </w:pPr>
            <w:r>
              <w:rPr>
                <w:rFonts w:hint="eastAsia"/>
                <w:lang w:eastAsia="zh-CN"/>
              </w:rPr>
              <w:t>选用低噪声设备，</w:t>
            </w:r>
            <w:r>
              <w:rPr>
                <w:rFonts w:hint="eastAsia"/>
              </w:rPr>
              <w:t>采用隔声、减振、消音等措施</w:t>
            </w:r>
          </w:p>
        </w:tc>
        <w:tc>
          <w:tcPr>
            <w:tcW w:w="0" w:type="auto"/>
            <w:vMerge w:val="restart"/>
            <w:vAlign w:val="center"/>
          </w:tcPr>
          <w:p>
            <w:pPr>
              <w:pStyle w:val="28"/>
              <w:suppressLineNumbers w:val="0"/>
              <w:bidi w:val="0"/>
              <w:spacing w:before="0" w:after="0"/>
              <w:ind w:left="0" w:right="0"/>
              <w:jc w:val="center"/>
              <w:rPr>
                <w:rFonts w:hint="eastAsia" w:eastAsia="宋体"/>
                <w:lang w:val="en-US" w:eastAsia="zh-CN"/>
              </w:rPr>
            </w:pPr>
            <w:r>
              <w:rPr>
                <w:rFonts w:hint="eastAsia"/>
                <w:lang w:val="en-US" w:eastAsia="zh-CN"/>
              </w:rPr>
              <w:t>/</w:t>
            </w: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东</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N1</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dB（A）</w:t>
            </w:r>
          </w:p>
        </w:tc>
        <w:tc>
          <w:tcPr>
            <w:tcW w:w="0" w:type="auto"/>
            <w:vMerge w:val="restart"/>
            <w:vAlign w:val="center"/>
          </w:tcPr>
          <w:p>
            <w:pPr>
              <w:keepNext w:val="0"/>
              <w:keepLines w:val="0"/>
              <w:suppressLineNumbers w:val="0"/>
              <w:spacing w:before="0" w:beforeLines="0" w:beforeAutospacing="0" w:after="0" w:afterLines="0" w:afterAutospacing="0"/>
              <w:ind w:left="0" w:right="0"/>
              <w:jc w:val="left"/>
              <w:rPr>
                <w:rFonts w:hint="eastAsia" w:ascii="TimesNewRomanPSMT" w:hAnsi="TimesNewRomanPSMT" w:eastAsia="TimesNewRomanPSMT"/>
                <w:sz w:val="21"/>
              </w:rPr>
            </w:pPr>
            <w:r>
              <w:rPr>
                <w:rFonts w:hint="eastAsia" w:ascii="宋体" w:hAnsi="宋体" w:eastAsia="宋体"/>
                <w:sz w:val="21"/>
              </w:rPr>
              <w:t>昼间</w:t>
            </w:r>
            <w:r>
              <w:rPr>
                <w:rFonts w:hint="eastAsia" w:ascii="TimesNewRomanPSMT" w:hAnsi="TimesNewRomanPSMT" w:eastAsia="TimesNewRomanPSMT"/>
                <w:sz w:val="21"/>
              </w:rPr>
              <w:t>65dB</w:t>
            </w:r>
            <w:r>
              <w:rPr>
                <w:rFonts w:hint="eastAsia" w:ascii="宋体" w:hAnsi="宋体" w:eastAsia="宋体"/>
                <w:sz w:val="21"/>
              </w:rPr>
              <w:t>（</w:t>
            </w:r>
            <w:r>
              <w:rPr>
                <w:rFonts w:hint="eastAsia" w:ascii="TimesNewRomanPSMT" w:hAnsi="TimesNewRomanPSMT" w:eastAsia="TimesNewRomanPSMT"/>
                <w:sz w:val="21"/>
              </w:rPr>
              <w:t>A</w:t>
            </w:r>
            <w:r>
              <w:rPr>
                <w:rFonts w:hint="eastAsia" w:ascii="宋体" w:hAnsi="宋体" w:eastAsia="宋体"/>
                <w:sz w:val="21"/>
              </w:rPr>
              <w:t>），夜间</w:t>
            </w:r>
            <w:r>
              <w:rPr>
                <w:rFonts w:hint="eastAsia" w:ascii="TimesNewRomanPSMT" w:hAnsi="TimesNewRomanPSMT" w:eastAsia="TimesNewRomanPSMT"/>
                <w:sz w:val="21"/>
              </w:rPr>
              <w:t>55dB</w:t>
            </w:r>
          </w:p>
          <w:p>
            <w:pPr>
              <w:pStyle w:val="28"/>
              <w:suppressLineNumbers w:val="0"/>
              <w:bidi w:val="0"/>
              <w:spacing w:before="0" w:after="0"/>
              <w:ind w:left="0" w:right="0"/>
              <w:jc w:val="center"/>
              <w:rPr>
                <w:rFonts w:hint="default"/>
              </w:rPr>
            </w:pPr>
            <w:r>
              <w:rPr>
                <w:rFonts w:hint="eastAsia" w:ascii="宋体" w:hAnsi="宋体" w:eastAsia="宋体"/>
                <w:sz w:val="21"/>
              </w:rPr>
              <w:t>（</w:t>
            </w:r>
            <w:r>
              <w:rPr>
                <w:rFonts w:hint="eastAsia" w:ascii="TimesNewRomanPSMT" w:hAnsi="TimesNewRomanPSMT" w:eastAsia="TimesNewRomanPSMT"/>
                <w:sz w:val="21"/>
              </w:rPr>
              <w:t>A</w:t>
            </w:r>
            <w:r>
              <w:rPr>
                <w:rFonts w:hint="eastAsia" w:ascii="宋体" w:hAnsi="宋体"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gridSpan w:val="2"/>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西</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N2</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dB（A）</w:t>
            </w: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gridSpan w:val="2"/>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南</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N3</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dB（A）</w:t>
            </w:r>
          </w:p>
        </w:tc>
        <w:tc>
          <w:tcPr>
            <w:tcW w:w="0" w:type="auto"/>
            <w:vMerge w:val="continue"/>
            <w:vAlign w:val="center"/>
          </w:tcPr>
          <w:p>
            <w:pPr>
              <w:pStyle w:val="28"/>
              <w:suppressLineNumbers w:val="0"/>
              <w:bidi w:val="0"/>
              <w:spacing w:before="0" w:after="0"/>
              <w:ind w:left="0" w:right="0"/>
              <w:jc w:val="center"/>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gridSpan w:val="2"/>
            <w:vMerge w:val="continue"/>
            <w:vAlign w:val="center"/>
          </w:tcPr>
          <w:p>
            <w:pPr>
              <w:pStyle w:val="28"/>
              <w:suppressLineNumbers w:val="0"/>
              <w:bidi w:val="0"/>
              <w:spacing w:before="0" w:after="0"/>
              <w:ind w:left="0" w:right="0"/>
              <w:jc w:val="center"/>
              <w:outlineLvl w:val="9"/>
              <w:rPr>
                <w:rFonts w:hint="default"/>
              </w:rPr>
            </w:pPr>
          </w:p>
        </w:tc>
        <w:tc>
          <w:tcPr>
            <w:tcW w:w="0" w:type="auto"/>
            <w:vMerge w:val="continue"/>
            <w:vAlign w:val="center"/>
          </w:tcPr>
          <w:p>
            <w:pPr>
              <w:pStyle w:val="28"/>
              <w:suppressLineNumbers w:val="0"/>
              <w:bidi w:val="0"/>
              <w:spacing w:before="0" w:after="0"/>
              <w:ind w:left="0" w:right="0"/>
              <w:jc w:val="center"/>
              <w:outlineLvl w:val="9"/>
              <w:rPr>
                <w:rFonts w:hint="default"/>
              </w:rPr>
            </w:pPr>
          </w:p>
        </w:tc>
        <w:tc>
          <w:tcPr>
            <w:tcW w:w="0" w:type="auto"/>
            <w:vAlign w:val="center"/>
          </w:tcPr>
          <w:p>
            <w:pPr>
              <w:pStyle w:val="28"/>
              <w:suppressLineNumbers w:val="0"/>
              <w:bidi w:val="0"/>
              <w:spacing w:before="0" w:after="0"/>
              <w:ind w:left="0" w:right="0"/>
              <w:jc w:val="center"/>
              <w:rPr>
                <w:rFonts w:hint="eastAsia" w:eastAsia="宋体"/>
                <w:lang w:eastAsia="zh-CN"/>
              </w:rPr>
            </w:pPr>
            <w:r>
              <w:rPr>
                <w:rFonts w:hint="eastAsia"/>
                <w:lang w:eastAsia="zh-CN"/>
              </w:rPr>
              <w:t>北</w:t>
            </w:r>
          </w:p>
        </w:tc>
        <w:tc>
          <w:tcPr>
            <w:tcW w:w="0" w:type="auto"/>
            <w:vAlign w:val="center"/>
          </w:tcPr>
          <w:p>
            <w:pPr>
              <w:pStyle w:val="28"/>
              <w:suppressLineNumbers w:val="0"/>
              <w:bidi w:val="0"/>
              <w:spacing w:before="0" w:after="0"/>
              <w:ind w:left="0" w:right="0"/>
              <w:jc w:val="center"/>
              <w:rPr>
                <w:rFonts w:hint="default" w:eastAsia="宋体"/>
                <w:lang w:val="en-US" w:eastAsia="zh-CN"/>
              </w:rPr>
            </w:pPr>
            <w:r>
              <w:rPr>
                <w:rFonts w:hint="eastAsia"/>
                <w:lang w:val="en-US" w:eastAsia="zh-CN"/>
              </w:rPr>
              <w:t>N4</w:t>
            </w:r>
          </w:p>
        </w:tc>
        <w:tc>
          <w:tcPr>
            <w:tcW w:w="0" w:type="auto"/>
            <w:vAlign w:val="center"/>
          </w:tcPr>
          <w:p>
            <w:pPr>
              <w:pStyle w:val="28"/>
              <w:suppressLineNumbers w:val="0"/>
              <w:bidi w:val="0"/>
              <w:spacing w:before="0" w:after="0"/>
              <w:ind w:left="0" w:right="0"/>
              <w:jc w:val="center"/>
              <w:rPr>
                <w:rFonts w:hint="default"/>
              </w:rPr>
            </w:pPr>
            <w:r>
              <w:rPr>
                <w:rFonts w:hint="eastAsia"/>
                <w:lang w:val="en-US" w:eastAsia="zh-CN"/>
              </w:rPr>
              <w:t>dB（A）</w:t>
            </w:r>
          </w:p>
        </w:tc>
        <w:tc>
          <w:tcPr>
            <w:tcW w:w="0" w:type="auto"/>
            <w:vMerge w:val="continue"/>
            <w:vAlign w:val="center"/>
          </w:tcPr>
          <w:p>
            <w:pPr>
              <w:pStyle w:val="28"/>
              <w:suppressLineNumbers w:val="0"/>
              <w:bidi w:val="0"/>
              <w:spacing w:before="0" w:after="0"/>
              <w:ind w:left="0" w:right="0"/>
              <w:jc w:val="center"/>
              <w:outlineLvl w:val="9"/>
              <w:rPr>
                <w:rFonts w:hint="default"/>
              </w:rPr>
            </w:pPr>
          </w:p>
        </w:tc>
      </w:tr>
    </w:tbl>
    <w:p>
      <w:pPr>
        <w:pStyle w:val="3"/>
        <w:bidi w:val="0"/>
        <w:rPr>
          <w:rFonts w:hint="eastAsia"/>
          <w:lang w:val="en-US" w:eastAsia="zh-CN"/>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3"/>
        <w:bidi w:val="0"/>
        <w:rPr>
          <w:rFonts w:hint="default"/>
          <w:lang w:val="en-US" w:eastAsia="zh-CN"/>
        </w:rPr>
      </w:pPr>
      <w:bookmarkStart w:id="281" w:name="_Toc25244"/>
      <w:r>
        <w:rPr>
          <w:rFonts w:hint="eastAsia"/>
          <w:lang w:val="en-US" w:eastAsia="zh-CN"/>
        </w:rPr>
        <w:t>9 环境影响评价结论</w:t>
      </w:r>
      <w:bookmarkEnd w:id="281"/>
    </w:p>
    <w:p>
      <w:pPr>
        <w:pStyle w:val="4"/>
        <w:bidi w:val="0"/>
        <w:rPr>
          <w:rFonts w:hint="default"/>
          <w:lang w:val="en-US" w:eastAsia="zh-CN"/>
        </w:rPr>
      </w:pPr>
      <w:bookmarkStart w:id="282" w:name="_Toc21368"/>
      <w:r>
        <w:rPr>
          <w:rFonts w:hint="eastAsia"/>
          <w:lang w:val="en-US" w:eastAsia="zh-CN"/>
        </w:rPr>
        <w:t>9.1 环境影响评价结论</w:t>
      </w:r>
      <w:bookmarkEnd w:id="282"/>
    </w:p>
    <w:p>
      <w:pPr>
        <w:pStyle w:val="5"/>
        <w:bidi w:val="0"/>
        <w:rPr>
          <w:rFonts w:hint="eastAsia"/>
          <w:lang w:val="en-US" w:eastAsia="zh-CN"/>
        </w:rPr>
      </w:pPr>
      <w:r>
        <w:rPr>
          <w:rFonts w:hint="eastAsia"/>
          <w:lang w:val="en-US" w:eastAsia="zh-CN"/>
        </w:rPr>
        <w:t>9.1.1 建设概况</w:t>
      </w:r>
    </w:p>
    <w:p>
      <w:pPr>
        <w:pStyle w:val="6"/>
        <w:bidi w:val="0"/>
        <w:rPr>
          <w:rFonts w:hint="eastAsia"/>
          <w:lang w:val="en-US" w:eastAsia="zh-CN"/>
        </w:rPr>
      </w:pPr>
      <w:r>
        <w:rPr>
          <w:rFonts w:hint="eastAsia"/>
          <w:lang w:val="en-US" w:eastAsia="zh-CN"/>
        </w:rPr>
        <w:t>9.1.1.1 工程概况</w:t>
      </w:r>
    </w:p>
    <w:p>
      <w:pPr>
        <w:bidi w:val="0"/>
      </w:pPr>
      <w:r>
        <w:rPr>
          <w:rFonts w:hint="eastAsia"/>
          <w:lang w:val="en-US" w:eastAsia="zh-CN"/>
        </w:rPr>
        <w:t>江苏恒贵信新材料有限公司拟投资100000</w:t>
      </w:r>
      <w:r>
        <w:rPr>
          <w:rFonts w:hint="default"/>
        </w:rPr>
        <w:t>万元</w:t>
      </w:r>
      <w:r>
        <w:rPr>
          <w:rFonts w:hint="eastAsia"/>
          <w:lang w:eastAsia="zh-CN"/>
        </w:rPr>
        <w:t>在连云港市东海县青湖镇新建年产</w:t>
      </w:r>
      <w:r>
        <w:rPr>
          <w:rFonts w:hint="eastAsia"/>
          <w:lang w:val="en-US" w:eastAsia="zh-CN"/>
        </w:rPr>
        <w:t>10万吨新型增碳剂项目，</w:t>
      </w:r>
      <w:r>
        <w:t>分二期建设，其中，一期建设</w:t>
      </w:r>
      <w:r>
        <w:rPr>
          <w:rFonts w:hint="eastAsia"/>
          <w:lang w:val="en-US" w:eastAsia="zh-CN"/>
        </w:rPr>
        <w:t>5</w:t>
      </w:r>
      <w:r>
        <w:t>0000t/a高品质增碳剂；二期建设</w:t>
      </w:r>
      <w:r>
        <w:rPr>
          <w:rFonts w:hint="eastAsia"/>
          <w:lang w:val="en-US" w:eastAsia="zh-CN"/>
        </w:rPr>
        <w:t>5</w:t>
      </w:r>
      <w:r>
        <w:t>0000t/a高品质增碳剂。</w:t>
      </w:r>
    </w:p>
    <w:p>
      <w:pPr>
        <w:pStyle w:val="6"/>
        <w:bidi w:val="0"/>
        <w:rPr>
          <w:rFonts w:hint="eastAsia"/>
          <w:lang w:val="en-US" w:eastAsia="zh-CN"/>
        </w:rPr>
      </w:pPr>
      <w:r>
        <w:rPr>
          <w:rFonts w:hint="eastAsia"/>
          <w:lang w:val="en-US" w:eastAsia="zh-CN"/>
        </w:rPr>
        <w:t>9.1.1.2 分析判定情况</w:t>
      </w:r>
    </w:p>
    <w:p>
      <w:pPr>
        <w:bidi w:val="0"/>
        <w:rPr>
          <w:rFonts w:hint="eastAsia" w:eastAsia="宋体"/>
          <w:lang w:eastAsia="zh-CN"/>
        </w:rPr>
      </w:pPr>
      <w:r>
        <w:rPr>
          <w:rFonts w:hint="eastAsia"/>
          <w:lang w:eastAsia="zh-CN"/>
        </w:rPr>
        <w:t>（</w:t>
      </w:r>
      <w:r>
        <w:rPr>
          <w:rFonts w:hint="eastAsia"/>
          <w:lang w:val="en-US" w:eastAsia="zh-CN"/>
        </w:rPr>
        <w:t>1</w:t>
      </w:r>
      <w:r>
        <w:rPr>
          <w:rFonts w:hint="eastAsia"/>
          <w:lang w:eastAsia="zh-CN"/>
        </w:rPr>
        <w:t>）产业政策相符性</w:t>
      </w:r>
    </w:p>
    <w:p>
      <w:pPr>
        <w:bidi w:val="0"/>
      </w:pPr>
      <w:r>
        <w:t>本项目为</w:t>
      </w:r>
      <w:r>
        <w:rPr>
          <w:rFonts w:hint="eastAsia"/>
          <w:lang w:eastAsia="zh-CN"/>
        </w:rPr>
        <w:t>新型</w:t>
      </w:r>
      <w:r>
        <w:t>增碳剂生产项目，经查询《产业结构调整指导目录（2011 年本）》和（《国家发展改革委关于修改&lt;产业结构调整指导目录（2011 年本）&gt;有关条款的决定》，国家发展改革委第21号令，2013年2月16日），本项目不属于其中的鼓励类、限制类或淘汰类，属于允许类。因此，项目建设符合国家产业政策要求。</w:t>
      </w:r>
    </w:p>
    <w:p>
      <w:pPr>
        <w:bidi w:val="0"/>
      </w:pPr>
      <w:r>
        <w:t>经查询《江苏省工业和信息产业结构调整指导目录（2012 年本）》（《关于修改&lt;江苏省工业和信息产业结构调整指导目录（2012 年本）&gt;部分条目的通知》，苏经信产业[2013]183号，2013年3月15日），本项目不属于其中的鼓励类、限制类或淘汰类，属于允许类。因此，拟建项目符合地方产业政策要求。</w:t>
      </w:r>
    </w:p>
    <w:p>
      <w:pPr>
        <w:bidi w:val="0"/>
      </w:pPr>
      <w:r>
        <w:t>本项目的建设符合国家及地方的产业政策。</w:t>
      </w:r>
    </w:p>
    <w:p>
      <w:pPr>
        <w:numPr>
          <w:ilvl w:val="0"/>
          <w:numId w:val="3"/>
        </w:numPr>
        <w:bidi w:val="0"/>
        <w:ind w:left="0" w:leftChars="0" w:firstLine="560" w:firstLineChars="200"/>
        <w:rPr>
          <w:rFonts w:hint="eastAsia"/>
          <w:lang w:eastAsia="zh-CN"/>
        </w:rPr>
      </w:pPr>
      <w:r>
        <w:rPr>
          <w:rFonts w:hint="eastAsia"/>
          <w:lang w:eastAsia="zh-CN"/>
        </w:rPr>
        <w:t>规划相符性</w:t>
      </w:r>
    </w:p>
    <w:p>
      <w:pPr>
        <w:bidi w:val="0"/>
        <w:rPr>
          <w:rFonts w:hint="eastAsia"/>
          <w:lang w:eastAsia="zh-CN"/>
        </w:rPr>
      </w:pPr>
      <w:r>
        <w:rPr>
          <w:rFonts w:hint="eastAsia"/>
          <w:lang w:eastAsia="zh-CN"/>
        </w:rPr>
        <w:t>东海县青湖镇工业集中区主要发展机械、轻工（农副产品加工业、家具制造业、塑料制品业、金属制轻工业产品制造、玩具制造）、电子、纺织服装、新材料和硅资源加工等产业。</w:t>
      </w:r>
    </w:p>
    <w:p>
      <w:pPr>
        <w:bidi w:val="0"/>
        <w:rPr>
          <w:rFonts w:hint="eastAsia"/>
          <w:lang w:eastAsia="zh-CN"/>
        </w:rPr>
      </w:pPr>
      <w:r>
        <w:rPr>
          <w:rFonts w:hint="eastAsia"/>
          <w:lang w:eastAsia="zh-CN"/>
        </w:rPr>
        <w:t>《东海县青湖镇总体规划（2013-2030）》要求镇区依托产业园区发展稀土、石墨、毛绒玩具等产业。</w:t>
      </w:r>
    </w:p>
    <w:p>
      <w:pPr>
        <w:bidi w:val="0"/>
        <w:rPr>
          <w:rFonts w:hint="eastAsia"/>
          <w:lang w:eastAsia="zh-CN"/>
        </w:rPr>
      </w:pPr>
      <w:r>
        <w:t>本项目属于新材料制造产业，</w:t>
      </w:r>
      <w:r>
        <w:rPr>
          <w:rFonts w:hint="eastAsia"/>
          <w:lang w:eastAsia="zh-CN"/>
        </w:rPr>
        <w:t>亦属于其中的石墨，因此本项目符合青湖镇工业集中区的产业定位。</w:t>
      </w:r>
    </w:p>
    <w:p>
      <w:pPr>
        <w:numPr>
          <w:ilvl w:val="0"/>
          <w:numId w:val="3"/>
        </w:numPr>
        <w:bidi w:val="0"/>
        <w:ind w:left="0" w:leftChars="0" w:firstLine="560" w:firstLineChars="200"/>
        <w:rPr>
          <w:rFonts w:hint="eastAsia"/>
          <w:lang w:val="en-US" w:eastAsia="zh-CN"/>
        </w:rPr>
      </w:pPr>
      <w:r>
        <w:rPr>
          <w:rFonts w:hint="eastAsia"/>
          <w:lang w:val="en-US" w:eastAsia="zh-CN"/>
        </w:rPr>
        <w:t>“三线一单”相符性</w:t>
      </w:r>
    </w:p>
    <w:p>
      <w:pPr>
        <w:bidi w:val="0"/>
      </w:pPr>
      <w:r>
        <w:t>建设项目</w:t>
      </w:r>
      <w:r>
        <w:rPr>
          <w:rFonts w:hint="eastAsia"/>
          <w:lang w:eastAsia="zh-CN"/>
        </w:rPr>
        <w:t>符合</w:t>
      </w:r>
      <w:r>
        <w:t xml:space="preserve"> “生态保护红线、环境质量底线、资源利用上线和环境准入负面清单”准入要求。</w:t>
      </w:r>
    </w:p>
    <w:p>
      <w:pPr>
        <w:pStyle w:val="5"/>
        <w:bidi w:val="0"/>
        <w:rPr>
          <w:rFonts w:hint="eastAsia"/>
          <w:lang w:val="en-US" w:eastAsia="zh-CN"/>
        </w:rPr>
      </w:pPr>
      <w:r>
        <w:rPr>
          <w:rFonts w:hint="eastAsia"/>
          <w:lang w:val="en-US" w:eastAsia="zh-CN"/>
        </w:rPr>
        <w:t>9.1.2环境质量现状</w:t>
      </w:r>
    </w:p>
    <w:p>
      <w:pPr>
        <w:numPr>
          <w:ilvl w:val="0"/>
          <w:numId w:val="7"/>
        </w:numPr>
        <w:bidi w:val="0"/>
        <w:rPr>
          <w:rFonts w:hint="eastAsia"/>
          <w:lang w:eastAsia="zh-CN"/>
        </w:rPr>
      </w:pPr>
      <w:r>
        <w:rPr>
          <w:rFonts w:hint="eastAsia"/>
          <w:lang w:val="en-US" w:eastAsia="zh-CN"/>
        </w:rPr>
        <w:t>各污染因子均满足</w:t>
      </w:r>
      <w:r>
        <w:t>环境空气质量标准》（GB3095-2012）二级标准</w:t>
      </w:r>
      <w:r>
        <w:rPr>
          <w:rFonts w:hint="eastAsia"/>
          <w:lang w:eastAsia="zh-CN"/>
        </w:rPr>
        <w:t>；</w:t>
      </w:r>
    </w:p>
    <w:p>
      <w:pPr>
        <w:numPr>
          <w:ilvl w:val="0"/>
          <w:numId w:val="7"/>
        </w:numPr>
        <w:bidi w:val="0"/>
        <w:rPr>
          <w:rFonts w:hint="eastAsia"/>
          <w:lang w:eastAsia="zh-CN"/>
        </w:rPr>
      </w:pPr>
      <w:r>
        <w:rPr>
          <w:rFonts w:hint="eastAsia"/>
          <w:lang w:eastAsia="zh-CN"/>
        </w:rPr>
        <w:t>石安</w:t>
      </w:r>
      <w:r>
        <w:rPr>
          <w:rFonts w:hint="eastAsia"/>
        </w:rPr>
        <w:t>河</w:t>
      </w:r>
      <w:r>
        <w:rPr>
          <w:rFonts w:hint="eastAsia"/>
          <w:lang w:val="en-US" w:eastAsia="zh-CN"/>
        </w:rPr>
        <w:t>COD、石油类、总氮不</w:t>
      </w:r>
      <w:r>
        <w:rPr>
          <w:rFonts w:hint="eastAsia"/>
        </w:rPr>
        <w:t>能满足《地表水环境质量标准》</w:t>
      </w:r>
      <w:r>
        <w:rPr>
          <w:rFonts w:hint="eastAsia"/>
        </w:rPr>
        <w:fldChar w:fldCharType="begin"/>
      </w:r>
      <w:r>
        <w:rPr>
          <w:rFonts w:hint="eastAsia"/>
        </w:rPr>
        <w:instrText xml:space="preserve"> = 3 \* ROMAN \* MERGEFORMAT </w:instrText>
      </w:r>
      <w:r>
        <w:rPr>
          <w:rFonts w:hint="eastAsia"/>
        </w:rPr>
        <w:fldChar w:fldCharType="separate"/>
      </w:r>
      <w:r>
        <w:t>III</w:t>
      </w:r>
      <w:r>
        <w:rPr>
          <w:rFonts w:hint="eastAsia"/>
        </w:rPr>
        <w:fldChar w:fldCharType="end"/>
      </w:r>
      <w:r>
        <w:rPr>
          <w:rFonts w:hint="eastAsia"/>
        </w:rPr>
        <w:t>类水相应要求</w:t>
      </w:r>
      <w:r>
        <w:rPr>
          <w:rFonts w:hint="eastAsia"/>
          <w:lang w:eastAsia="zh-CN"/>
        </w:rPr>
        <w:t>，主要是因为</w:t>
      </w:r>
      <w:r>
        <w:rPr>
          <w:rFonts w:hint="eastAsia"/>
        </w:rPr>
        <w:t>居民和商户随意在水体倾倒生活垃圾、排放生活污水，导致河流污染较为严重。</w:t>
      </w:r>
      <w:r>
        <w:rPr>
          <w:rFonts w:hint="eastAsia"/>
          <w:lang w:eastAsia="zh-CN"/>
        </w:rPr>
        <w:t>在该区域完善污水管网敷设和收集、处理，石安河水质将得到改善。</w:t>
      </w:r>
    </w:p>
    <w:p>
      <w:pPr>
        <w:numPr>
          <w:ilvl w:val="0"/>
          <w:numId w:val="7"/>
        </w:numPr>
        <w:bidi w:val="0"/>
        <w:rPr>
          <w:rFonts w:hint="default"/>
        </w:rPr>
      </w:pPr>
      <w:r>
        <w:rPr>
          <w:rFonts w:hint="default"/>
        </w:rPr>
        <w:t>4个测点的昼、夜噪声值均满足《声环境质量标准》中的3类区标准要求。</w:t>
      </w:r>
    </w:p>
    <w:p>
      <w:pPr>
        <w:numPr>
          <w:ilvl w:val="0"/>
          <w:numId w:val="7"/>
        </w:numPr>
        <w:bidi w:val="0"/>
        <w:rPr>
          <w:rFonts w:hint="default"/>
        </w:rPr>
      </w:pPr>
      <w:r>
        <w:rPr>
          <w:rFonts w:hint="default"/>
        </w:rPr>
        <w:t>对照GB36600-2018表1 环境风险筛选值可知，各项污染物指数均低于1，满足相应标准二类用地筛选值的要求。</w:t>
      </w:r>
    </w:p>
    <w:p>
      <w:pPr>
        <w:numPr>
          <w:ilvl w:val="0"/>
          <w:numId w:val="7"/>
        </w:numPr>
        <w:bidi w:val="0"/>
        <w:rPr>
          <w:rFonts w:hint="default"/>
        </w:rPr>
      </w:pPr>
      <w:r>
        <w:rPr>
          <w:rFonts w:hint="default"/>
        </w:rPr>
        <w:t>地下水监测因子中pH、</w:t>
      </w:r>
      <w:r>
        <w:rPr>
          <w:rFonts w:hint="eastAsia"/>
          <w:lang w:eastAsia="zh-CN"/>
        </w:rPr>
        <w:t>硝酸盐、砷、氟、汞、六价铬、总大肠菌群、铅、镉</w:t>
      </w:r>
      <w:r>
        <w:rPr>
          <w:rFonts w:hint="default"/>
        </w:rPr>
        <w:t>可满足《地下水质量标准》GB/T14848-2017Ⅰ类水质标准；</w:t>
      </w:r>
      <w:r>
        <w:rPr>
          <w:rFonts w:hint="eastAsia"/>
          <w:lang w:eastAsia="zh-CN"/>
        </w:rPr>
        <w:t>高锰酸盐</w:t>
      </w:r>
      <w:r>
        <w:rPr>
          <w:rFonts w:hint="default"/>
        </w:rPr>
        <w:t>可满足《地下水质量标准》GB/T14848-2017</w:t>
      </w:r>
      <w:r>
        <w:rPr>
          <w:rFonts w:hint="default"/>
        </w:rPr>
        <w:fldChar w:fldCharType="begin"/>
      </w:r>
      <w:r>
        <w:rPr>
          <w:rFonts w:hint="default"/>
        </w:rPr>
        <w:instrText xml:space="preserve"> = 2 \* ROMAN \* MERGEFORMAT </w:instrText>
      </w:r>
      <w:r>
        <w:rPr>
          <w:rFonts w:hint="default"/>
        </w:rPr>
        <w:fldChar w:fldCharType="separate"/>
      </w:r>
      <w:r>
        <w:t>II</w:t>
      </w:r>
      <w:r>
        <w:rPr>
          <w:rFonts w:hint="default"/>
        </w:rPr>
        <w:fldChar w:fldCharType="end"/>
      </w:r>
      <w:r>
        <w:rPr>
          <w:rFonts w:hint="default"/>
        </w:rPr>
        <w:t>类水质标准；</w:t>
      </w:r>
      <w:r>
        <w:rPr>
          <w:rFonts w:hint="eastAsia"/>
          <w:lang w:eastAsia="zh-CN"/>
        </w:rPr>
        <w:t>硫酸根、氨氮、亚硝酸盐、挥发酚</w:t>
      </w:r>
      <w:r>
        <w:rPr>
          <w:rFonts w:hint="default"/>
        </w:rPr>
        <w:t>可满足《地下水质量标准》GB/T14848-2017Ⅲ类水质标准；</w:t>
      </w:r>
      <w:r>
        <w:rPr>
          <w:rFonts w:hint="eastAsia"/>
          <w:lang w:eastAsia="zh-CN"/>
        </w:rPr>
        <w:t>溶解性总固体、氯化物</w:t>
      </w:r>
      <w:r>
        <w:rPr>
          <w:rFonts w:hint="default"/>
        </w:rPr>
        <w:t>可满足《地下水质量标准》GB/T14848-2017Ⅳ类水质标准；总硬度可满足《地下水质量标准》GB/T14848-2017Ⅴ类水质标准。</w:t>
      </w:r>
    </w:p>
    <w:p>
      <w:pPr>
        <w:pStyle w:val="5"/>
        <w:bidi w:val="0"/>
        <w:rPr>
          <w:rFonts w:hint="eastAsia"/>
          <w:lang w:val="en-US" w:eastAsia="zh-CN"/>
        </w:rPr>
      </w:pPr>
      <w:r>
        <w:rPr>
          <w:rFonts w:hint="eastAsia"/>
          <w:lang w:val="en-US" w:eastAsia="zh-CN"/>
        </w:rPr>
        <w:t>9.1.3 环境保护措施及污染物排放情况</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废气</w:t>
      </w:r>
    </w:p>
    <w:p>
      <w:pPr>
        <w:bidi w:val="0"/>
        <w:rPr>
          <w:rFonts w:hint="default"/>
          <w:lang w:val="en-US" w:eastAsia="zh-CN"/>
        </w:rPr>
      </w:pPr>
      <w:r>
        <w:rPr>
          <w:rFonts w:hint="eastAsia"/>
          <w:lang w:val="en-US" w:eastAsia="zh-CN"/>
        </w:rPr>
        <w:t>一期、二期的进料粉尘废气经“集尘罩+布袋除尘”处理、电煅废气经“</w:t>
      </w:r>
      <w:r>
        <w:t>布袋除尘+氧化钙脱硫（</w:t>
      </w:r>
      <w:r>
        <w:rPr>
          <w:rFonts w:hint="eastAsia"/>
          <w:lang w:eastAsia="zh-CN"/>
        </w:rPr>
        <w:t>二</w:t>
      </w:r>
      <w:r>
        <w:t>级</w:t>
      </w:r>
      <w:r>
        <w:rPr>
          <w:rFonts w:hint="eastAsia"/>
          <w:lang w:eastAsia="zh-CN"/>
        </w:rPr>
        <w:t>）</w:t>
      </w:r>
      <w:r>
        <w:rPr>
          <w:rFonts w:hint="eastAsia"/>
          <w:lang w:val="en-US" w:eastAsia="zh-CN"/>
        </w:rPr>
        <w:t>”处理、</w:t>
      </w:r>
      <w:r>
        <w:rPr>
          <w:rFonts w:hint="eastAsia"/>
          <w:lang w:eastAsia="zh-CN"/>
        </w:rPr>
        <w:t>排料和中间包装、半成品仓</w:t>
      </w:r>
      <w:r>
        <w:rPr>
          <w:rFonts w:hint="eastAsia"/>
          <w:lang w:val="en-US" w:eastAsia="zh-CN"/>
        </w:rPr>
        <w:t>2、</w:t>
      </w:r>
      <w:r>
        <w:rPr>
          <w:rFonts w:hint="eastAsia"/>
          <w:lang w:eastAsia="zh-CN"/>
        </w:rPr>
        <w:t>破碎、筛分、包装粉尘废气经</w:t>
      </w:r>
      <w:r>
        <w:rPr>
          <w:rFonts w:hint="eastAsia"/>
          <w:lang w:val="en-US" w:eastAsia="zh-CN"/>
        </w:rPr>
        <w:t>“集尘罩+布袋除尘”、“布袋除尘”处理后经排气筒DA001高空排放，废气经处理后满足《</w:t>
      </w:r>
      <w:r>
        <w:rPr>
          <w:rFonts w:hint="eastAsia"/>
        </w:rPr>
        <w:t>工业炉窑大气污染物排放标准</w:t>
      </w:r>
      <w:r>
        <w:rPr>
          <w:rFonts w:hint="eastAsia"/>
          <w:lang w:eastAsia="zh-CN"/>
        </w:rPr>
        <w:t>》（</w:t>
      </w:r>
      <w:r>
        <w:t>DB</w:t>
      </w:r>
      <w:r>
        <w:rPr>
          <w:rFonts w:hint="eastAsia"/>
        </w:rPr>
        <w:t xml:space="preserve"> </w:t>
      </w:r>
      <w:r>
        <w:t>32/</w:t>
      </w:r>
      <w:r>
        <w:rPr>
          <w:rFonts w:hint="eastAsia"/>
        </w:rPr>
        <w:t>3728</w:t>
      </w:r>
      <w:r>
        <w:t>—201</w:t>
      </w:r>
      <w:r>
        <w:rPr>
          <w:rFonts w:hint="eastAsia"/>
        </w:rPr>
        <w:t>9</w:t>
      </w:r>
      <w:r>
        <w:rPr>
          <w:rFonts w:hint="eastAsia"/>
          <w:lang w:eastAsia="zh-CN"/>
        </w:rPr>
        <w:t>）表</w:t>
      </w:r>
      <w:r>
        <w:rPr>
          <w:rFonts w:hint="eastAsia"/>
          <w:lang w:val="en-US" w:eastAsia="zh-CN"/>
        </w:rPr>
        <w:t>1标准要求，各处理措施可行。</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2 \* GB2 \* MERGEFORMAT </w:instrText>
      </w:r>
      <w:r>
        <w:rPr>
          <w:rFonts w:hint="eastAsia"/>
          <w:lang w:val="en-US" w:eastAsia="zh-CN"/>
        </w:rPr>
        <w:fldChar w:fldCharType="separate"/>
      </w:r>
      <w:r>
        <w:t>⑵</w:t>
      </w:r>
      <w:r>
        <w:rPr>
          <w:rFonts w:hint="eastAsia"/>
          <w:lang w:val="en-US" w:eastAsia="zh-CN"/>
        </w:rPr>
        <w:fldChar w:fldCharType="end"/>
      </w:r>
      <w:r>
        <w:rPr>
          <w:rFonts w:hint="eastAsia"/>
          <w:lang w:val="en-US" w:eastAsia="zh-CN"/>
        </w:rPr>
        <w:t>废水</w:t>
      </w:r>
    </w:p>
    <w:p>
      <w:pPr>
        <w:bidi w:val="0"/>
        <w:rPr>
          <w:lang w:eastAsia="zh-CN"/>
        </w:rPr>
      </w:pPr>
      <w:r>
        <w:rPr>
          <w:rFonts w:hint="eastAsia"/>
          <w:lang w:eastAsia="zh-CN"/>
        </w:rPr>
        <w:t>项目排水主要要食堂废水和生活污水，食堂废水经隔油池处理后与生活污水一起经化粪池处理后排入青湖镇联村生活污水处理厂进行处理。</w:t>
      </w:r>
      <w:r>
        <w:rPr>
          <w:lang w:eastAsia="zh-CN"/>
        </w:rPr>
        <w:t>拟建项目废水在污水厂纳污计划范围内，水质符合</w:t>
      </w:r>
      <w:r>
        <w:rPr>
          <w:rFonts w:hint="eastAsia"/>
          <w:lang w:eastAsia="zh-CN"/>
        </w:rPr>
        <w:t>青湖镇联村污水处理厂</w:t>
      </w:r>
      <w:r>
        <w:rPr>
          <w:lang w:eastAsia="zh-CN"/>
        </w:rPr>
        <w:t>的接管要求，通过污水管网进入污水厂后不会对厂内设备正常运行造成影响。因此，拟建项目废水接入</w:t>
      </w:r>
      <w:r>
        <w:rPr>
          <w:rFonts w:hint="eastAsia"/>
          <w:lang w:eastAsia="zh-CN"/>
        </w:rPr>
        <w:t>青湖镇联村污水处理厂</w:t>
      </w:r>
      <w:r>
        <w:rPr>
          <w:lang w:eastAsia="zh-CN"/>
        </w:rPr>
        <w:t>进行深度处理后达标外排是可行的。</w:t>
      </w:r>
    </w:p>
    <w:p>
      <w:pPr>
        <w:bidi w:val="0"/>
        <w:rPr>
          <w:rFonts w:hint="eastAsia"/>
        </w:rPr>
      </w:pPr>
      <w:r>
        <w:rPr>
          <w:rFonts w:hint="eastAsia"/>
        </w:rPr>
        <w:t>（3）噪声</w:t>
      </w:r>
    </w:p>
    <w:p>
      <w:pPr>
        <w:bidi w:val="0"/>
        <w:rPr>
          <w:rFonts w:hint="eastAsia"/>
        </w:rPr>
      </w:pPr>
      <w:r>
        <w:rPr>
          <w:rFonts w:hint="eastAsia"/>
        </w:rPr>
        <w:t>本项目生产区主要噪声源为</w:t>
      </w:r>
      <w:r>
        <w:t>破碎机、</w:t>
      </w:r>
      <w:r>
        <w:rPr>
          <w:rFonts w:hint="eastAsia"/>
          <w:lang w:eastAsia="zh-CN"/>
        </w:rPr>
        <w:t>筛分机</w:t>
      </w:r>
      <w:r>
        <w:t>、风机、泵类、冷却塔</w:t>
      </w:r>
      <w:r>
        <w:rPr>
          <w:rFonts w:hint="eastAsia"/>
          <w:lang w:eastAsia="zh-CN"/>
        </w:rPr>
        <w:t>、埋弧电煅炉</w:t>
      </w:r>
      <w:r>
        <w:t>等，</w:t>
      </w:r>
      <w:r>
        <w:rPr>
          <w:rFonts w:hint="eastAsia"/>
        </w:rPr>
        <w:t>主要采用</w:t>
      </w:r>
      <w:r>
        <w:t>选用低噪声设备，</w:t>
      </w:r>
      <w:r>
        <w:rPr>
          <w:rFonts w:hint="eastAsia"/>
          <w:lang w:eastAsia="zh-CN"/>
        </w:rPr>
        <w:t>隔振、</w:t>
      </w:r>
      <w:r>
        <w:rPr>
          <w:rFonts w:hint="eastAsia"/>
        </w:rPr>
        <w:t>隔音、消音措施控制噪声排放。</w:t>
      </w:r>
    </w:p>
    <w:p>
      <w:pPr>
        <w:bidi w:val="0"/>
        <w:rPr>
          <w:rFonts w:hint="eastAsia"/>
        </w:rPr>
      </w:pPr>
      <w:r>
        <w:rPr>
          <w:rFonts w:hint="eastAsia"/>
        </w:rPr>
        <w:t>采取以上措施后，并综合考虑建筑隔声、厂区绿化以及距离衰减等因素，经预测，本工程各厂界噪声均可满足《工业企业厂界环境噪声排放标准》（GB12348-2008）3 类昼、夜间标准。因此采取的治理措施可行。</w:t>
      </w:r>
    </w:p>
    <w:p>
      <w:pPr>
        <w:bidi w:val="0"/>
        <w:rPr>
          <w:rFonts w:hint="eastAsia"/>
        </w:rPr>
      </w:pPr>
      <w:r>
        <w:rPr>
          <w:rFonts w:hint="eastAsia"/>
        </w:rPr>
        <w:t>（4）固体废物</w:t>
      </w:r>
    </w:p>
    <w:p>
      <w:pPr>
        <w:bidi w:val="0"/>
        <w:rPr>
          <w:rFonts w:hint="eastAsia"/>
          <w:lang w:eastAsia="zh-CN"/>
        </w:rPr>
      </w:pPr>
      <w:r>
        <w:rPr>
          <w:rFonts w:hint="eastAsia"/>
        </w:rPr>
        <w:t>项目产生的固体废物全部处理处置，全厂固体废物实现“零”排放</w:t>
      </w:r>
      <w:r>
        <w:rPr>
          <w:rFonts w:hint="eastAsia"/>
          <w:lang w:eastAsia="zh-CN"/>
        </w:rPr>
        <w:t>。</w:t>
      </w:r>
    </w:p>
    <w:p>
      <w:pPr>
        <w:pStyle w:val="5"/>
        <w:bidi w:val="0"/>
        <w:rPr>
          <w:rFonts w:hint="eastAsia"/>
          <w:lang w:val="en-US" w:eastAsia="zh-CN"/>
        </w:rPr>
      </w:pPr>
      <w:r>
        <w:rPr>
          <w:rFonts w:hint="eastAsia"/>
          <w:lang w:val="en-US" w:eastAsia="zh-CN"/>
        </w:rPr>
        <w:t>9.1.4 主要环境影响</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1 \* GB2 \* MERGEFORMAT </w:instrText>
      </w:r>
      <w:r>
        <w:rPr>
          <w:rFonts w:hint="eastAsia"/>
          <w:lang w:val="en-US" w:eastAsia="zh-CN"/>
        </w:rPr>
        <w:fldChar w:fldCharType="separate"/>
      </w:r>
      <w:r>
        <w:t>⑴</w:t>
      </w:r>
      <w:r>
        <w:rPr>
          <w:rFonts w:hint="eastAsia"/>
          <w:lang w:val="en-US" w:eastAsia="zh-CN"/>
        </w:rPr>
        <w:fldChar w:fldCharType="end"/>
      </w:r>
      <w:r>
        <w:rPr>
          <w:rFonts w:hint="eastAsia"/>
          <w:lang w:val="en-US" w:eastAsia="zh-CN"/>
        </w:rPr>
        <w:t>大气</w:t>
      </w:r>
    </w:p>
    <w:p>
      <w:pPr>
        <w:bidi w:val="0"/>
        <w:rPr>
          <w:rFonts w:hint="eastAsia"/>
        </w:rPr>
      </w:pPr>
      <w:r>
        <w:rPr>
          <w:rFonts w:hint="eastAsia"/>
          <w:lang w:eastAsia="zh-CN"/>
        </w:rPr>
        <w:t>经预测，</w:t>
      </w:r>
      <w:r>
        <w:rPr>
          <w:rFonts w:hint="eastAsia"/>
        </w:rPr>
        <w:t>本项目Pmax最大值出现为DA001排放的</w:t>
      </w:r>
      <w:r>
        <w:rPr>
          <w:rFonts w:hint="eastAsia"/>
          <w:lang w:val="en-US" w:eastAsia="zh-CN"/>
        </w:rPr>
        <w:t>NOx</w:t>
      </w:r>
      <w:r>
        <w:rPr>
          <w:rFonts w:hint="eastAsia"/>
        </w:rPr>
        <w:t xml:space="preserve"> Pmax值为</w:t>
      </w:r>
      <w:r>
        <w:rPr>
          <w:rFonts w:hint="eastAsia"/>
          <w:lang w:val="en-US" w:eastAsia="zh-CN"/>
        </w:rPr>
        <w:t>8.8603</w:t>
      </w:r>
      <w:r>
        <w:rPr>
          <w:rFonts w:hint="eastAsia"/>
        </w:rPr>
        <w:t>%</w:t>
      </w:r>
      <w:r>
        <w:rPr>
          <w:rFonts w:hint="eastAsia"/>
          <w:lang w:eastAsia="zh-CN"/>
        </w:rPr>
        <w:t>，</w:t>
      </w:r>
      <w:r>
        <w:rPr>
          <w:rFonts w:hint="eastAsia"/>
        </w:rPr>
        <w:t>Cmax为</w:t>
      </w:r>
      <w:r>
        <w:rPr>
          <w:rFonts w:hint="eastAsia"/>
          <w:lang w:val="en-US" w:eastAsia="zh-CN"/>
        </w:rPr>
        <w:t>22.1506</w:t>
      </w:r>
      <w:r>
        <w:rPr>
          <w:rFonts w:hint="eastAsia"/>
        </w:rPr>
        <w:t>μg/m³，项目厂界浓度满足大气污染物厂界浓度限值，且厂界外大气污染物短期贡献浓度不超过环境质量浓度限值，所以本项目不需要设置大气环境防护距离。</w:t>
      </w:r>
    </w:p>
    <w:p>
      <w:pPr>
        <w:bidi w:val="0"/>
      </w:pPr>
      <w:r>
        <w:t>本项目卫生防护距离为</w:t>
      </w:r>
      <w:r>
        <w:rPr>
          <w:rFonts w:hint="eastAsia"/>
        </w:rPr>
        <w:t>分别以</w:t>
      </w:r>
      <w:r>
        <w:rPr>
          <w:rFonts w:hint="eastAsia"/>
          <w:lang w:eastAsia="zh-CN"/>
        </w:rPr>
        <w:t>车间一</w:t>
      </w:r>
      <w:r>
        <w:rPr>
          <w:rFonts w:hint="eastAsia"/>
        </w:rPr>
        <w:t>、</w:t>
      </w:r>
      <w:r>
        <w:rPr>
          <w:rFonts w:hint="eastAsia"/>
          <w:lang w:eastAsia="zh-CN"/>
        </w:rPr>
        <w:t>车间二、破碎筛分车间</w:t>
      </w:r>
      <w:r>
        <w:t>边界设置</w:t>
      </w:r>
      <w:r>
        <w:rPr>
          <w:rFonts w:hint="eastAsia"/>
        </w:rPr>
        <w:t>50</w:t>
      </w:r>
      <w:r>
        <w:t>米。经调查，该范围内无居民等敏感目标，因此本项目满足卫生防护距离要求。</w:t>
      </w:r>
    </w:p>
    <w:p>
      <w:pPr>
        <w:bidi w:val="0"/>
        <w:rPr>
          <w:rFonts w:hint="eastAsia" w:eastAsia="宋体"/>
          <w:lang w:eastAsia="zh-CN"/>
        </w:rPr>
      </w:pPr>
      <w:r>
        <w:rPr>
          <w:rFonts w:hint="eastAsia"/>
          <w:lang w:eastAsia="zh-CN"/>
        </w:rPr>
        <w:t>因此本项目大气环境影响可以接受。</w:t>
      </w:r>
    </w:p>
    <w:p>
      <w:pPr>
        <w:bidi w:val="0"/>
        <w:rPr>
          <w:rFonts w:hint="eastAsia" w:eastAsia="宋体"/>
          <w:lang w:eastAsia="zh-CN"/>
        </w:rPr>
      </w:pPr>
      <w:r>
        <w:rPr>
          <w:rFonts w:hint="eastAsia"/>
          <w:lang w:eastAsia="zh-CN"/>
        </w:rPr>
        <w:fldChar w:fldCharType="begin"/>
      </w:r>
      <w:r>
        <w:rPr>
          <w:rFonts w:hint="eastAsia"/>
          <w:lang w:eastAsia="zh-CN"/>
        </w:rPr>
        <w:instrText xml:space="preserve"> = 2 \* GB2 \* MERGEFORMAT </w:instrText>
      </w:r>
      <w:r>
        <w:rPr>
          <w:rFonts w:hint="eastAsia"/>
          <w:lang w:eastAsia="zh-CN"/>
        </w:rPr>
        <w:fldChar w:fldCharType="separate"/>
      </w:r>
      <w:r>
        <w:t>⑵</w:t>
      </w:r>
      <w:r>
        <w:rPr>
          <w:rFonts w:hint="eastAsia"/>
          <w:lang w:eastAsia="zh-CN"/>
        </w:rPr>
        <w:fldChar w:fldCharType="end"/>
      </w:r>
      <w:r>
        <w:rPr>
          <w:rFonts w:hint="eastAsia"/>
          <w:lang w:eastAsia="zh-CN"/>
        </w:rPr>
        <w:t>废水</w:t>
      </w:r>
    </w:p>
    <w:p>
      <w:pPr>
        <w:rPr>
          <w:rFonts w:hint="eastAsia"/>
          <w:lang w:eastAsia="zh-CN"/>
        </w:rPr>
      </w:pPr>
      <w:r>
        <w:rPr>
          <w:rFonts w:hint="eastAsia"/>
          <w:lang w:eastAsia="zh-CN"/>
        </w:rPr>
        <w:t>项目排水主要要食堂废水和生活污水，食堂废水经隔油池处理后与生活污水一起经化粪池处理后排入青湖镇联村生活污水处理厂进行深度处理，经处理达标后排入乌龙河，对地表水环境影响较小。</w:t>
      </w:r>
    </w:p>
    <w:p>
      <w:pPr>
        <w:bidi w:val="0"/>
        <w:rPr>
          <w:rFonts w:hint="eastAsia"/>
          <w:lang w:val="en-US" w:eastAsia="zh-CN"/>
        </w:rPr>
      </w:pPr>
      <w:r>
        <w:rPr>
          <w:rFonts w:hint="eastAsia"/>
          <w:lang w:val="en-US" w:eastAsia="zh-CN"/>
        </w:rPr>
        <w:fldChar w:fldCharType="begin"/>
      </w:r>
      <w:r>
        <w:rPr>
          <w:rFonts w:hint="eastAsia"/>
          <w:lang w:val="en-US" w:eastAsia="zh-CN"/>
        </w:rPr>
        <w:instrText xml:space="preserve"> = 3 \* GB2 \* MERGEFORMAT </w:instrText>
      </w:r>
      <w:r>
        <w:rPr>
          <w:rFonts w:hint="eastAsia"/>
          <w:lang w:val="en-US" w:eastAsia="zh-CN"/>
        </w:rPr>
        <w:fldChar w:fldCharType="separate"/>
      </w:r>
      <w:r>
        <w:t>⑶</w:t>
      </w:r>
      <w:r>
        <w:rPr>
          <w:rFonts w:hint="eastAsia"/>
          <w:lang w:val="en-US" w:eastAsia="zh-CN"/>
        </w:rPr>
        <w:fldChar w:fldCharType="end"/>
      </w:r>
      <w:r>
        <w:rPr>
          <w:rFonts w:hint="eastAsia"/>
          <w:lang w:val="en-US" w:eastAsia="zh-CN"/>
        </w:rPr>
        <w:t>噪声</w:t>
      </w:r>
    </w:p>
    <w:p>
      <w:pPr>
        <w:rPr>
          <w:rFonts w:hint="eastAsia"/>
          <w:lang w:eastAsia="zh-CN"/>
        </w:rPr>
      </w:pPr>
      <w:r>
        <w:rPr>
          <w:rFonts w:hint="eastAsia"/>
          <w:lang w:val="en-US" w:eastAsia="zh-CN"/>
        </w:rPr>
        <w:t>根据预测结果得知，本项目厂界贡献值满足</w:t>
      </w:r>
      <w:r>
        <w:t>《工业企业厂界环境噪声排放标准》（GB 12348-2008）中3类区标准。项目噪声对各厂界的影响值较小</w:t>
      </w:r>
      <w:r>
        <w:rPr>
          <w:rFonts w:hint="eastAsia"/>
          <w:lang w:eastAsia="zh-CN"/>
        </w:rPr>
        <w:t>。</w:t>
      </w:r>
    </w:p>
    <w:p>
      <w:pPr>
        <w:rPr>
          <w:rFonts w:hint="eastAsia"/>
          <w:lang w:val="en-US" w:eastAsia="zh-CN"/>
        </w:rPr>
      </w:pPr>
      <w:r>
        <w:rPr>
          <w:rFonts w:hint="eastAsia"/>
          <w:lang w:val="en-US" w:eastAsia="zh-CN"/>
        </w:rPr>
        <w:fldChar w:fldCharType="begin"/>
      </w:r>
      <w:r>
        <w:rPr>
          <w:rFonts w:hint="eastAsia"/>
          <w:lang w:val="en-US" w:eastAsia="zh-CN"/>
        </w:rPr>
        <w:instrText xml:space="preserve"> = 4 \* GB2 \* MERGEFORMAT </w:instrText>
      </w:r>
      <w:r>
        <w:rPr>
          <w:rFonts w:hint="eastAsia"/>
          <w:lang w:val="en-US" w:eastAsia="zh-CN"/>
        </w:rPr>
        <w:fldChar w:fldCharType="separate"/>
      </w:r>
      <w:r>
        <w:t>⑷</w:t>
      </w:r>
      <w:r>
        <w:rPr>
          <w:rFonts w:hint="eastAsia"/>
          <w:lang w:val="en-US" w:eastAsia="zh-CN"/>
        </w:rPr>
        <w:fldChar w:fldCharType="end"/>
      </w:r>
      <w:r>
        <w:rPr>
          <w:rFonts w:hint="eastAsia"/>
          <w:lang w:val="en-US" w:eastAsia="zh-CN"/>
        </w:rPr>
        <w:t>固废</w:t>
      </w:r>
    </w:p>
    <w:p>
      <w:pPr>
        <w:rPr>
          <w:rFonts w:hint="eastAsia"/>
          <w:lang w:eastAsia="zh-CN"/>
        </w:rPr>
      </w:pPr>
      <w:r>
        <w:rPr>
          <w:rFonts w:hint="eastAsia"/>
        </w:rPr>
        <w:t>项目产生的固体废物全部处理处置，全厂固体废物实现“零”排放</w:t>
      </w:r>
      <w:r>
        <w:rPr>
          <w:rFonts w:hint="eastAsia"/>
          <w:lang w:eastAsia="zh-CN"/>
        </w:rPr>
        <w:t>，在正常情况下不会对周边环境造成不良影响。</w:t>
      </w:r>
    </w:p>
    <w:p>
      <w:pPr>
        <w:bidi w:val="0"/>
        <w:rPr>
          <w:rFonts w:hint="eastAsia"/>
          <w:lang w:eastAsia="zh-CN"/>
        </w:rPr>
      </w:pPr>
      <w:r>
        <w:rPr>
          <w:rFonts w:hint="eastAsia"/>
          <w:lang w:eastAsia="zh-CN"/>
        </w:rPr>
        <w:fldChar w:fldCharType="begin"/>
      </w:r>
      <w:r>
        <w:rPr>
          <w:rFonts w:hint="eastAsia"/>
          <w:lang w:eastAsia="zh-CN"/>
        </w:rPr>
        <w:instrText xml:space="preserve"> = 5 \* GB2 \* MERGEFORMAT </w:instrText>
      </w:r>
      <w:r>
        <w:rPr>
          <w:rFonts w:hint="eastAsia"/>
          <w:lang w:eastAsia="zh-CN"/>
        </w:rPr>
        <w:fldChar w:fldCharType="separate"/>
      </w:r>
      <w:r>
        <w:t>⑸</w:t>
      </w:r>
      <w:r>
        <w:rPr>
          <w:rFonts w:hint="eastAsia"/>
          <w:lang w:eastAsia="zh-CN"/>
        </w:rPr>
        <w:fldChar w:fldCharType="end"/>
      </w:r>
      <w:r>
        <w:rPr>
          <w:rFonts w:hint="eastAsia"/>
          <w:lang w:eastAsia="zh-CN"/>
        </w:rPr>
        <w:t>环境风险</w:t>
      </w:r>
    </w:p>
    <w:p>
      <w:pPr>
        <w:bidi w:val="0"/>
        <w:rPr>
          <w:rFonts w:hint="eastAsia"/>
          <w:lang w:eastAsia="zh-CN"/>
        </w:rPr>
      </w:pPr>
      <w:r>
        <w:rPr>
          <w:rFonts w:hint="eastAsia"/>
        </w:rPr>
        <w:t>根据《建设项目环境风险评价技术导则》（HJ169-2018），</w:t>
      </w:r>
      <w:r>
        <w:rPr>
          <w:rFonts w:hint="eastAsia"/>
          <w:lang w:val="en-US" w:eastAsia="zh-CN"/>
        </w:rPr>
        <w:t>项目环境风险潜势为</w:t>
      </w:r>
      <w:r>
        <w:rPr>
          <w:rFonts w:hint="eastAsia"/>
          <w:lang w:val="en-US" w:eastAsia="zh-CN"/>
        </w:rPr>
        <w:fldChar w:fldCharType="begin"/>
      </w:r>
      <w:r>
        <w:rPr>
          <w:rFonts w:hint="eastAsia"/>
          <w:lang w:val="en-US" w:eastAsia="zh-CN"/>
        </w:rPr>
        <w:instrText xml:space="preserve"> = 1 \* ROMAN \* MERGEFORMAT </w:instrText>
      </w:r>
      <w:r>
        <w:rPr>
          <w:rFonts w:hint="eastAsia"/>
          <w:lang w:val="en-US" w:eastAsia="zh-CN"/>
        </w:rPr>
        <w:fldChar w:fldCharType="separate"/>
      </w:r>
      <w:r>
        <w:t>I</w:t>
      </w:r>
      <w:r>
        <w:rPr>
          <w:rFonts w:hint="eastAsia"/>
          <w:lang w:val="en-US" w:eastAsia="zh-CN"/>
        </w:rPr>
        <w:fldChar w:fldCharType="end"/>
      </w:r>
      <w:r>
        <w:rPr>
          <w:rFonts w:hint="eastAsia"/>
          <w:lang w:eastAsia="zh-CN"/>
        </w:rPr>
        <w:t>，</w:t>
      </w:r>
      <w:r>
        <w:rPr>
          <w:rFonts w:hint="eastAsia"/>
          <w:lang w:val="en-US" w:eastAsia="zh-CN"/>
        </w:rPr>
        <w:t>应对建设项目产生的风险进行简单分析</w:t>
      </w:r>
      <w:r>
        <w:rPr>
          <w:rFonts w:hint="eastAsia"/>
        </w:rPr>
        <w:t>。建设单位在加强风险防范措施，杜绝风险事故的发生的情况下，本项目环境风险影响在可接受水平的范围之内。</w:t>
      </w:r>
    </w:p>
    <w:p>
      <w:pPr>
        <w:pStyle w:val="5"/>
        <w:bidi w:val="0"/>
        <w:rPr>
          <w:rFonts w:hint="eastAsia"/>
          <w:lang w:val="en-US" w:eastAsia="zh-CN"/>
        </w:rPr>
      </w:pPr>
      <w:r>
        <w:rPr>
          <w:rFonts w:hint="eastAsia"/>
          <w:lang w:val="en-US" w:eastAsia="zh-CN"/>
        </w:rPr>
        <w:t>9.1.5 公众意见采纳情况</w:t>
      </w:r>
    </w:p>
    <w:p>
      <w:pPr>
        <w:rPr>
          <w:rFonts w:hint="eastAsia"/>
          <w:lang w:val="en-US" w:eastAsia="zh-CN"/>
        </w:rPr>
      </w:pPr>
    </w:p>
    <w:p>
      <w:pPr>
        <w:pStyle w:val="5"/>
        <w:bidi w:val="0"/>
        <w:rPr>
          <w:rFonts w:hint="eastAsia"/>
          <w:lang w:val="en-US" w:eastAsia="zh-CN"/>
        </w:rPr>
      </w:pPr>
      <w:r>
        <w:rPr>
          <w:rFonts w:hint="eastAsia"/>
          <w:lang w:val="en-US" w:eastAsia="zh-CN"/>
        </w:rPr>
        <w:t>9.1.7 环境影响经济损益分析</w:t>
      </w:r>
    </w:p>
    <w:p>
      <w:pPr>
        <w:bidi w:val="0"/>
        <w:rPr>
          <w:lang w:eastAsia="zh-CN"/>
        </w:rPr>
      </w:pPr>
      <w:r>
        <w:rPr>
          <w:rFonts w:hint="eastAsia"/>
          <w:lang w:eastAsia="zh-CN"/>
        </w:rPr>
        <w:t>本项目的建设对区域的环境影响方面，正面的将大于负面的，其中尤其是长久性的正面影响很多，负面影响中的主要部分也将可通过严格的管理得到减缓。基于上述分析，可以认为本项目的环境损益是可以接受的。</w:t>
      </w:r>
    </w:p>
    <w:p>
      <w:pPr>
        <w:pStyle w:val="5"/>
        <w:bidi w:val="0"/>
        <w:rPr>
          <w:rFonts w:hint="default"/>
          <w:lang w:val="en-US" w:eastAsia="zh-CN"/>
        </w:rPr>
      </w:pPr>
      <w:r>
        <w:rPr>
          <w:rFonts w:hint="eastAsia"/>
          <w:lang w:val="en-US" w:eastAsia="zh-CN"/>
        </w:rPr>
        <w:t>9.1.8 环境影响可行性结论</w:t>
      </w:r>
    </w:p>
    <w:p>
      <w:pPr>
        <w:bidi w:val="0"/>
        <w:rPr>
          <w:rFonts w:hint="eastAsia"/>
        </w:rPr>
      </w:pPr>
      <w:r>
        <w:rPr>
          <w:rFonts w:hint="eastAsia"/>
          <w:lang w:val="en-US" w:eastAsia="zh-CN"/>
        </w:rPr>
        <w:t>江苏恒贵信新材料有限公司</w:t>
      </w:r>
      <w:r>
        <w:rPr>
          <w:rFonts w:hint="eastAsia"/>
          <w:lang w:eastAsia="zh-CN"/>
        </w:rPr>
        <w:t>新建</w:t>
      </w:r>
      <w:r>
        <w:rPr>
          <w:rFonts w:hint="eastAsia"/>
        </w:rPr>
        <w:t>年产</w:t>
      </w:r>
      <w:r>
        <w:rPr>
          <w:rFonts w:hint="eastAsia"/>
          <w:lang w:eastAsia="zh-CN"/>
        </w:rPr>
        <w:t>年产</w:t>
      </w:r>
      <w:r>
        <w:rPr>
          <w:rFonts w:hint="eastAsia"/>
          <w:lang w:val="en-US" w:eastAsia="zh-CN"/>
        </w:rPr>
        <w:t>10万吨新型增碳剂项目</w:t>
      </w:r>
      <w:r>
        <w:rPr>
          <w:rFonts w:hint="eastAsia"/>
        </w:rPr>
        <w:t>符合</w:t>
      </w:r>
      <w:r>
        <w:rPr>
          <w:rFonts w:hint="eastAsia"/>
          <w:lang w:eastAsia="zh-CN"/>
        </w:rPr>
        <w:t>青湖镇工业集中区的</w:t>
      </w:r>
      <w:r>
        <w:rPr>
          <w:rFonts w:hint="eastAsia"/>
        </w:rPr>
        <w:t>规划要求，项目选用先进技术和设备，在采取切实可行的污染治理措施后，废气能实现达标排放，废水满足污水处理厂的接管要求，固废可做到安全处置、噪声不扰民，大气环境、地表水环境、声环境、土壤环境的影响处于可接受水平，污染物排放能满足总量控制要求，项目建设具有一定的环境、社会和经济效益，公众无反对意见。</w:t>
      </w:r>
    </w:p>
    <w:p>
      <w:pPr>
        <w:bidi w:val="0"/>
        <w:rPr>
          <w:rFonts w:hint="default"/>
        </w:rPr>
      </w:pPr>
      <w:r>
        <w:rPr>
          <w:rFonts w:hint="eastAsia"/>
        </w:rPr>
        <w:t>因此，建设单位在切实落实本次环评提出的各项环保措施后，从环境保护的角度来看，本项目的建设具有环境可行性。</w:t>
      </w:r>
    </w:p>
    <w:p>
      <w:pPr>
        <w:pStyle w:val="4"/>
        <w:bidi w:val="0"/>
        <w:rPr>
          <w:rFonts w:hint="eastAsia"/>
          <w:lang w:val="en-US" w:eastAsia="zh-CN"/>
        </w:rPr>
      </w:pPr>
      <w:bookmarkStart w:id="283" w:name="_Toc27852"/>
      <w:r>
        <w:rPr>
          <w:rFonts w:hint="eastAsia"/>
          <w:lang w:val="en-US" w:eastAsia="zh-CN"/>
        </w:rPr>
        <w:t>9.2 建议</w:t>
      </w:r>
      <w:bookmarkEnd w:id="283"/>
    </w:p>
    <w:p>
      <w:pPr>
        <w:bidi w:val="0"/>
      </w:pPr>
      <w:r>
        <w:rPr>
          <w:rFonts w:hint="eastAsia"/>
        </w:rPr>
        <w:t>⑴</w:t>
      </w:r>
      <w:r>
        <w:t xml:space="preserve"> 项目应确保按照环评要求做好各项污染治理工作，保证生产中产生各污染物达标排放。</w:t>
      </w:r>
    </w:p>
    <w:p>
      <w:pPr>
        <w:bidi w:val="0"/>
      </w:pPr>
      <w:r>
        <w:rPr>
          <w:rFonts w:hint="eastAsia"/>
        </w:rPr>
        <w:t>⑵</w:t>
      </w:r>
      <w:r>
        <w:t xml:space="preserve"> 建议项目废水排口、废气排放口及固废仓库应按照相应的环保规定及规范化整治要求建设；对企业的设备维护应纳入平时的工作日程；全厂树立良好的安全和环保意识，并采用严格的管理制度进行监督。</w:t>
      </w:r>
    </w:p>
    <w:p>
      <w:pPr>
        <w:bidi w:val="0"/>
      </w:pPr>
      <w:r>
        <w:rPr>
          <w:rFonts w:hint="eastAsia"/>
        </w:rPr>
        <w:t>⑶</w:t>
      </w:r>
      <w:r>
        <w:t xml:space="preserve"> 严格落实有关风险防范措施，使危险事故发生时危害减小到最低限度。</w:t>
      </w:r>
    </w:p>
    <w:p>
      <w:pPr>
        <w:bidi w:val="0"/>
      </w:pPr>
      <w:r>
        <w:rPr>
          <w:rFonts w:hint="eastAsia"/>
        </w:rPr>
        <w:t>⑷</w:t>
      </w:r>
      <w:r>
        <w:t xml:space="preserve"> 提高工艺操作条件，对无组织排放源加强管理，对设备、管道、阀门经常检查、检修，保持装置气密性良好。加强车间无组织废气收集处理。</w:t>
      </w:r>
    </w:p>
    <w:p>
      <w:pPr>
        <w:bidi w:val="0"/>
      </w:pPr>
      <w:r>
        <w:fldChar w:fldCharType="begin"/>
      </w:r>
      <w:r>
        <w:instrText xml:space="preserve"> = 5 \* GB2 </w:instrText>
      </w:r>
      <w:r>
        <w:fldChar w:fldCharType="separate"/>
      </w:r>
      <w:r>
        <w:rPr>
          <w:rFonts w:hint="eastAsia"/>
        </w:rPr>
        <w:t>⑸</w:t>
      </w:r>
      <w:r>
        <w:fldChar w:fldCharType="end"/>
      </w:r>
      <w:r>
        <w:t>建议在项目条件具备时，对炉窑余热进行利用。</w:t>
      </w:r>
    </w:p>
    <w:p>
      <w:pPr>
        <w:bidi w:val="0"/>
        <w:rPr>
          <w:rFonts w:hint="default"/>
        </w:rPr>
        <w:sectPr>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pPr>
    </w:p>
    <w:p>
      <w:pPr>
        <w:pStyle w:val="4"/>
        <w:bidi w:val="0"/>
        <w:rPr>
          <w:rFonts w:hint="default"/>
          <w:lang w:val="en-US" w:eastAsia="zh-CN"/>
        </w:rPr>
      </w:pPr>
    </w:p>
    <w:sectPr>
      <w:footerReference r:id="rId5" w:type="default"/>
      <w:pgSz w:w="11906" w:h="17338"/>
      <w:pgMar w:top="1440" w:right="1080" w:bottom="1440" w:left="1080" w:header="720" w:footer="720" w:gutter="0"/>
      <w:pgBorders>
        <w:top w:val="none" w:sz="0" w:space="0"/>
        <w:left w:val="none" w:sz="0" w:space="0"/>
        <w:bottom w:val="none" w:sz="0" w:space="0"/>
        <w:right w:val="none" w:sz="0" w:space="0"/>
      </w:pgBorders>
      <w:lnNumType w:countBy="0" w:distance="36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TimesNewRomanPSMT">
    <w:altName w:val="Times New Roman"/>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FfpE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q7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gV+kR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7BE013"/>
    <w:multiLevelType w:val="singleLevel"/>
    <w:tmpl w:val="8C7BE013"/>
    <w:lvl w:ilvl="0" w:tentative="0">
      <w:start w:val="1"/>
      <w:numFmt w:val="decimal"/>
      <w:suff w:val="nothing"/>
      <w:lvlText w:val="（%1）"/>
      <w:lvlJc w:val="left"/>
    </w:lvl>
  </w:abstractNum>
  <w:abstractNum w:abstractNumId="1">
    <w:nsid w:val="D2742BC7"/>
    <w:multiLevelType w:val="multilevel"/>
    <w:tmpl w:val="D2742BC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F4684EF6"/>
    <w:multiLevelType w:val="singleLevel"/>
    <w:tmpl w:val="F4684EF6"/>
    <w:lvl w:ilvl="0" w:tentative="0">
      <w:start w:val="1"/>
      <w:numFmt w:val="decimal"/>
      <w:suff w:val="nothing"/>
      <w:lvlText w:val="（%1）"/>
      <w:lvlJc w:val="left"/>
    </w:lvl>
  </w:abstractNum>
  <w:abstractNum w:abstractNumId="3">
    <w:nsid w:val="238FE4A7"/>
    <w:multiLevelType w:val="singleLevel"/>
    <w:tmpl w:val="238FE4A7"/>
    <w:lvl w:ilvl="0" w:tentative="0">
      <w:start w:val="1"/>
      <w:numFmt w:val="decimal"/>
      <w:suff w:val="nothing"/>
      <w:lvlText w:val="（%1）"/>
      <w:lvlJc w:val="left"/>
    </w:lvl>
  </w:abstractNum>
  <w:abstractNum w:abstractNumId="4">
    <w:nsid w:val="23C328DE"/>
    <w:multiLevelType w:val="multilevel"/>
    <w:tmpl w:val="23C328DE"/>
    <w:lvl w:ilvl="0" w:tentative="0">
      <w:start w:val="1"/>
      <w:numFmt w:val="decimal"/>
      <w:lvlText w:val="(%1)"/>
      <w:lvlJc w:val="left"/>
      <w:pPr>
        <w:ind w:left="980" w:hanging="420"/>
      </w:pPr>
      <w:rPr>
        <w:rFonts w:hint="default" w:ascii="Times New Roman" w:hAnsi="Times New Roman" w:eastAsia="仿宋"/>
        <w:b w:val="0"/>
        <w:i w:val="0"/>
        <w:color w:val="auto"/>
        <w:sz w:val="24"/>
        <w:szCs w:val="24"/>
      </w:rPr>
    </w:lvl>
    <w:lvl w:ilvl="1" w:tentative="0">
      <w:start w:val="1"/>
      <w:numFmt w:val="decimalEnclosedCircle"/>
      <w:lvlText w:val="%2"/>
      <w:lvlJc w:val="left"/>
      <w:pPr>
        <w:ind w:left="1340" w:hanging="36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E13105B"/>
    <w:multiLevelType w:val="multilevel"/>
    <w:tmpl w:val="6E13105B"/>
    <w:lvl w:ilvl="0" w:tentative="0">
      <w:start w:val="1"/>
      <w:numFmt w:val="decimal"/>
      <w:lvlText w:val="(%1)"/>
      <w:lvlJc w:val="left"/>
      <w:pPr>
        <w:tabs>
          <w:tab w:val="left" w:pos="846"/>
        </w:tabs>
        <w:ind w:left="846" w:hanging="420"/>
      </w:pPr>
      <w:rPr>
        <w:rFonts w:hint="default" w:ascii="Times New Roman" w:hAnsi="Times New Roman"/>
        <w:color w:val="auto"/>
        <w:sz w:val="24"/>
        <w:szCs w:val="24"/>
      </w:rPr>
    </w:lvl>
    <w:lvl w:ilvl="1" w:tentative="0">
      <w:start w:val="1"/>
      <w:numFmt w:val="decimal"/>
      <w:lvlText w:val="(%2)"/>
      <w:lvlJc w:val="left"/>
      <w:pPr>
        <w:ind w:left="780" w:hanging="360"/>
      </w:pPr>
      <w:rPr>
        <w:rFonts w:hint="default"/>
      </w:rPr>
    </w:lvl>
    <w:lvl w:ilvl="2" w:tentative="0">
      <w:start w:val="1"/>
      <w:numFmt w:val="decimal"/>
      <w:lvlText w:val="（%3）"/>
      <w:lvlJc w:val="left"/>
      <w:pPr>
        <w:ind w:left="2085" w:hanging="1245"/>
      </w:pPr>
      <w:rPr>
        <w:rFonts w:hint="default"/>
      </w:rPr>
    </w:lvl>
    <w:lvl w:ilvl="3" w:tentative="0">
      <w:start w:val="1"/>
      <w:numFmt w:val="japaneseCounting"/>
      <w:lvlText w:val="%4、"/>
      <w:lvlJc w:val="left"/>
      <w:pPr>
        <w:tabs>
          <w:tab w:val="left" w:pos="1980"/>
        </w:tabs>
        <w:ind w:left="1980" w:hanging="720"/>
      </w:pPr>
      <w:rPr>
        <w:rFonts w:hint="default" w:hAnsi="宋体"/>
      </w:rPr>
    </w:lvl>
    <w:lvl w:ilvl="4" w:tentative="0">
      <w:start w:val="1"/>
      <w:numFmt w:val="decimal"/>
      <w:lvlText w:val="%5、"/>
      <w:lvlJc w:val="left"/>
      <w:pPr>
        <w:tabs>
          <w:tab w:val="left" w:pos="2400"/>
        </w:tabs>
        <w:ind w:left="2400" w:hanging="720"/>
      </w:pPr>
      <w:rPr>
        <w:rFonts w:hint="default" w:hAnsi="宋体"/>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DC9C366"/>
    <w:multiLevelType w:val="singleLevel"/>
    <w:tmpl w:val="7DC9C366"/>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27A"/>
    <w:rsid w:val="002208FF"/>
    <w:rsid w:val="006D3FE3"/>
    <w:rsid w:val="008F1C83"/>
    <w:rsid w:val="00BC653D"/>
    <w:rsid w:val="00DC3D90"/>
    <w:rsid w:val="01007B7E"/>
    <w:rsid w:val="010E11E6"/>
    <w:rsid w:val="01156F86"/>
    <w:rsid w:val="011A4C72"/>
    <w:rsid w:val="01556D04"/>
    <w:rsid w:val="018265A5"/>
    <w:rsid w:val="018D1786"/>
    <w:rsid w:val="02861CA8"/>
    <w:rsid w:val="02E0667D"/>
    <w:rsid w:val="03265AD9"/>
    <w:rsid w:val="03330BB3"/>
    <w:rsid w:val="03401236"/>
    <w:rsid w:val="034466EC"/>
    <w:rsid w:val="034D0134"/>
    <w:rsid w:val="03741665"/>
    <w:rsid w:val="03773946"/>
    <w:rsid w:val="03A74753"/>
    <w:rsid w:val="03BB6D74"/>
    <w:rsid w:val="03CE1E4C"/>
    <w:rsid w:val="03E818FD"/>
    <w:rsid w:val="043A1B65"/>
    <w:rsid w:val="044A4034"/>
    <w:rsid w:val="046B21A9"/>
    <w:rsid w:val="04753263"/>
    <w:rsid w:val="04E35734"/>
    <w:rsid w:val="04F042EF"/>
    <w:rsid w:val="050D48F5"/>
    <w:rsid w:val="052A4F40"/>
    <w:rsid w:val="054D7269"/>
    <w:rsid w:val="05754820"/>
    <w:rsid w:val="05AC1726"/>
    <w:rsid w:val="0602074B"/>
    <w:rsid w:val="06153B7A"/>
    <w:rsid w:val="0667698B"/>
    <w:rsid w:val="06766CEB"/>
    <w:rsid w:val="067A661F"/>
    <w:rsid w:val="067B0CEE"/>
    <w:rsid w:val="06A02DD4"/>
    <w:rsid w:val="06BA7A6B"/>
    <w:rsid w:val="06CF4F36"/>
    <w:rsid w:val="070375A5"/>
    <w:rsid w:val="07281A85"/>
    <w:rsid w:val="075B2A17"/>
    <w:rsid w:val="07C73D2F"/>
    <w:rsid w:val="080352F7"/>
    <w:rsid w:val="0810744B"/>
    <w:rsid w:val="081E0F09"/>
    <w:rsid w:val="08542504"/>
    <w:rsid w:val="08A423ED"/>
    <w:rsid w:val="08B143D9"/>
    <w:rsid w:val="09486B6A"/>
    <w:rsid w:val="094E114E"/>
    <w:rsid w:val="095A4FED"/>
    <w:rsid w:val="09615A78"/>
    <w:rsid w:val="09CB25A9"/>
    <w:rsid w:val="09E96D35"/>
    <w:rsid w:val="0A3E7645"/>
    <w:rsid w:val="0A431486"/>
    <w:rsid w:val="0AAB044B"/>
    <w:rsid w:val="0B175B30"/>
    <w:rsid w:val="0B377FC2"/>
    <w:rsid w:val="0B3D56FB"/>
    <w:rsid w:val="0B441321"/>
    <w:rsid w:val="0B527072"/>
    <w:rsid w:val="0BF857A2"/>
    <w:rsid w:val="0C5301D3"/>
    <w:rsid w:val="0C597EC2"/>
    <w:rsid w:val="0C8317B2"/>
    <w:rsid w:val="0D007F5B"/>
    <w:rsid w:val="0D2113D6"/>
    <w:rsid w:val="0D2E506F"/>
    <w:rsid w:val="0D7905BB"/>
    <w:rsid w:val="0DB56A7E"/>
    <w:rsid w:val="0DE3420C"/>
    <w:rsid w:val="0E7F056F"/>
    <w:rsid w:val="0ED6413F"/>
    <w:rsid w:val="0F056ED6"/>
    <w:rsid w:val="0F5F0CAF"/>
    <w:rsid w:val="10BE2F5B"/>
    <w:rsid w:val="10F00C87"/>
    <w:rsid w:val="111731A9"/>
    <w:rsid w:val="11186142"/>
    <w:rsid w:val="113E1CA4"/>
    <w:rsid w:val="114A5FF4"/>
    <w:rsid w:val="11533FE6"/>
    <w:rsid w:val="115F3B9C"/>
    <w:rsid w:val="115F5759"/>
    <w:rsid w:val="118621F8"/>
    <w:rsid w:val="118C6FBA"/>
    <w:rsid w:val="119A74E6"/>
    <w:rsid w:val="11B84A53"/>
    <w:rsid w:val="11BE1B06"/>
    <w:rsid w:val="11DE718A"/>
    <w:rsid w:val="11F26585"/>
    <w:rsid w:val="1205500F"/>
    <w:rsid w:val="126B5643"/>
    <w:rsid w:val="12B61795"/>
    <w:rsid w:val="12F25E2E"/>
    <w:rsid w:val="12FD74D0"/>
    <w:rsid w:val="13BA5789"/>
    <w:rsid w:val="13D14729"/>
    <w:rsid w:val="14081D57"/>
    <w:rsid w:val="14155DB1"/>
    <w:rsid w:val="144E08D9"/>
    <w:rsid w:val="145748B2"/>
    <w:rsid w:val="14A6454C"/>
    <w:rsid w:val="150238C9"/>
    <w:rsid w:val="150A769A"/>
    <w:rsid w:val="15541760"/>
    <w:rsid w:val="1588108C"/>
    <w:rsid w:val="159D36EE"/>
    <w:rsid w:val="15E4027A"/>
    <w:rsid w:val="15EF3960"/>
    <w:rsid w:val="160A26B0"/>
    <w:rsid w:val="16522CB9"/>
    <w:rsid w:val="16E723B5"/>
    <w:rsid w:val="17182290"/>
    <w:rsid w:val="17486A59"/>
    <w:rsid w:val="177E298F"/>
    <w:rsid w:val="17AC3231"/>
    <w:rsid w:val="17B848AE"/>
    <w:rsid w:val="17FE09D6"/>
    <w:rsid w:val="181016E7"/>
    <w:rsid w:val="1857134A"/>
    <w:rsid w:val="18783923"/>
    <w:rsid w:val="18FE6201"/>
    <w:rsid w:val="190C0773"/>
    <w:rsid w:val="19137A90"/>
    <w:rsid w:val="19240829"/>
    <w:rsid w:val="193D6008"/>
    <w:rsid w:val="1940213C"/>
    <w:rsid w:val="19A07913"/>
    <w:rsid w:val="19A75AC6"/>
    <w:rsid w:val="19DC66AD"/>
    <w:rsid w:val="19E35685"/>
    <w:rsid w:val="1A136E73"/>
    <w:rsid w:val="1A44370B"/>
    <w:rsid w:val="1A491FCD"/>
    <w:rsid w:val="1A5E269F"/>
    <w:rsid w:val="1A66393F"/>
    <w:rsid w:val="1AA61562"/>
    <w:rsid w:val="1AA736F4"/>
    <w:rsid w:val="1B0E512B"/>
    <w:rsid w:val="1B243FA5"/>
    <w:rsid w:val="1B3372AE"/>
    <w:rsid w:val="1BA9403B"/>
    <w:rsid w:val="1BCB3D01"/>
    <w:rsid w:val="1C452ED9"/>
    <w:rsid w:val="1C682423"/>
    <w:rsid w:val="1C746373"/>
    <w:rsid w:val="1CFD6855"/>
    <w:rsid w:val="1CFD7E9C"/>
    <w:rsid w:val="1D0035B8"/>
    <w:rsid w:val="1D333C88"/>
    <w:rsid w:val="1D7F0574"/>
    <w:rsid w:val="1DC3457F"/>
    <w:rsid w:val="1DD073C9"/>
    <w:rsid w:val="1E012FDE"/>
    <w:rsid w:val="1E6A6CCA"/>
    <w:rsid w:val="1EB73316"/>
    <w:rsid w:val="1EBD19D7"/>
    <w:rsid w:val="1EE34268"/>
    <w:rsid w:val="1EEC4D00"/>
    <w:rsid w:val="1F1C4D81"/>
    <w:rsid w:val="1F252476"/>
    <w:rsid w:val="1F3A23C7"/>
    <w:rsid w:val="1FDB792F"/>
    <w:rsid w:val="1FF01225"/>
    <w:rsid w:val="20240503"/>
    <w:rsid w:val="207722B0"/>
    <w:rsid w:val="207F57C4"/>
    <w:rsid w:val="20962DCE"/>
    <w:rsid w:val="20A26AE1"/>
    <w:rsid w:val="20A56AB1"/>
    <w:rsid w:val="20BE596A"/>
    <w:rsid w:val="20C2522B"/>
    <w:rsid w:val="20D36419"/>
    <w:rsid w:val="20D735B4"/>
    <w:rsid w:val="20E93D4C"/>
    <w:rsid w:val="20FD003C"/>
    <w:rsid w:val="21071293"/>
    <w:rsid w:val="211F7CF1"/>
    <w:rsid w:val="21367C41"/>
    <w:rsid w:val="21586ABF"/>
    <w:rsid w:val="215C678F"/>
    <w:rsid w:val="21641249"/>
    <w:rsid w:val="218A242B"/>
    <w:rsid w:val="21A2355C"/>
    <w:rsid w:val="21A833CC"/>
    <w:rsid w:val="21FC24A3"/>
    <w:rsid w:val="22162814"/>
    <w:rsid w:val="224A64CC"/>
    <w:rsid w:val="2257032F"/>
    <w:rsid w:val="22815684"/>
    <w:rsid w:val="22A962EB"/>
    <w:rsid w:val="22B56371"/>
    <w:rsid w:val="22D5236A"/>
    <w:rsid w:val="233954C4"/>
    <w:rsid w:val="23DC5D74"/>
    <w:rsid w:val="240C72D6"/>
    <w:rsid w:val="244A3741"/>
    <w:rsid w:val="24520324"/>
    <w:rsid w:val="24573F8A"/>
    <w:rsid w:val="24957EC5"/>
    <w:rsid w:val="25004227"/>
    <w:rsid w:val="251704D6"/>
    <w:rsid w:val="255A09C1"/>
    <w:rsid w:val="25612DC0"/>
    <w:rsid w:val="2598424F"/>
    <w:rsid w:val="259F006D"/>
    <w:rsid w:val="25AA1C37"/>
    <w:rsid w:val="263A2499"/>
    <w:rsid w:val="267A0E7A"/>
    <w:rsid w:val="26A1765B"/>
    <w:rsid w:val="26E51554"/>
    <w:rsid w:val="26F10516"/>
    <w:rsid w:val="26FD1AEB"/>
    <w:rsid w:val="270C5EB3"/>
    <w:rsid w:val="272C4410"/>
    <w:rsid w:val="272D0242"/>
    <w:rsid w:val="273A5AB1"/>
    <w:rsid w:val="273B3979"/>
    <w:rsid w:val="276112D7"/>
    <w:rsid w:val="27680B79"/>
    <w:rsid w:val="27905794"/>
    <w:rsid w:val="27B257DB"/>
    <w:rsid w:val="28575F5E"/>
    <w:rsid w:val="286963BD"/>
    <w:rsid w:val="28F756AB"/>
    <w:rsid w:val="29782392"/>
    <w:rsid w:val="297A6A6A"/>
    <w:rsid w:val="297D3852"/>
    <w:rsid w:val="297E1C02"/>
    <w:rsid w:val="298456D8"/>
    <w:rsid w:val="29CE709E"/>
    <w:rsid w:val="29DA0139"/>
    <w:rsid w:val="2A511EA5"/>
    <w:rsid w:val="2A6A66DD"/>
    <w:rsid w:val="2AA05EB0"/>
    <w:rsid w:val="2AB364BC"/>
    <w:rsid w:val="2AC43BD9"/>
    <w:rsid w:val="2AEC35AF"/>
    <w:rsid w:val="2AFA3AC1"/>
    <w:rsid w:val="2B2F629D"/>
    <w:rsid w:val="2B55015B"/>
    <w:rsid w:val="2C2E5DE2"/>
    <w:rsid w:val="2C836C65"/>
    <w:rsid w:val="2CDF3179"/>
    <w:rsid w:val="2CE37511"/>
    <w:rsid w:val="2CE661B6"/>
    <w:rsid w:val="2D00485C"/>
    <w:rsid w:val="2D3015AA"/>
    <w:rsid w:val="2D677D8C"/>
    <w:rsid w:val="2D8C44B1"/>
    <w:rsid w:val="2DB53F0A"/>
    <w:rsid w:val="2E761B42"/>
    <w:rsid w:val="2E8859D4"/>
    <w:rsid w:val="2EAF0FEF"/>
    <w:rsid w:val="2EB30C89"/>
    <w:rsid w:val="2F180244"/>
    <w:rsid w:val="2F3D1191"/>
    <w:rsid w:val="2F410715"/>
    <w:rsid w:val="2F6B753D"/>
    <w:rsid w:val="2FA20983"/>
    <w:rsid w:val="2FB731C7"/>
    <w:rsid w:val="2FF34387"/>
    <w:rsid w:val="302D5171"/>
    <w:rsid w:val="30487395"/>
    <w:rsid w:val="306C564B"/>
    <w:rsid w:val="306D15F6"/>
    <w:rsid w:val="30CE702E"/>
    <w:rsid w:val="30DF2DF1"/>
    <w:rsid w:val="31301C0C"/>
    <w:rsid w:val="313D2790"/>
    <w:rsid w:val="314D43C1"/>
    <w:rsid w:val="317B33EC"/>
    <w:rsid w:val="317E68A9"/>
    <w:rsid w:val="31835F72"/>
    <w:rsid w:val="318B4929"/>
    <w:rsid w:val="31B03DA3"/>
    <w:rsid w:val="32031CBC"/>
    <w:rsid w:val="329E3973"/>
    <w:rsid w:val="332A181C"/>
    <w:rsid w:val="33B93740"/>
    <w:rsid w:val="33D04B10"/>
    <w:rsid w:val="34293B24"/>
    <w:rsid w:val="34935427"/>
    <w:rsid w:val="349974B1"/>
    <w:rsid w:val="34BD049E"/>
    <w:rsid w:val="34D31D64"/>
    <w:rsid w:val="351403FB"/>
    <w:rsid w:val="351A4474"/>
    <w:rsid w:val="35372902"/>
    <w:rsid w:val="354F3E22"/>
    <w:rsid w:val="355376BA"/>
    <w:rsid w:val="35923CE9"/>
    <w:rsid w:val="359C4621"/>
    <w:rsid w:val="35C4727D"/>
    <w:rsid w:val="36B10B08"/>
    <w:rsid w:val="36B56DE7"/>
    <w:rsid w:val="36C90965"/>
    <w:rsid w:val="373F7063"/>
    <w:rsid w:val="37BE730C"/>
    <w:rsid w:val="37CF7824"/>
    <w:rsid w:val="37EA1F54"/>
    <w:rsid w:val="388153B2"/>
    <w:rsid w:val="389C40E2"/>
    <w:rsid w:val="38C21196"/>
    <w:rsid w:val="38E346B2"/>
    <w:rsid w:val="38EF6912"/>
    <w:rsid w:val="38FA253F"/>
    <w:rsid w:val="3918042E"/>
    <w:rsid w:val="39185BE0"/>
    <w:rsid w:val="398540D4"/>
    <w:rsid w:val="398849B3"/>
    <w:rsid w:val="3AA37F92"/>
    <w:rsid w:val="3AE46724"/>
    <w:rsid w:val="3B265FEF"/>
    <w:rsid w:val="3B3C1AE8"/>
    <w:rsid w:val="3B5A4FB4"/>
    <w:rsid w:val="3B763FB4"/>
    <w:rsid w:val="3BDD55CC"/>
    <w:rsid w:val="3BE11C33"/>
    <w:rsid w:val="3BF06B23"/>
    <w:rsid w:val="3C086CFA"/>
    <w:rsid w:val="3C1535E0"/>
    <w:rsid w:val="3C250EBF"/>
    <w:rsid w:val="3C372875"/>
    <w:rsid w:val="3C42737F"/>
    <w:rsid w:val="3C695A97"/>
    <w:rsid w:val="3CB41702"/>
    <w:rsid w:val="3D2C6217"/>
    <w:rsid w:val="3D7D41EB"/>
    <w:rsid w:val="3DA64B9B"/>
    <w:rsid w:val="3DC352FD"/>
    <w:rsid w:val="3DD93EB6"/>
    <w:rsid w:val="3DE1639D"/>
    <w:rsid w:val="3E1A2ADD"/>
    <w:rsid w:val="3E4632D4"/>
    <w:rsid w:val="3E513593"/>
    <w:rsid w:val="3EB540F3"/>
    <w:rsid w:val="3EC93910"/>
    <w:rsid w:val="3F0D7141"/>
    <w:rsid w:val="3F4958F9"/>
    <w:rsid w:val="3F5C14D9"/>
    <w:rsid w:val="3F6F6D1C"/>
    <w:rsid w:val="3F765385"/>
    <w:rsid w:val="3F8C144E"/>
    <w:rsid w:val="3F9F3985"/>
    <w:rsid w:val="3FAE08F8"/>
    <w:rsid w:val="3FCB6819"/>
    <w:rsid w:val="3FED0488"/>
    <w:rsid w:val="40316794"/>
    <w:rsid w:val="409B227E"/>
    <w:rsid w:val="40D74F97"/>
    <w:rsid w:val="413910B4"/>
    <w:rsid w:val="41426888"/>
    <w:rsid w:val="41754F2D"/>
    <w:rsid w:val="418E20AC"/>
    <w:rsid w:val="41E73F44"/>
    <w:rsid w:val="4205659A"/>
    <w:rsid w:val="4214175D"/>
    <w:rsid w:val="42234323"/>
    <w:rsid w:val="422504FD"/>
    <w:rsid w:val="42270A4E"/>
    <w:rsid w:val="4258094A"/>
    <w:rsid w:val="427D70C8"/>
    <w:rsid w:val="42C53550"/>
    <w:rsid w:val="42F5179F"/>
    <w:rsid w:val="438E7F55"/>
    <w:rsid w:val="44883FE7"/>
    <w:rsid w:val="44A2600E"/>
    <w:rsid w:val="44DC57F7"/>
    <w:rsid w:val="44E76445"/>
    <w:rsid w:val="44FA0B9D"/>
    <w:rsid w:val="45196DA7"/>
    <w:rsid w:val="45320AAD"/>
    <w:rsid w:val="4549541C"/>
    <w:rsid w:val="455932DF"/>
    <w:rsid w:val="457A3F06"/>
    <w:rsid w:val="45AA0FFF"/>
    <w:rsid w:val="45CB6A8C"/>
    <w:rsid w:val="45DE2AE7"/>
    <w:rsid w:val="46106941"/>
    <w:rsid w:val="461071F6"/>
    <w:rsid w:val="46252B99"/>
    <w:rsid w:val="46634DF7"/>
    <w:rsid w:val="46D0365D"/>
    <w:rsid w:val="470B1185"/>
    <w:rsid w:val="47323816"/>
    <w:rsid w:val="474D09D7"/>
    <w:rsid w:val="478A3AB2"/>
    <w:rsid w:val="47AB59BB"/>
    <w:rsid w:val="47C347DE"/>
    <w:rsid w:val="47C53EFB"/>
    <w:rsid w:val="47D15C7D"/>
    <w:rsid w:val="47ED0639"/>
    <w:rsid w:val="4802346A"/>
    <w:rsid w:val="48040F3F"/>
    <w:rsid w:val="4850648C"/>
    <w:rsid w:val="48645AE7"/>
    <w:rsid w:val="48A05099"/>
    <w:rsid w:val="48A53515"/>
    <w:rsid w:val="48C775B2"/>
    <w:rsid w:val="490940FA"/>
    <w:rsid w:val="491C5DE1"/>
    <w:rsid w:val="492F458B"/>
    <w:rsid w:val="495B0482"/>
    <w:rsid w:val="497C116B"/>
    <w:rsid w:val="49830392"/>
    <w:rsid w:val="498339A5"/>
    <w:rsid w:val="49B2527F"/>
    <w:rsid w:val="49CD314A"/>
    <w:rsid w:val="49F32598"/>
    <w:rsid w:val="4A141CFB"/>
    <w:rsid w:val="4A467A46"/>
    <w:rsid w:val="4A500549"/>
    <w:rsid w:val="4AA47832"/>
    <w:rsid w:val="4AE50657"/>
    <w:rsid w:val="4B112046"/>
    <w:rsid w:val="4B2249A3"/>
    <w:rsid w:val="4B3B1F04"/>
    <w:rsid w:val="4BA63B5E"/>
    <w:rsid w:val="4C0317F0"/>
    <w:rsid w:val="4C341617"/>
    <w:rsid w:val="4C4009E5"/>
    <w:rsid w:val="4C905794"/>
    <w:rsid w:val="4C913BF5"/>
    <w:rsid w:val="4CC3145C"/>
    <w:rsid w:val="4CE1191F"/>
    <w:rsid w:val="4CE650D2"/>
    <w:rsid w:val="4CF26FD0"/>
    <w:rsid w:val="4D927482"/>
    <w:rsid w:val="4D9F66D6"/>
    <w:rsid w:val="4DCB7600"/>
    <w:rsid w:val="4DE3695E"/>
    <w:rsid w:val="4DF93FC4"/>
    <w:rsid w:val="4DFF5FBC"/>
    <w:rsid w:val="4E466E88"/>
    <w:rsid w:val="4E843310"/>
    <w:rsid w:val="4EA24155"/>
    <w:rsid w:val="4EC01228"/>
    <w:rsid w:val="4F385919"/>
    <w:rsid w:val="4F80379D"/>
    <w:rsid w:val="4FC04470"/>
    <w:rsid w:val="4FC315FF"/>
    <w:rsid w:val="4FCF5ACF"/>
    <w:rsid w:val="4FFA0A1D"/>
    <w:rsid w:val="500509F5"/>
    <w:rsid w:val="501F55DD"/>
    <w:rsid w:val="502C4DA7"/>
    <w:rsid w:val="504947D8"/>
    <w:rsid w:val="505D2ACD"/>
    <w:rsid w:val="507D2798"/>
    <w:rsid w:val="507E593E"/>
    <w:rsid w:val="508161FD"/>
    <w:rsid w:val="50A70005"/>
    <w:rsid w:val="50EE721E"/>
    <w:rsid w:val="51364CBF"/>
    <w:rsid w:val="515A13EF"/>
    <w:rsid w:val="518A7776"/>
    <w:rsid w:val="51D555F7"/>
    <w:rsid w:val="51E220B6"/>
    <w:rsid w:val="51F24584"/>
    <w:rsid w:val="522A584A"/>
    <w:rsid w:val="52356E00"/>
    <w:rsid w:val="52816078"/>
    <w:rsid w:val="52BB18A5"/>
    <w:rsid w:val="52C51F43"/>
    <w:rsid w:val="531F30D4"/>
    <w:rsid w:val="5333734A"/>
    <w:rsid w:val="533B4868"/>
    <w:rsid w:val="53500492"/>
    <w:rsid w:val="53872D85"/>
    <w:rsid w:val="53D214D1"/>
    <w:rsid w:val="540C6FA5"/>
    <w:rsid w:val="54151395"/>
    <w:rsid w:val="542659A0"/>
    <w:rsid w:val="545F7282"/>
    <w:rsid w:val="54784C2D"/>
    <w:rsid w:val="553D7BD2"/>
    <w:rsid w:val="55512051"/>
    <w:rsid w:val="556A66E4"/>
    <w:rsid w:val="55855BA2"/>
    <w:rsid w:val="559A32CB"/>
    <w:rsid w:val="55EE6B45"/>
    <w:rsid w:val="56333043"/>
    <w:rsid w:val="566A6C1B"/>
    <w:rsid w:val="56820BE7"/>
    <w:rsid w:val="569869EF"/>
    <w:rsid w:val="56C23638"/>
    <w:rsid w:val="56C61FD3"/>
    <w:rsid w:val="56F75028"/>
    <w:rsid w:val="5721516A"/>
    <w:rsid w:val="57386538"/>
    <w:rsid w:val="576B3013"/>
    <w:rsid w:val="57AA30F2"/>
    <w:rsid w:val="58396DEE"/>
    <w:rsid w:val="584D7CE5"/>
    <w:rsid w:val="59493445"/>
    <w:rsid w:val="59BA7DE6"/>
    <w:rsid w:val="59C7055F"/>
    <w:rsid w:val="59F0193B"/>
    <w:rsid w:val="5A0547FF"/>
    <w:rsid w:val="5A3C7CF5"/>
    <w:rsid w:val="5A453FAC"/>
    <w:rsid w:val="5A845369"/>
    <w:rsid w:val="5AA418DE"/>
    <w:rsid w:val="5AED5AC2"/>
    <w:rsid w:val="5B1F2723"/>
    <w:rsid w:val="5B996933"/>
    <w:rsid w:val="5BA81B0E"/>
    <w:rsid w:val="5BB70BF9"/>
    <w:rsid w:val="5BC47DE8"/>
    <w:rsid w:val="5C2B6653"/>
    <w:rsid w:val="5C9727A2"/>
    <w:rsid w:val="5CA22F8C"/>
    <w:rsid w:val="5D0F29AC"/>
    <w:rsid w:val="5D407190"/>
    <w:rsid w:val="5D576CF2"/>
    <w:rsid w:val="5D601D76"/>
    <w:rsid w:val="5D942DDB"/>
    <w:rsid w:val="5DAC6818"/>
    <w:rsid w:val="5E2E20AB"/>
    <w:rsid w:val="5E763A38"/>
    <w:rsid w:val="5EBD25BF"/>
    <w:rsid w:val="5EF04E66"/>
    <w:rsid w:val="5F27616A"/>
    <w:rsid w:val="5F7431AF"/>
    <w:rsid w:val="5FAB5016"/>
    <w:rsid w:val="5FFE6FE8"/>
    <w:rsid w:val="601E2A9A"/>
    <w:rsid w:val="604A10EB"/>
    <w:rsid w:val="609856B6"/>
    <w:rsid w:val="60F22F93"/>
    <w:rsid w:val="61184824"/>
    <w:rsid w:val="612F1190"/>
    <w:rsid w:val="61432CAA"/>
    <w:rsid w:val="615045F7"/>
    <w:rsid w:val="61700D19"/>
    <w:rsid w:val="61950C11"/>
    <w:rsid w:val="619A2530"/>
    <w:rsid w:val="61A1659E"/>
    <w:rsid w:val="620B6C5F"/>
    <w:rsid w:val="62304985"/>
    <w:rsid w:val="623268C4"/>
    <w:rsid w:val="623A3806"/>
    <w:rsid w:val="624154CB"/>
    <w:rsid w:val="6244109C"/>
    <w:rsid w:val="624B4B76"/>
    <w:rsid w:val="62691B77"/>
    <w:rsid w:val="62750389"/>
    <w:rsid w:val="6292496A"/>
    <w:rsid w:val="62CF623E"/>
    <w:rsid w:val="62F1790E"/>
    <w:rsid w:val="62F63498"/>
    <w:rsid w:val="62FE4E94"/>
    <w:rsid w:val="634F5340"/>
    <w:rsid w:val="63616436"/>
    <w:rsid w:val="638A6BEC"/>
    <w:rsid w:val="63990049"/>
    <w:rsid w:val="639C7ADE"/>
    <w:rsid w:val="63B32629"/>
    <w:rsid w:val="63DB38B9"/>
    <w:rsid w:val="64121E00"/>
    <w:rsid w:val="64213730"/>
    <w:rsid w:val="642C1436"/>
    <w:rsid w:val="644101BB"/>
    <w:rsid w:val="6444127E"/>
    <w:rsid w:val="64564BDF"/>
    <w:rsid w:val="646829CD"/>
    <w:rsid w:val="64C6540D"/>
    <w:rsid w:val="65551391"/>
    <w:rsid w:val="65F63621"/>
    <w:rsid w:val="6657428E"/>
    <w:rsid w:val="666103ED"/>
    <w:rsid w:val="6681229A"/>
    <w:rsid w:val="669D5F40"/>
    <w:rsid w:val="675155A9"/>
    <w:rsid w:val="6759306E"/>
    <w:rsid w:val="675E0A78"/>
    <w:rsid w:val="676D7E90"/>
    <w:rsid w:val="67707367"/>
    <w:rsid w:val="677677CF"/>
    <w:rsid w:val="67864B63"/>
    <w:rsid w:val="681C0EA9"/>
    <w:rsid w:val="68203BE2"/>
    <w:rsid w:val="68725967"/>
    <w:rsid w:val="687542A6"/>
    <w:rsid w:val="68777668"/>
    <w:rsid w:val="68AF419F"/>
    <w:rsid w:val="68D85B6F"/>
    <w:rsid w:val="68ED11D9"/>
    <w:rsid w:val="6904148A"/>
    <w:rsid w:val="6922316F"/>
    <w:rsid w:val="69742ADA"/>
    <w:rsid w:val="6A14347C"/>
    <w:rsid w:val="6A6A4FDD"/>
    <w:rsid w:val="6A713B3C"/>
    <w:rsid w:val="6A7E0578"/>
    <w:rsid w:val="6A814F2C"/>
    <w:rsid w:val="6A895EE3"/>
    <w:rsid w:val="6A96663F"/>
    <w:rsid w:val="6AA060B5"/>
    <w:rsid w:val="6AC52D8C"/>
    <w:rsid w:val="6B353256"/>
    <w:rsid w:val="6C0133C5"/>
    <w:rsid w:val="6C1716E1"/>
    <w:rsid w:val="6C251808"/>
    <w:rsid w:val="6C2E1527"/>
    <w:rsid w:val="6C7D62F7"/>
    <w:rsid w:val="6C987781"/>
    <w:rsid w:val="6C9A14FB"/>
    <w:rsid w:val="6D0E75BF"/>
    <w:rsid w:val="6D1036D1"/>
    <w:rsid w:val="6D473DB8"/>
    <w:rsid w:val="6D6E4213"/>
    <w:rsid w:val="6DA60BCC"/>
    <w:rsid w:val="6E1327E7"/>
    <w:rsid w:val="6E4C5155"/>
    <w:rsid w:val="6EC07B82"/>
    <w:rsid w:val="6F0F1DA2"/>
    <w:rsid w:val="6F2237FF"/>
    <w:rsid w:val="6F680D35"/>
    <w:rsid w:val="6F7B1200"/>
    <w:rsid w:val="6F7F2748"/>
    <w:rsid w:val="6F9F32CC"/>
    <w:rsid w:val="6FC15F18"/>
    <w:rsid w:val="6FE911E8"/>
    <w:rsid w:val="705F260F"/>
    <w:rsid w:val="7074378B"/>
    <w:rsid w:val="70D733FC"/>
    <w:rsid w:val="71A631AC"/>
    <w:rsid w:val="71E532C1"/>
    <w:rsid w:val="7257166D"/>
    <w:rsid w:val="725B3144"/>
    <w:rsid w:val="7270569C"/>
    <w:rsid w:val="727F6E75"/>
    <w:rsid w:val="728B6CD9"/>
    <w:rsid w:val="72A04520"/>
    <w:rsid w:val="72DD03E9"/>
    <w:rsid w:val="72E73F3A"/>
    <w:rsid w:val="72F96B48"/>
    <w:rsid w:val="73283625"/>
    <w:rsid w:val="733F16FE"/>
    <w:rsid w:val="73844692"/>
    <w:rsid w:val="73EB34EB"/>
    <w:rsid w:val="73FD2FB0"/>
    <w:rsid w:val="73FF3065"/>
    <w:rsid w:val="74076F89"/>
    <w:rsid w:val="7408618A"/>
    <w:rsid w:val="742250B4"/>
    <w:rsid w:val="745332B4"/>
    <w:rsid w:val="74580777"/>
    <w:rsid w:val="746320ED"/>
    <w:rsid w:val="746A2094"/>
    <w:rsid w:val="7471438B"/>
    <w:rsid w:val="74BA5940"/>
    <w:rsid w:val="74DF3589"/>
    <w:rsid w:val="75135809"/>
    <w:rsid w:val="7549406F"/>
    <w:rsid w:val="755B3641"/>
    <w:rsid w:val="75CA2362"/>
    <w:rsid w:val="75E35A86"/>
    <w:rsid w:val="75E97A83"/>
    <w:rsid w:val="76423E3A"/>
    <w:rsid w:val="766C47BA"/>
    <w:rsid w:val="767B3058"/>
    <w:rsid w:val="7697733F"/>
    <w:rsid w:val="76B14030"/>
    <w:rsid w:val="76CC17A5"/>
    <w:rsid w:val="76D257CF"/>
    <w:rsid w:val="775256C0"/>
    <w:rsid w:val="77AD4A68"/>
    <w:rsid w:val="77B226F8"/>
    <w:rsid w:val="789C67C4"/>
    <w:rsid w:val="78BE36BA"/>
    <w:rsid w:val="78E7706D"/>
    <w:rsid w:val="78FA14CC"/>
    <w:rsid w:val="7951524D"/>
    <w:rsid w:val="7998491B"/>
    <w:rsid w:val="79C73CA1"/>
    <w:rsid w:val="79F04553"/>
    <w:rsid w:val="79F643EF"/>
    <w:rsid w:val="7A1C6933"/>
    <w:rsid w:val="7A4D78BF"/>
    <w:rsid w:val="7A94046F"/>
    <w:rsid w:val="7AD01451"/>
    <w:rsid w:val="7B162582"/>
    <w:rsid w:val="7B1947B3"/>
    <w:rsid w:val="7B291C14"/>
    <w:rsid w:val="7B345A99"/>
    <w:rsid w:val="7B653298"/>
    <w:rsid w:val="7BCD3874"/>
    <w:rsid w:val="7C365844"/>
    <w:rsid w:val="7C3A0873"/>
    <w:rsid w:val="7C80763F"/>
    <w:rsid w:val="7CC76699"/>
    <w:rsid w:val="7CC86558"/>
    <w:rsid w:val="7CD51A42"/>
    <w:rsid w:val="7CFE6B7F"/>
    <w:rsid w:val="7D033AA3"/>
    <w:rsid w:val="7D2828E8"/>
    <w:rsid w:val="7D491AF1"/>
    <w:rsid w:val="7D4B4C09"/>
    <w:rsid w:val="7D776DCB"/>
    <w:rsid w:val="7D937ED4"/>
    <w:rsid w:val="7D953435"/>
    <w:rsid w:val="7DF471A4"/>
    <w:rsid w:val="7DFB15ED"/>
    <w:rsid w:val="7E250B23"/>
    <w:rsid w:val="7E547ED7"/>
    <w:rsid w:val="7E6D0915"/>
    <w:rsid w:val="7ECF6D06"/>
    <w:rsid w:val="7F0B1F10"/>
    <w:rsid w:val="7F102908"/>
    <w:rsid w:val="7F28708D"/>
    <w:rsid w:val="7F381FF1"/>
    <w:rsid w:val="7F637CF8"/>
    <w:rsid w:val="7F673687"/>
    <w:rsid w:val="7F877246"/>
    <w:rsid w:val="7FAD35CC"/>
    <w:rsid w:val="7FEE5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420" w:firstLineChars="200"/>
      <w:jc w:val="both"/>
    </w:pPr>
    <w:rPr>
      <w:rFonts w:ascii="Times New Roman" w:hAnsi="Times New Roman" w:eastAsia="宋体" w:cstheme="minorBidi"/>
      <w:kern w:val="2"/>
      <w:sz w:val="28"/>
      <w:szCs w:val="24"/>
      <w:lang w:val="en-US" w:eastAsia="zh-CN" w:bidi="ar-SA"/>
    </w:rPr>
  </w:style>
  <w:style w:type="paragraph" w:styleId="3">
    <w:name w:val="heading 1"/>
    <w:basedOn w:val="1"/>
    <w:next w:val="1"/>
    <w:qFormat/>
    <w:uiPriority w:val="0"/>
    <w:pPr>
      <w:keepNext/>
      <w:keepLines/>
      <w:spacing w:beforeLines="0" w:beforeAutospacing="0" w:afterLines="0" w:afterAutospacing="0" w:line="500" w:lineRule="exact"/>
      <w:ind w:firstLine="0" w:firstLineChars="0"/>
      <w:outlineLvl w:val="0"/>
    </w:pPr>
    <w:rPr>
      <w:b/>
      <w:kern w:val="44"/>
      <w:sz w:val="30"/>
    </w:rPr>
  </w:style>
  <w:style w:type="paragraph" w:styleId="4">
    <w:name w:val="heading 2"/>
    <w:basedOn w:val="1"/>
    <w:next w:val="1"/>
    <w:link w:val="58"/>
    <w:unhideWhenUsed/>
    <w:qFormat/>
    <w:uiPriority w:val="0"/>
    <w:pPr>
      <w:keepNext/>
      <w:keepLines/>
      <w:spacing w:beforeLines="0" w:beforeAutospacing="0" w:afterLines="0" w:afterAutospacing="0" w:line="500" w:lineRule="exact"/>
      <w:ind w:firstLine="0" w:firstLineChars="0"/>
      <w:outlineLvl w:val="1"/>
    </w:pPr>
    <w:rPr>
      <w:b/>
    </w:rPr>
  </w:style>
  <w:style w:type="paragraph" w:styleId="5">
    <w:name w:val="heading 3"/>
    <w:basedOn w:val="1"/>
    <w:next w:val="1"/>
    <w:link w:val="60"/>
    <w:unhideWhenUsed/>
    <w:qFormat/>
    <w:uiPriority w:val="0"/>
    <w:pPr>
      <w:keepNext/>
      <w:keepLines/>
      <w:spacing w:beforeLines="0" w:beforeAutospacing="0" w:afterLines="0" w:afterAutospacing="0" w:line="500" w:lineRule="exact"/>
      <w:ind w:firstLine="0" w:firstLineChars="0"/>
      <w:outlineLvl w:val="2"/>
    </w:pPr>
    <w:rPr>
      <w:rFonts w:ascii="Times New Roman" w:hAnsi="Times New Roman"/>
      <w:b/>
    </w:rPr>
  </w:style>
  <w:style w:type="paragraph" w:styleId="6">
    <w:name w:val="heading 4"/>
    <w:basedOn w:val="1"/>
    <w:next w:val="1"/>
    <w:link w:val="61"/>
    <w:unhideWhenUsed/>
    <w:qFormat/>
    <w:uiPriority w:val="0"/>
    <w:pPr>
      <w:keepNext/>
      <w:keepLines/>
      <w:spacing w:beforeLines="0" w:beforeAutospacing="0" w:afterLines="0" w:afterAutospacing="0" w:line="500" w:lineRule="exact"/>
      <w:ind w:firstLine="0" w:firstLineChars="0"/>
      <w:outlineLvl w:val="3"/>
    </w:pPr>
    <w:rPr>
      <w:rFonts w:ascii="Times New Roman" w:hAnsi="Times New Roman"/>
    </w:rPr>
  </w:style>
  <w:style w:type="paragraph" w:styleId="7">
    <w:name w:val="heading 5"/>
    <w:basedOn w:val="1"/>
    <w:next w:val="1"/>
    <w:link w:val="49"/>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3">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8">
    <w:name w:val="Normal Indent"/>
    <w:basedOn w:val="1"/>
    <w:qFormat/>
    <w:uiPriority w:val="0"/>
    <w:pPr>
      <w:ind w:firstLine="420"/>
    </w:pPr>
    <w:rPr>
      <w:rFonts w:eastAsia="仿宋_GB2312"/>
      <w:kern w:val="2"/>
      <w:sz w:val="28"/>
      <w:szCs w:val="20"/>
      <w:lang w:eastAsia="zh-CN" w:bidi="ar-SA"/>
    </w:rPr>
  </w:style>
  <w:style w:type="paragraph" w:styleId="9">
    <w:name w:val="annotation text"/>
    <w:basedOn w:val="1"/>
    <w:qFormat/>
    <w:uiPriority w:val="0"/>
    <w:pPr>
      <w:jc w:val="left"/>
    </w:pPr>
  </w:style>
  <w:style w:type="paragraph" w:styleId="10">
    <w:name w:val="Body Text Indent"/>
    <w:basedOn w:val="1"/>
    <w:qFormat/>
    <w:uiPriority w:val="0"/>
    <w:pPr>
      <w:spacing w:line="360" w:lineRule="auto"/>
      <w:ind w:firstLine="555"/>
    </w:pPr>
    <w:rPr>
      <w:rFonts w:ascii="宋体"/>
      <w:bCs/>
      <w:color w:val="000000"/>
      <w:sz w:val="24"/>
    </w:rPr>
  </w:style>
  <w:style w:type="paragraph" w:styleId="11">
    <w:name w:val="List 2"/>
    <w:basedOn w:val="1"/>
    <w:qFormat/>
    <w:uiPriority w:val="0"/>
    <w:pPr>
      <w:spacing w:line="360" w:lineRule="auto"/>
      <w:ind w:left="100" w:leftChars="200" w:hanging="200" w:hangingChars="200"/>
    </w:pPr>
    <w:rPr>
      <w:sz w:val="24"/>
    </w:rPr>
  </w:style>
  <w:style w:type="paragraph" w:styleId="12">
    <w:name w:val="Plain Text"/>
    <w:basedOn w:val="1"/>
    <w:qFormat/>
    <w:uiPriority w:val="0"/>
    <w:rPr>
      <w:rFonts w:ascii="宋体" w:hAnsi="Courier New" w:cs="Courier New"/>
      <w:szCs w:val="21"/>
    </w:rPr>
  </w:style>
  <w:style w:type="paragraph" w:styleId="13">
    <w:name w:val="Body Text Indent 2"/>
    <w:basedOn w:val="1"/>
    <w:qFormat/>
    <w:uiPriority w:val="0"/>
    <w:pPr>
      <w:ind w:firstLine="520" w:firstLineChars="200"/>
    </w:pPr>
    <w:rPr>
      <w:bCs/>
      <w:spacing w:val="10"/>
      <w:sz w:val="24"/>
      <w:szCs w:val="20"/>
    </w:rPr>
  </w:style>
  <w:style w:type="paragraph" w:styleId="14">
    <w:name w:val="footer"/>
    <w:basedOn w:val="1"/>
    <w:link w:val="45"/>
    <w:qFormat/>
    <w:uiPriority w:val="0"/>
    <w:pPr>
      <w:tabs>
        <w:tab w:val="center" w:pos="4153"/>
        <w:tab w:val="right" w:pos="8306"/>
      </w:tabs>
      <w:snapToGrid w:val="0"/>
      <w:jc w:val="left"/>
    </w:pPr>
    <w:rPr>
      <w:sz w:val="18"/>
    </w:rPr>
  </w:style>
  <w:style w:type="paragraph" w:styleId="15">
    <w:name w:val="header"/>
    <w:basedOn w:val="1"/>
    <w:link w:val="4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Body Text Indent 3"/>
    <w:basedOn w:val="1"/>
    <w:qFormat/>
    <w:uiPriority w:val="0"/>
    <w:pPr>
      <w:spacing w:after="120"/>
      <w:ind w:left="420" w:leftChars="200"/>
    </w:pPr>
    <w:rPr>
      <w:kern w:val="2"/>
      <w:sz w:val="16"/>
      <w:szCs w:val="16"/>
      <w:lang w:eastAsia="zh-CN" w:bidi="ar-SA"/>
    </w:rPr>
  </w:style>
  <w:style w:type="paragraph" w:styleId="18">
    <w:name w:val="toc 2"/>
    <w:basedOn w:val="1"/>
    <w:next w:val="1"/>
    <w:qFormat/>
    <w:uiPriority w:val="0"/>
    <w:pPr>
      <w:ind w:left="420" w:leftChars="200"/>
    </w:pPr>
  </w:style>
  <w:style w:type="paragraph" w:styleId="19">
    <w:name w:val="Normal (Web)"/>
    <w:basedOn w:val="1"/>
    <w:qFormat/>
    <w:uiPriority w:val="0"/>
    <w:rPr>
      <w:sz w:val="24"/>
    </w:rPr>
  </w:style>
  <w:style w:type="paragraph" w:styleId="20">
    <w:name w:val="Body Text First Indent 2"/>
    <w:basedOn w:val="10"/>
    <w:qFormat/>
    <w:uiPriority w:val="0"/>
    <w:pPr>
      <w:spacing w:after="120" w:line="240" w:lineRule="auto"/>
      <w:ind w:left="420" w:leftChars="200" w:firstLine="420" w:firstLineChars="200"/>
    </w:pPr>
    <w:rPr>
      <w:rFonts w:ascii="Times New Roman"/>
      <w:bCs w:val="0"/>
      <w:color w:val="auto"/>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qFormat/>
    <w:uiPriority w:val="0"/>
    <w:rPr>
      <w:color w:val="800080"/>
      <w:u w:val="none"/>
    </w:rPr>
  </w:style>
  <w:style w:type="character" w:styleId="25">
    <w:name w:val="Hyperlink"/>
    <w:basedOn w:val="23"/>
    <w:qFormat/>
    <w:uiPriority w:val="0"/>
    <w:rPr>
      <w:color w:val="0000FF"/>
      <w:u w:val="none"/>
    </w:rPr>
  </w:style>
  <w:style w:type="character" w:styleId="26">
    <w:name w:val="annotation reference"/>
    <w:qFormat/>
    <w:uiPriority w:val="0"/>
    <w:rPr>
      <w:sz w:val="21"/>
      <w:szCs w:val="21"/>
    </w:rPr>
  </w:style>
  <w:style w:type="paragraph" w:customStyle="1" w:styleId="27">
    <w:name w:val="表格标题"/>
    <w:basedOn w:val="5"/>
    <w:next w:val="1"/>
    <w:qFormat/>
    <w:uiPriority w:val="0"/>
    <w:pPr>
      <w:jc w:val="center"/>
      <w:outlineLvl w:val="9"/>
    </w:pPr>
    <w:rPr>
      <w:sz w:val="24"/>
    </w:rPr>
  </w:style>
  <w:style w:type="paragraph" w:customStyle="1" w:styleId="28">
    <w:name w:val="表格内容"/>
    <w:basedOn w:val="5"/>
    <w:next w:val="1"/>
    <w:qFormat/>
    <w:uiPriority w:val="0"/>
    <w:pPr>
      <w:pBdr>
        <w:top w:val="none" w:color="auto" w:sz="0" w:space="1"/>
        <w:left w:val="none" w:color="auto" w:sz="0" w:space="4"/>
        <w:bottom w:val="none" w:color="auto" w:sz="0" w:space="1"/>
        <w:right w:val="none" w:color="auto" w:sz="0" w:space="4"/>
      </w:pBdr>
      <w:spacing w:line="260" w:lineRule="exact"/>
      <w:jc w:val="center"/>
    </w:pPr>
    <w:rPr>
      <w:rFonts w:ascii="Times New Roman" w:hAnsi="Times New Roman"/>
      <w:b w:val="0"/>
      <w:sz w:val="21"/>
    </w:rPr>
  </w:style>
  <w:style w:type="paragraph" w:customStyle="1" w:styleId="29">
    <w:name w:val="图片"/>
    <w:basedOn w:val="1"/>
    <w:qFormat/>
    <w:uiPriority w:val="0"/>
    <w:pPr>
      <w:spacing w:line="240" w:lineRule="auto"/>
      <w:ind w:firstLine="0" w:firstLineChars="0"/>
      <w:jc w:val="center"/>
    </w:pPr>
  </w:style>
  <w:style w:type="paragraph" w:customStyle="1" w:styleId="30">
    <w:name w:val="表格"/>
    <w:basedOn w:val="31"/>
    <w:next w:val="1"/>
    <w:qFormat/>
    <w:uiPriority w:val="0"/>
    <w:pPr>
      <w:snapToGrid w:val="0"/>
      <w:jc w:val="center"/>
    </w:pPr>
    <w:rPr>
      <w:rFonts w:eastAsia="仿宋_GB2312"/>
      <w:kern w:val="2"/>
      <w:sz w:val="21"/>
      <w:szCs w:val="21"/>
      <w:lang w:eastAsia="zh-CN" w:bidi="ar-SA"/>
    </w:rPr>
  </w:style>
  <w:style w:type="paragraph" w:styleId="31">
    <w:name w:val="List Paragraph"/>
    <w:basedOn w:val="1"/>
    <w:qFormat/>
    <w:uiPriority w:val="34"/>
    <w:pPr>
      <w:spacing w:line="360" w:lineRule="auto"/>
      <w:ind w:firstLine="420" w:firstLineChars="200"/>
    </w:pPr>
    <w:rPr>
      <w:rFonts w:ascii="Calibri" w:hAnsi="Calibri"/>
      <w:sz w:val="28"/>
      <w:szCs w:val="22"/>
    </w:rPr>
  </w:style>
  <w:style w:type="paragraph" w:customStyle="1" w:styleId="3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textAlignment w:val="center"/>
    </w:pPr>
    <w:rPr>
      <w:rFonts w:ascii="宋体" w:eastAsia="Arial Unicode MS"/>
      <w:kern w:val="0"/>
      <w:sz w:val="20"/>
      <w:szCs w:val="20"/>
    </w:rPr>
  </w:style>
  <w:style w:type="paragraph" w:customStyle="1" w:styleId="33">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34">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rPr>
  </w:style>
  <w:style w:type="paragraph" w:customStyle="1" w:styleId="35">
    <w:name w:val="表格文字"/>
    <w:basedOn w:val="1"/>
    <w:qFormat/>
    <w:uiPriority w:val="0"/>
    <w:pPr>
      <w:spacing w:line="360" w:lineRule="exact"/>
      <w:jc w:val="center"/>
    </w:pPr>
    <w:rPr>
      <w:sz w:val="24"/>
    </w:rPr>
  </w:style>
  <w:style w:type="paragraph" w:customStyle="1" w:styleId="36">
    <w:name w:val="表内序号"/>
    <w:basedOn w:val="1"/>
    <w:qFormat/>
    <w:uiPriority w:val="0"/>
    <w:pPr>
      <w:ind w:left="-109" w:leftChars="-52" w:right="-115" w:rightChars="-55"/>
      <w:jc w:val="center"/>
    </w:pPr>
    <w:rPr>
      <w:rFonts w:hAnsi="宋体"/>
      <w:szCs w:val="21"/>
    </w:rPr>
  </w:style>
  <w:style w:type="paragraph" w:customStyle="1" w:styleId="37">
    <w:name w:val="表内字体"/>
    <w:basedOn w:val="1"/>
    <w:qFormat/>
    <w:uiPriority w:val="0"/>
    <w:pPr>
      <w:jc w:val="center"/>
    </w:pPr>
    <w:rPr>
      <w:rFonts w:hAnsi="宋体"/>
      <w:szCs w:val="20"/>
    </w:rPr>
  </w:style>
  <w:style w:type="paragraph" w:customStyle="1" w:styleId="38">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character" w:customStyle="1" w:styleId="39">
    <w:name w:val="font31"/>
    <w:basedOn w:val="23"/>
    <w:qFormat/>
    <w:uiPriority w:val="0"/>
    <w:rPr>
      <w:rFonts w:hint="eastAsia" w:ascii="宋体" w:hAnsi="宋体" w:eastAsia="宋体" w:cs="宋体"/>
      <w:color w:val="000000"/>
      <w:sz w:val="21"/>
      <w:szCs w:val="21"/>
      <w:u w:val="none"/>
    </w:rPr>
  </w:style>
  <w:style w:type="character" w:customStyle="1" w:styleId="40">
    <w:name w:val="font21"/>
    <w:basedOn w:val="23"/>
    <w:qFormat/>
    <w:uiPriority w:val="0"/>
    <w:rPr>
      <w:rFonts w:hint="default" w:ascii="Times New Roman" w:hAnsi="Times New Roman" w:cs="Times New Roman"/>
      <w:color w:val="000000"/>
      <w:sz w:val="21"/>
      <w:szCs w:val="21"/>
      <w:u w:val="none"/>
    </w:rPr>
  </w:style>
  <w:style w:type="character" w:customStyle="1" w:styleId="41">
    <w:name w:val="font01"/>
    <w:basedOn w:val="23"/>
    <w:qFormat/>
    <w:uiPriority w:val="0"/>
    <w:rPr>
      <w:rFonts w:hint="eastAsia" w:ascii="宋体" w:hAnsi="宋体" w:eastAsia="宋体" w:cs="宋体"/>
      <w:color w:val="000000"/>
      <w:sz w:val="21"/>
      <w:szCs w:val="21"/>
      <w:u w:val="none"/>
      <w:vertAlign w:val="superscript"/>
    </w:rPr>
  </w:style>
  <w:style w:type="character" w:customStyle="1" w:styleId="42">
    <w:name w:val="font11"/>
    <w:basedOn w:val="23"/>
    <w:qFormat/>
    <w:uiPriority w:val="0"/>
    <w:rPr>
      <w:rFonts w:hint="eastAsia" w:ascii="宋体" w:hAnsi="宋体" w:eastAsia="宋体" w:cs="宋体"/>
      <w:color w:val="000000"/>
      <w:sz w:val="21"/>
      <w:szCs w:val="21"/>
      <w:u w:val="none"/>
    </w:rPr>
  </w:style>
  <w:style w:type="paragraph" w:customStyle="1" w:styleId="43">
    <w:name w:val="Table Paragraph"/>
    <w:basedOn w:val="1"/>
    <w:qFormat/>
    <w:uiPriority w:val="0"/>
    <w:pPr>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character" w:customStyle="1" w:styleId="44">
    <w:name w:val="页眉 字符"/>
    <w:basedOn w:val="23"/>
    <w:link w:val="15"/>
    <w:qFormat/>
    <w:uiPriority w:val="0"/>
    <w:rPr>
      <w:rFonts w:hint="eastAsia" w:ascii="宋体" w:hAnsi="宋体" w:eastAsia="宋体" w:cs="宋体"/>
    </w:rPr>
  </w:style>
  <w:style w:type="character" w:customStyle="1" w:styleId="45">
    <w:name w:val="页脚 字符"/>
    <w:basedOn w:val="23"/>
    <w:link w:val="14"/>
    <w:qFormat/>
    <w:uiPriority w:val="0"/>
    <w:rPr>
      <w:rFonts w:hint="eastAsia" w:ascii="宋体" w:hAnsi="宋体" w:eastAsia="宋体" w:cs="宋体"/>
    </w:rPr>
  </w:style>
  <w:style w:type="paragraph" w:customStyle="1" w:styleId="46">
    <w:name w:val="文字"/>
    <w:basedOn w:val="1"/>
    <w:qFormat/>
    <w:uiPriority w:val="0"/>
    <w:pPr>
      <w:widowControl w:val="0"/>
      <w:spacing w:line="360" w:lineRule="auto"/>
      <w:ind w:firstLine="200" w:firstLineChars="200"/>
      <w:jc w:val="both"/>
    </w:pPr>
    <w:rPr>
      <w:kern w:val="2"/>
      <w:lang w:eastAsia="zh-CN" w:bidi="ar-SA"/>
    </w:rPr>
  </w:style>
  <w:style w:type="paragraph" w:customStyle="1" w:styleId="47">
    <w:name w:val="标题2"/>
    <w:basedOn w:val="1"/>
    <w:qFormat/>
    <w:uiPriority w:val="0"/>
    <w:pPr>
      <w:keepNext w:val="0"/>
      <w:keepLines w:val="0"/>
      <w:widowControl/>
      <w:suppressLineNumbers w:val="0"/>
      <w:spacing w:before="0" w:beforeAutospacing="0" w:after="0" w:afterAutospacing="0"/>
      <w:ind w:left="0" w:right="0"/>
      <w:jc w:val="left"/>
      <w:outlineLvl w:val="2"/>
    </w:pPr>
    <w:rPr>
      <w:rFonts w:hint="default" w:ascii="Calibri" w:hAnsi="Calibri" w:eastAsia="宋体" w:cs="Times New Roman"/>
      <w:kern w:val="2"/>
      <w:sz w:val="21"/>
      <w:szCs w:val="22"/>
      <w:lang w:val="en-US" w:eastAsia="zh-CN" w:bidi="ar"/>
    </w:rPr>
  </w:style>
  <w:style w:type="paragraph" w:customStyle="1" w:styleId="48">
    <w:name w:val="新正文"/>
    <w:basedOn w:val="1"/>
    <w:qFormat/>
    <w:uiPriority w:val="0"/>
    <w:pPr>
      <w:spacing w:line="480" w:lineRule="exact"/>
      <w:ind w:firstLine="567"/>
    </w:pPr>
    <w:rPr>
      <w:rFonts w:ascii="仿宋_GB2312" w:eastAsia="仿宋_GB2312"/>
      <w:bCs/>
      <w:kern w:val="0"/>
      <w:sz w:val="28"/>
      <w:szCs w:val="20"/>
    </w:rPr>
  </w:style>
  <w:style w:type="character" w:customStyle="1" w:styleId="49">
    <w:name w:val="标题 5 Char"/>
    <w:link w:val="7"/>
    <w:qFormat/>
    <w:uiPriority w:val="0"/>
    <w:rPr>
      <w:b/>
      <w:sz w:val="28"/>
    </w:rPr>
  </w:style>
  <w:style w:type="character" w:customStyle="1" w:styleId="50">
    <w:name w:val="font71"/>
    <w:qFormat/>
    <w:uiPriority w:val="0"/>
    <w:rPr>
      <w:rFonts w:hint="eastAsia" w:ascii="宋体" w:hAnsi="宋体" w:eastAsia="宋体" w:cs="宋体"/>
      <w:color w:val="000000"/>
      <w:sz w:val="22"/>
      <w:szCs w:val="22"/>
      <w:u w:val="none"/>
    </w:rPr>
  </w:style>
  <w:style w:type="character" w:customStyle="1" w:styleId="51">
    <w:name w:val="font61"/>
    <w:qFormat/>
    <w:uiPriority w:val="0"/>
    <w:rPr>
      <w:rFonts w:hint="eastAsia" w:ascii="宋体" w:hAnsi="宋体" w:eastAsia="宋体" w:cs="宋体"/>
      <w:color w:val="000000"/>
      <w:sz w:val="20"/>
      <w:szCs w:val="20"/>
      <w:u w:val="none"/>
    </w:rPr>
  </w:style>
  <w:style w:type="character" w:customStyle="1" w:styleId="52">
    <w:name w:val="font51"/>
    <w:qFormat/>
    <w:uiPriority w:val="0"/>
    <w:rPr>
      <w:rFonts w:hint="eastAsia" w:ascii="宋体" w:hAnsi="宋体" w:eastAsia="宋体" w:cs="宋体"/>
      <w:color w:val="000000"/>
      <w:sz w:val="24"/>
      <w:szCs w:val="24"/>
      <w:u w:val="none"/>
      <w:vertAlign w:val="superscript"/>
    </w:rPr>
  </w:style>
  <w:style w:type="paragraph" w:customStyle="1" w:styleId="53">
    <w:name w:val="图头"/>
    <w:basedOn w:val="54"/>
    <w:qFormat/>
    <w:uiPriority w:val="0"/>
    <w:pPr>
      <w:widowControl w:val="0"/>
      <w:adjustRightInd/>
      <w:snapToGrid w:val="0"/>
      <w:spacing w:beforeLines="50" w:afterLines="30" w:line="300" w:lineRule="auto"/>
      <w:ind w:left="562" w:hanging="562" w:hangingChars="200"/>
      <w:textAlignment w:val="auto"/>
    </w:pPr>
    <w:rPr>
      <w:rFonts w:ascii="Times New Roman" w:hAnsi="Times New Roman" w:eastAsia="仿宋_GB2312"/>
      <w:b/>
      <w:spacing w:val="0"/>
      <w:kern w:val="2"/>
      <w:sz w:val="28"/>
      <w:szCs w:val="24"/>
    </w:rPr>
  </w:style>
  <w:style w:type="paragraph" w:customStyle="1" w:styleId="54">
    <w:name w:val="表头"/>
    <w:basedOn w:val="1"/>
    <w:uiPriority w:val="0"/>
    <w:pPr>
      <w:adjustRightInd w:val="0"/>
      <w:spacing w:line="320" w:lineRule="atLeast"/>
      <w:jc w:val="center"/>
      <w:textAlignment w:val="baseline"/>
    </w:pPr>
    <w:rPr>
      <w:rFonts w:eastAsia="黑体"/>
      <w:spacing w:val="-10"/>
      <w:sz w:val="21"/>
      <w:szCs w:val="20"/>
      <w:lang w:eastAsia="zh-CN" w:bidi="ar-SA"/>
    </w:rPr>
  </w:style>
  <w:style w:type="paragraph" w:customStyle="1" w:styleId="55">
    <w:name w:val="图文框"/>
    <w:basedOn w:val="1"/>
    <w:qFormat/>
    <w:uiPriority w:val="0"/>
    <w:pPr>
      <w:jc w:val="center"/>
    </w:pPr>
    <w:rPr>
      <w:snapToGrid w:val="0"/>
      <w:szCs w:val="21"/>
    </w:rPr>
  </w:style>
  <w:style w:type="paragraph" w:customStyle="1" w:styleId="56">
    <w:name w:val="表标题"/>
    <w:basedOn w:val="1"/>
    <w:uiPriority w:val="0"/>
    <w:pPr>
      <w:spacing w:line="500" w:lineRule="exact"/>
      <w:ind w:firstLine="482" w:firstLineChars="200"/>
      <w:jc w:val="center"/>
    </w:pPr>
    <w:rPr>
      <w:rFonts w:ascii="仿宋_GB2312" w:eastAsia="仿宋_GB2312" w:cs="仿宋_GB2312"/>
      <w:b/>
      <w:bCs/>
      <w:kern w:val="2"/>
      <w:lang w:eastAsia="zh-CN" w:bidi="ar-SA"/>
    </w:rPr>
  </w:style>
  <w:style w:type="paragraph" w:customStyle="1" w:styleId="57">
    <w:name w:val="样式1"/>
    <w:basedOn w:val="5"/>
    <w:qFormat/>
    <w:uiPriority w:val="0"/>
    <w:rPr>
      <w:rFonts w:ascii="黑体" w:hAnsi="黑体" w:eastAsia="黑体"/>
      <w:b w:val="0"/>
      <w:sz w:val="21"/>
      <w:szCs w:val="21"/>
    </w:rPr>
  </w:style>
  <w:style w:type="character" w:customStyle="1" w:styleId="58">
    <w:name w:val="标题 2 Char"/>
    <w:link w:val="4"/>
    <w:qFormat/>
    <w:uiPriority w:val="0"/>
    <w:rPr>
      <w:b/>
    </w:rPr>
  </w:style>
  <w:style w:type="paragraph" w:customStyle="1" w:styleId="59">
    <w:name w:val="样式 样式 首行缩进:  2 字符 + 首行缩进:  2 字符2"/>
    <w:basedOn w:val="1"/>
    <w:qFormat/>
    <w:uiPriority w:val="0"/>
    <w:pPr>
      <w:spacing w:line="440" w:lineRule="exact"/>
      <w:ind w:firstLine="584" w:firstLineChars="200"/>
    </w:pPr>
    <w:rPr>
      <w:rFonts w:eastAsia="楷体_GB2312" w:cs="宋体"/>
      <w:spacing w:val="6"/>
      <w:kern w:val="0"/>
      <w:sz w:val="28"/>
      <w:szCs w:val="20"/>
    </w:rPr>
  </w:style>
  <w:style w:type="character" w:customStyle="1" w:styleId="60">
    <w:name w:val="标题 3 Char"/>
    <w:link w:val="5"/>
    <w:qFormat/>
    <w:uiPriority w:val="0"/>
    <w:rPr>
      <w:rFonts w:ascii="Times New Roman" w:hAnsi="Times New Roman"/>
      <w:b/>
    </w:rPr>
  </w:style>
  <w:style w:type="character" w:customStyle="1" w:styleId="61">
    <w:name w:val="标题 4 Char"/>
    <w:link w:val="6"/>
    <w:qFormat/>
    <w:uiPriority w:val="0"/>
    <w:rPr>
      <w:rFonts w:ascii="Times New Roman" w:hAnsi="Times New Roman"/>
    </w:rPr>
  </w:style>
  <w:style w:type="paragraph" w:customStyle="1" w:styleId="62">
    <w:name w:val="WPSOffice手动目录 1"/>
    <w:qFormat/>
    <w:uiPriority w:val="0"/>
    <w:pPr>
      <w:ind w:leftChars="0"/>
    </w:pPr>
    <w:rPr>
      <w:rFonts w:ascii="Times New Roman" w:hAnsi="Times New Roman" w:eastAsia="宋体" w:cs="Times New Roman"/>
      <w:sz w:val="20"/>
      <w:szCs w:val="20"/>
    </w:rPr>
  </w:style>
  <w:style w:type="paragraph" w:customStyle="1" w:styleId="6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wmf"/><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w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22.wmf"/><Relationship Id="rId38" Type="http://schemas.openxmlformats.org/officeDocument/2006/relationships/oleObject" Target="embeddings/oleObject11.bin"/><Relationship Id="rId37" Type="http://schemas.openxmlformats.org/officeDocument/2006/relationships/image" Target="media/image21.wmf"/><Relationship Id="rId36" Type="http://schemas.openxmlformats.org/officeDocument/2006/relationships/oleObject" Target="embeddings/oleObject10.bin"/><Relationship Id="rId35" Type="http://schemas.openxmlformats.org/officeDocument/2006/relationships/image" Target="media/image20.wmf"/><Relationship Id="rId34" Type="http://schemas.openxmlformats.org/officeDocument/2006/relationships/oleObject" Target="embeddings/oleObject9.bin"/><Relationship Id="rId33" Type="http://schemas.openxmlformats.org/officeDocument/2006/relationships/image" Target="media/image19.wmf"/><Relationship Id="rId32" Type="http://schemas.openxmlformats.org/officeDocument/2006/relationships/oleObject" Target="embeddings/oleObject8.bin"/><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oleObject" Target="embeddings/oleObject6.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w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tailEnd type="triangle" w="sm" len="lg"/>
        </a:ln>
      </a:spPr>
      <a:bodyPr/>
      <a:lstStyle/>
      <a:style>
        <a:lnRef idx="1">
          <a:schemeClr val="accent1"/>
        </a:lnRef>
        <a:fillRef idx="0">
          <a:schemeClr val="accent1"/>
        </a:fillRef>
        <a:effectRef idx="0">
          <a:schemeClr val="accent1"/>
        </a:effectRef>
        <a:fontRef idx="minor">
          <a:schemeClr val="tx1"/>
        </a:fontRef>
      </a:style>
    </a:lnDef>
    <a:txDef>
      <a:spPr>
        <a:no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244</Pages>
  <Words>101992</Words>
  <Characters>132947</Characters>
  <Lines>0</Lines>
  <Paragraphs>0</Paragraphs>
  <TotalTime>27</TotalTime>
  <ScaleCrop>false</ScaleCrop>
  <LinksUpToDate>false</LinksUpToDate>
  <CharactersWithSpaces>135529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2020-03-09T07:22:00Z</cp:lastPrinted>
  <dcterms:modified xsi:type="dcterms:W3CDTF">2020-04-27T02:29:10Z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